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header5.xml" ContentType="application/vnd.openxmlformats-officedocument.wordprocessingml.header+xml"/>
  <Override PartName="/word/charts/chart10.xml" ContentType="application/vnd.openxmlformats-officedocument.drawingml.chart+xml"/>
  <Override PartName="/word/charts/chart11.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12.xml" ContentType="application/vnd.openxmlformats-officedocument.drawingml.chart+xml"/>
  <Override PartName="/word/theme/themeOverride5.xml" ContentType="application/vnd.openxmlformats-officedocument.themeOverride+xml"/>
  <Override PartName="/word/drawings/drawing3.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1236EB" w14:textId="77777777" w:rsidR="008E2EC4" w:rsidRPr="005B2032" w:rsidRDefault="00E66B3E" w:rsidP="00D62D45">
      <w:pPr>
        <w:pStyle w:val="tabletextleft"/>
        <w:rPr>
          <w:rFonts w:asciiTheme="minorHAnsi" w:hAnsiTheme="minorHAnsi" w:cstheme="minorHAnsi"/>
          <w:lang w:val="en-US"/>
        </w:rPr>
      </w:pPr>
      <w:bookmarkStart w:id="0" w:name="_Toc352315179"/>
      <w:bookmarkStart w:id="1" w:name="_Toc290063474"/>
      <w:bookmarkStart w:id="2" w:name="_Toc285898261"/>
      <w:bookmarkStart w:id="3" w:name="_GoBack"/>
      <w:bookmarkEnd w:id="3"/>
      <w:r w:rsidRPr="005B2032">
        <w:rPr>
          <w:rFonts w:asciiTheme="minorHAnsi" w:hAnsiTheme="minorHAnsi" w:cstheme="minorHAnsi"/>
          <w:noProof/>
        </w:rPr>
        <w:drawing>
          <wp:anchor distT="0" distB="0" distL="114300" distR="114300" simplePos="0" relativeHeight="251655168" behindDoc="0" locked="0" layoutInCell="1" allowOverlap="1" wp14:anchorId="04912CEA" wp14:editId="0347EF22">
            <wp:simplePos x="0" y="0"/>
            <wp:positionH relativeFrom="column">
              <wp:posOffset>57150</wp:posOffset>
            </wp:positionH>
            <wp:positionV relativeFrom="paragraph">
              <wp:posOffset>-347980</wp:posOffset>
            </wp:positionV>
            <wp:extent cx="2999206" cy="900000"/>
            <wp:effectExtent l="0" t="0" r="0" b="0"/>
            <wp:wrapNone/>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9206" cy="90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D183FA" w14:textId="5E3F3DFF" w:rsidR="00FD5BD4" w:rsidRPr="005B2032" w:rsidRDefault="00232E48">
      <w:pPr>
        <w:spacing w:after="0"/>
        <w:jc w:val="left"/>
        <w:rPr>
          <w:rFonts w:asciiTheme="minorHAnsi" w:hAnsiTheme="minorHAnsi" w:cstheme="minorHAnsi"/>
          <w:sz w:val="18"/>
          <w:szCs w:val="20"/>
        </w:rPr>
      </w:pPr>
      <w:r w:rsidRPr="005B2032">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0202529B" wp14:editId="7E183F79">
                <wp:simplePos x="0" y="0"/>
                <wp:positionH relativeFrom="column">
                  <wp:posOffset>57150</wp:posOffset>
                </wp:positionH>
                <wp:positionV relativeFrom="paragraph">
                  <wp:posOffset>1469390</wp:posOffset>
                </wp:positionV>
                <wp:extent cx="5911215" cy="3249295"/>
                <wp:effectExtent l="0" t="0" r="0" b="0"/>
                <wp:wrapNone/>
                <wp:docPr id="5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1215" cy="3249295"/>
                        </a:xfrm>
                        <a:prstGeom prst="rect">
                          <a:avLst/>
                        </a:prstGeom>
                        <a:noFill/>
                        <a:ln w="6350">
                          <a:noFill/>
                        </a:ln>
                        <a:effectLst/>
                      </wps:spPr>
                      <wps:txbx>
                        <w:txbxContent>
                          <w:p w14:paraId="0F739968" w14:textId="77777777" w:rsidR="00C47B43" w:rsidRPr="004C3B04" w:rsidRDefault="00C47B43" w:rsidP="00E860CB">
                            <w:pPr>
                              <w:pStyle w:val="Subtitle"/>
                              <w:numPr>
                                <w:ilvl w:val="0"/>
                                <w:numId w:val="0"/>
                              </w:numPr>
                              <w:spacing w:after="360"/>
                              <w:rPr>
                                <w:rFonts w:asciiTheme="minorHAnsi" w:hAnsiTheme="minorHAnsi" w:cstheme="minorHAnsi"/>
                                <w:color w:val="FFFFFF" w:themeColor="background1"/>
                                <w:spacing w:val="20"/>
                                <w:w w:val="90"/>
                                <w:sz w:val="84"/>
                                <w:szCs w:val="84"/>
                                <w:lang w:val="x-none" w:eastAsia="x-none"/>
                              </w:rPr>
                            </w:pPr>
                            <w:r w:rsidRPr="004C3B04">
                              <w:rPr>
                                <w:rFonts w:asciiTheme="minorHAnsi" w:hAnsiTheme="minorHAnsi" w:cstheme="minorHAnsi"/>
                                <w:color w:val="FFFFFF" w:themeColor="background1"/>
                                <w:spacing w:val="20"/>
                                <w:w w:val="90"/>
                                <w:sz w:val="84"/>
                                <w:szCs w:val="84"/>
                                <w:lang w:val="x-none" w:eastAsia="x-none"/>
                              </w:rPr>
                              <w:t xml:space="preserve">КОНВЕРГЕНТНА </w:t>
                            </w:r>
                            <w:r w:rsidRPr="004C3B04">
                              <w:rPr>
                                <w:rFonts w:asciiTheme="minorHAnsi" w:hAnsiTheme="minorHAnsi" w:cstheme="minorHAnsi"/>
                                <w:color w:val="FFFFFF" w:themeColor="background1"/>
                                <w:spacing w:val="20"/>
                                <w:w w:val="90"/>
                                <w:sz w:val="84"/>
                                <w:szCs w:val="84"/>
                                <w:lang w:val="x-none" w:eastAsia="x-none"/>
                              </w:rPr>
                              <w:br/>
                              <w:t>ПРОГРАМА</w:t>
                            </w:r>
                          </w:p>
                          <w:p w14:paraId="717E81C6" w14:textId="3DA92204" w:rsidR="00C47B43" w:rsidRPr="004C3B04" w:rsidRDefault="00C47B43" w:rsidP="00E860CB">
                            <w:pPr>
                              <w:pStyle w:val="Subtitle"/>
                              <w:numPr>
                                <w:ilvl w:val="0"/>
                                <w:numId w:val="0"/>
                              </w:numPr>
                              <w:spacing w:after="360"/>
                              <w:rPr>
                                <w:rFonts w:asciiTheme="minorHAnsi" w:hAnsiTheme="minorHAnsi" w:cstheme="minorHAnsi"/>
                                <w:color w:val="FFFFFF" w:themeColor="background1"/>
                                <w:spacing w:val="20"/>
                                <w:w w:val="90"/>
                                <w:sz w:val="84"/>
                                <w:szCs w:val="84"/>
                                <w:lang w:val="bg-BG" w:eastAsia="x-none"/>
                              </w:rPr>
                            </w:pPr>
                            <w:r>
                              <w:rPr>
                                <w:rFonts w:asciiTheme="minorHAnsi" w:hAnsiTheme="minorHAnsi" w:cstheme="minorHAnsi"/>
                                <w:color w:val="FFFFFF" w:themeColor="background1"/>
                                <w:spacing w:val="20"/>
                                <w:w w:val="90"/>
                                <w:sz w:val="84"/>
                                <w:szCs w:val="84"/>
                                <w:lang w:val="bg-BG" w:eastAsia="x-none"/>
                              </w:rPr>
                              <w:t>(</w:t>
                            </w:r>
                            <w:r w:rsidRPr="004C3B04">
                              <w:rPr>
                                <w:rFonts w:asciiTheme="minorHAnsi" w:hAnsiTheme="minorHAnsi" w:cstheme="minorHAnsi"/>
                                <w:color w:val="FFFFFF" w:themeColor="background1"/>
                                <w:spacing w:val="20"/>
                                <w:w w:val="90"/>
                                <w:sz w:val="84"/>
                                <w:szCs w:val="84"/>
                                <w:lang w:val="x-none" w:eastAsia="x-none"/>
                              </w:rPr>
                              <w:t>2022–2025</w:t>
                            </w:r>
                            <w:r>
                              <w:rPr>
                                <w:rFonts w:asciiTheme="minorHAnsi" w:hAnsiTheme="minorHAnsi" w:cstheme="minorHAnsi"/>
                                <w:color w:val="FFFFFF" w:themeColor="background1"/>
                                <w:spacing w:val="20"/>
                                <w:w w:val="90"/>
                                <w:sz w:val="84"/>
                                <w:szCs w:val="84"/>
                                <w:lang w:val="bg-BG" w:eastAsia="x-none"/>
                              </w:rPr>
                              <w:t>)</w:t>
                            </w:r>
                          </w:p>
                          <w:p w14:paraId="1D458324" w14:textId="77777777" w:rsidR="00C47B43" w:rsidRPr="00E153D6" w:rsidRDefault="00C47B43" w:rsidP="00C15D07">
                            <w:pPr>
                              <w:rPr>
                                <w:color w:val="9F2936" w:themeColor="accent2"/>
                                <w:sz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02529B" id="_x0000_t202" coordsize="21600,21600" o:spt="202" path="m,l,21600r21600,l21600,xe">
                <v:stroke joinstyle="miter"/>
                <v:path gradientshapeok="t" o:connecttype="rect"/>
              </v:shapetype>
              <v:shape id="Text Box 7" o:spid="_x0000_s1026" type="#_x0000_t202" style="position:absolute;margin-left:4.5pt;margin-top:115.7pt;width:465.45pt;height:255.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" filled="f" stroked="f" strokeweight=".5pt">
                <v:path arrowok="t"/>
                <v:textbox>
                  <w:txbxContent>
                    <w:p w14:paraId="0F739968" w14:textId="77777777" w:rsidR="00C47B43" w:rsidRPr="004C3B04" w:rsidRDefault="00C47B43" w:rsidP="00E860CB">
                      <w:pPr>
                        <w:pStyle w:val="Subtitle"/>
                        <w:numPr>
                          <w:ilvl w:val="0"/>
                          <w:numId w:val="0"/>
                        </w:numPr>
                        <w:spacing w:after="360"/>
                        <w:rPr>
                          <w:rFonts w:asciiTheme="minorHAnsi" w:hAnsiTheme="minorHAnsi" w:cstheme="minorHAnsi"/>
                          <w:color w:val="FFFFFF" w:themeColor="background1"/>
                          <w:spacing w:val="20"/>
                          <w:w w:val="90"/>
                          <w:sz w:val="84"/>
                          <w:szCs w:val="84"/>
                          <w:lang w:val="x-none" w:eastAsia="x-none"/>
                        </w:rPr>
                      </w:pPr>
                      <w:r w:rsidRPr="004C3B04">
                        <w:rPr>
                          <w:rFonts w:asciiTheme="minorHAnsi" w:hAnsiTheme="minorHAnsi" w:cstheme="minorHAnsi"/>
                          <w:color w:val="FFFFFF" w:themeColor="background1"/>
                          <w:spacing w:val="20"/>
                          <w:w w:val="90"/>
                          <w:sz w:val="84"/>
                          <w:szCs w:val="84"/>
                          <w:lang w:val="x-none" w:eastAsia="x-none"/>
                        </w:rPr>
                        <w:t xml:space="preserve">КОНВЕРГЕНТНА </w:t>
                      </w:r>
                      <w:r w:rsidRPr="004C3B04">
                        <w:rPr>
                          <w:rFonts w:asciiTheme="minorHAnsi" w:hAnsiTheme="minorHAnsi" w:cstheme="minorHAnsi"/>
                          <w:color w:val="FFFFFF" w:themeColor="background1"/>
                          <w:spacing w:val="20"/>
                          <w:w w:val="90"/>
                          <w:sz w:val="84"/>
                          <w:szCs w:val="84"/>
                          <w:lang w:val="x-none" w:eastAsia="x-none"/>
                        </w:rPr>
                        <w:br/>
                        <w:t>ПРОГРАМА</w:t>
                      </w:r>
                    </w:p>
                    <w:p w14:paraId="717E81C6" w14:textId="3DA92204" w:rsidR="00C47B43" w:rsidRPr="004C3B04" w:rsidRDefault="00C47B43" w:rsidP="00E860CB">
                      <w:pPr>
                        <w:pStyle w:val="Subtitle"/>
                        <w:numPr>
                          <w:ilvl w:val="0"/>
                          <w:numId w:val="0"/>
                        </w:numPr>
                        <w:spacing w:after="360"/>
                        <w:rPr>
                          <w:rFonts w:asciiTheme="minorHAnsi" w:hAnsiTheme="minorHAnsi" w:cstheme="minorHAnsi"/>
                          <w:color w:val="FFFFFF" w:themeColor="background1"/>
                          <w:spacing w:val="20"/>
                          <w:w w:val="90"/>
                          <w:sz w:val="84"/>
                          <w:szCs w:val="84"/>
                          <w:lang w:val="bg-BG" w:eastAsia="x-none"/>
                        </w:rPr>
                      </w:pPr>
                      <w:r>
                        <w:rPr>
                          <w:rFonts w:asciiTheme="minorHAnsi" w:hAnsiTheme="minorHAnsi" w:cstheme="minorHAnsi"/>
                          <w:color w:val="FFFFFF" w:themeColor="background1"/>
                          <w:spacing w:val="20"/>
                          <w:w w:val="90"/>
                          <w:sz w:val="84"/>
                          <w:szCs w:val="84"/>
                          <w:lang w:val="bg-BG" w:eastAsia="x-none"/>
                        </w:rPr>
                        <w:t>(</w:t>
                      </w:r>
                      <w:r w:rsidRPr="004C3B04">
                        <w:rPr>
                          <w:rFonts w:asciiTheme="minorHAnsi" w:hAnsiTheme="minorHAnsi" w:cstheme="minorHAnsi"/>
                          <w:color w:val="FFFFFF" w:themeColor="background1"/>
                          <w:spacing w:val="20"/>
                          <w:w w:val="90"/>
                          <w:sz w:val="84"/>
                          <w:szCs w:val="84"/>
                          <w:lang w:val="x-none" w:eastAsia="x-none"/>
                        </w:rPr>
                        <w:t>2022–2025</w:t>
                      </w:r>
                      <w:r>
                        <w:rPr>
                          <w:rFonts w:asciiTheme="minorHAnsi" w:hAnsiTheme="minorHAnsi" w:cstheme="minorHAnsi"/>
                          <w:color w:val="FFFFFF" w:themeColor="background1"/>
                          <w:spacing w:val="20"/>
                          <w:w w:val="90"/>
                          <w:sz w:val="84"/>
                          <w:szCs w:val="84"/>
                          <w:lang w:val="bg-BG" w:eastAsia="x-none"/>
                        </w:rPr>
                        <w:t>)</w:t>
                      </w:r>
                    </w:p>
                    <w:p w14:paraId="1D458324" w14:textId="77777777" w:rsidR="00C47B43" w:rsidRPr="00E153D6" w:rsidRDefault="00C47B43" w:rsidP="00C15D07">
                      <w:pPr>
                        <w:rPr>
                          <w:color w:val="9F2936" w:themeColor="accent2"/>
                          <w:sz w:val="12"/>
                        </w:rPr>
                      </w:pPr>
                    </w:p>
                  </w:txbxContent>
                </v:textbox>
              </v:shape>
            </w:pict>
          </mc:Fallback>
        </mc:AlternateContent>
      </w:r>
      <w:r w:rsidRPr="005B2032">
        <w:rPr>
          <w:rFonts w:asciiTheme="minorHAnsi" w:hAnsiTheme="minorHAnsi" w:cstheme="minorHAnsi"/>
          <w:noProof/>
        </w:rPr>
        <mc:AlternateContent>
          <mc:Choice Requires="wps">
            <w:drawing>
              <wp:anchor distT="0" distB="0" distL="114300" distR="114300" simplePos="0" relativeHeight="251661312" behindDoc="0" locked="0" layoutInCell="1" allowOverlap="1" wp14:anchorId="1494DEC8" wp14:editId="0C3B9398">
                <wp:simplePos x="0" y="0"/>
                <wp:positionH relativeFrom="column">
                  <wp:posOffset>-904240</wp:posOffset>
                </wp:positionH>
                <wp:positionV relativeFrom="paragraph">
                  <wp:posOffset>1022350</wp:posOffset>
                </wp:positionV>
                <wp:extent cx="7560310" cy="23495"/>
                <wp:effectExtent l="0" t="19050" r="40640" b="52705"/>
                <wp:wrapNone/>
                <wp:docPr id="32" name="Straight Connector 32"/>
                <wp:cNvGraphicFramePr/>
                <a:graphic xmlns:a="http://schemas.openxmlformats.org/drawingml/2006/main">
                  <a:graphicData uri="http://schemas.microsoft.com/office/word/2010/wordprocessingShape">
                    <wps:wsp>
                      <wps:cNvCnPr/>
                      <wps:spPr>
                        <a:xfrm>
                          <a:off x="0" y="0"/>
                          <a:ext cx="7560310" cy="23495"/>
                        </a:xfrm>
                        <a:prstGeom prst="line">
                          <a:avLst/>
                        </a:prstGeom>
                        <a:ln w="57150">
                          <a:solidFill>
                            <a:srgbClr val="F2A4A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FCDCB7" id="Straight Connector 3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2pt,80.5pt" to="524.1pt,8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" strokecolor="#f2a4a2" strokeweight="4.5pt"/>
            </w:pict>
          </mc:Fallback>
        </mc:AlternateContent>
      </w:r>
      <w:r w:rsidR="009602B2" w:rsidRPr="005B2032">
        <w:rPr>
          <w:rFonts w:asciiTheme="minorHAnsi" w:hAnsiTheme="minorHAnsi" w:cstheme="minorHAnsi"/>
          <w:noProof/>
        </w:rPr>
        <mc:AlternateContent>
          <mc:Choice Requires="wps">
            <w:drawing>
              <wp:anchor distT="0" distB="0" distL="114300" distR="114300" simplePos="0" relativeHeight="251657216" behindDoc="0" locked="0" layoutInCell="1" allowOverlap="1" wp14:anchorId="43A5D87F" wp14:editId="79ADADA9">
                <wp:simplePos x="0" y="0"/>
                <wp:positionH relativeFrom="column">
                  <wp:posOffset>57150</wp:posOffset>
                </wp:positionH>
                <wp:positionV relativeFrom="paragraph">
                  <wp:posOffset>8404225</wp:posOffset>
                </wp:positionV>
                <wp:extent cx="2606040" cy="603885"/>
                <wp:effectExtent l="0" t="0" r="0" b="5715"/>
                <wp:wrapNone/>
                <wp:docPr id="58" name="Text 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6040" cy="603885"/>
                        </a:xfrm>
                        <a:prstGeom prst="rect">
                          <a:avLst/>
                        </a:prstGeom>
                        <a:noFill/>
                        <a:ln w="6350">
                          <a:noFill/>
                        </a:ln>
                        <a:effectLst/>
                      </wps:spPr>
                      <wps:txbx>
                        <w:txbxContent>
                          <w:p w14:paraId="2C0B1B30" w14:textId="6C5DBB67" w:rsidR="00C47B43" w:rsidRPr="00E37D99" w:rsidRDefault="00C47B43" w:rsidP="00C15D07">
                            <w:pPr>
                              <w:spacing w:after="0"/>
                              <w:jc w:val="left"/>
                              <w:rPr>
                                <w:rFonts w:cs="Calibri"/>
                                <w:color w:val="FFFFFF" w:themeColor="background1"/>
                                <w:sz w:val="32"/>
                                <w:szCs w:val="36"/>
                              </w:rPr>
                            </w:pPr>
                            <w:r w:rsidRPr="00E37D99">
                              <w:rPr>
                                <w:rFonts w:cs="Calibri"/>
                                <w:color w:val="FFFFFF" w:themeColor="background1"/>
                                <w:sz w:val="32"/>
                                <w:szCs w:val="36"/>
                              </w:rPr>
                              <w:t>20</w:t>
                            </w:r>
                            <w:r w:rsidRPr="00E37D99">
                              <w:rPr>
                                <w:rFonts w:cs="Calibri"/>
                                <w:color w:val="FFFFFF" w:themeColor="background1"/>
                                <w:sz w:val="32"/>
                                <w:szCs w:val="36"/>
                                <w:lang w:val="en-US"/>
                              </w:rPr>
                              <w:t>2</w:t>
                            </w:r>
                            <w:r w:rsidRPr="00E37D99">
                              <w:rPr>
                                <w:rFonts w:cs="Calibri"/>
                                <w:color w:val="FFFFFF" w:themeColor="background1"/>
                                <w:sz w:val="32"/>
                                <w:szCs w:val="36"/>
                              </w:rPr>
                              <w:t>2</w:t>
                            </w:r>
                            <w:r w:rsidRPr="00E37D99">
                              <w:rPr>
                                <w:rFonts w:cs="Calibri"/>
                                <w:color w:val="FFFFFF" w:themeColor="background1"/>
                                <w:sz w:val="32"/>
                                <w:szCs w:val="36"/>
                                <w:lang w:val="en-US"/>
                              </w:rPr>
                              <w:t> г.</w:t>
                            </w:r>
                            <w:r w:rsidRPr="00E37D99">
                              <w:rPr>
                                <w:rFonts w:cs="Calibri"/>
                                <w:color w:val="FFFFFF" w:themeColor="background1"/>
                                <w:sz w:val="32"/>
                                <w:szCs w:val="36"/>
                              </w:rPr>
                              <w:br/>
                              <w:t>София, България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5D87F" id="Text Box 681" o:spid="_x0000_s1027" type="#_x0000_t202" style="position:absolute;margin-left:4.5pt;margin-top:661.75pt;width:205.2pt;height:47.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" filled="f" stroked="f" strokeweight=".5pt">
                <v:path arrowok="t"/>
                <v:textbox>
                  <w:txbxContent>
                    <w:p w14:paraId="2C0B1B30" w14:textId="6C5DBB67" w:rsidR="00C47B43" w:rsidRPr="00E37D99" w:rsidRDefault="00C47B43" w:rsidP="00C15D07">
                      <w:pPr>
                        <w:spacing w:after="0"/>
                        <w:jc w:val="left"/>
                        <w:rPr>
                          <w:rFonts w:cs="Calibri"/>
                          <w:color w:val="FFFFFF" w:themeColor="background1"/>
                          <w:sz w:val="32"/>
                          <w:szCs w:val="36"/>
                        </w:rPr>
                      </w:pPr>
                      <w:r w:rsidRPr="00E37D99">
                        <w:rPr>
                          <w:rFonts w:cs="Calibri"/>
                          <w:color w:val="FFFFFF" w:themeColor="background1"/>
                          <w:sz w:val="32"/>
                          <w:szCs w:val="36"/>
                        </w:rPr>
                        <w:t>20</w:t>
                      </w:r>
                      <w:r w:rsidRPr="00E37D99">
                        <w:rPr>
                          <w:rFonts w:cs="Calibri"/>
                          <w:color w:val="FFFFFF" w:themeColor="background1"/>
                          <w:sz w:val="32"/>
                          <w:szCs w:val="36"/>
                          <w:lang w:val="en-US"/>
                        </w:rPr>
                        <w:t>2</w:t>
                      </w:r>
                      <w:r w:rsidRPr="00E37D99">
                        <w:rPr>
                          <w:rFonts w:cs="Calibri"/>
                          <w:color w:val="FFFFFF" w:themeColor="background1"/>
                          <w:sz w:val="32"/>
                          <w:szCs w:val="36"/>
                        </w:rPr>
                        <w:t>2</w:t>
                      </w:r>
                      <w:r w:rsidRPr="00E37D99">
                        <w:rPr>
                          <w:rFonts w:cs="Calibri"/>
                          <w:color w:val="FFFFFF" w:themeColor="background1"/>
                          <w:sz w:val="32"/>
                          <w:szCs w:val="36"/>
                          <w:lang w:val="en-US"/>
                        </w:rPr>
                        <w:t> г.</w:t>
                      </w:r>
                      <w:r w:rsidRPr="00E37D99">
                        <w:rPr>
                          <w:rFonts w:cs="Calibri"/>
                          <w:color w:val="FFFFFF" w:themeColor="background1"/>
                          <w:sz w:val="32"/>
                          <w:szCs w:val="36"/>
                        </w:rPr>
                        <w:br/>
                        <w:t>София, България</w:t>
                      </w:r>
                    </w:p>
                  </w:txbxContent>
                </v:textbox>
              </v:shape>
            </w:pict>
          </mc:Fallback>
        </mc:AlternateContent>
      </w:r>
      <w:r w:rsidR="00EC2B93" w:rsidRPr="005B2032">
        <w:rPr>
          <w:rFonts w:asciiTheme="minorHAnsi" w:hAnsiTheme="minorHAnsi" w:cstheme="minorHAnsi"/>
          <w:noProof/>
        </w:rPr>
        <mc:AlternateContent>
          <mc:Choice Requires="wps">
            <w:drawing>
              <wp:anchor distT="0" distB="0" distL="114300" distR="114300" simplePos="0" relativeHeight="251654143" behindDoc="0" locked="0" layoutInCell="1" allowOverlap="1" wp14:anchorId="276B64DA" wp14:editId="69F7FE28">
                <wp:simplePos x="0" y="0"/>
                <wp:positionH relativeFrom="column">
                  <wp:posOffset>-900430</wp:posOffset>
                </wp:positionH>
                <wp:positionV relativeFrom="paragraph">
                  <wp:posOffset>1038225</wp:posOffset>
                </wp:positionV>
                <wp:extent cx="7560310" cy="8625840"/>
                <wp:effectExtent l="0" t="0" r="2540" b="3810"/>
                <wp:wrapNone/>
                <wp:docPr id="14" name="Rectangle 14"/>
                <wp:cNvGraphicFramePr/>
                <a:graphic xmlns:a="http://schemas.openxmlformats.org/drawingml/2006/main">
                  <a:graphicData uri="http://schemas.microsoft.com/office/word/2010/wordprocessingShape">
                    <wps:wsp>
                      <wps:cNvSpPr/>
                      <wps:spPr>
                        <a:xfrm>
                          <a:off x="0" y="0"/>
                          <a:ext cx="7560310" cy="8625840"/>
                        </a:xfrm>
                        <a:prstGeom prst="rect">
                          <a:avLst/>
                        </a:prstGeom>
                        <a:solidFill>
                          <a:srgbClr val="6768A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4DCD99" id="Rectangle 14" o:spid="_x0000_s1026" style="position:absolute;margin-left:-70.9pt;margin-top:81.75pt;width:595.3pt;height:679.2pt;z-index:2516541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" fillcolor="#6768ab" stroked="f" strokeweight="1.25pt"/>
            </w:pict>
          </mc:Fallback>
        </mc:AlternateContent>
      </w:r>
      <w:r w:rsidR="00FD5BD4" w:rsidRPr="005B2032">
        <w:rPr>
          <w:rFonts w:asciiTheme="minorHAnsi" w:hAnsiTheme="minorHAnsi" w:cstheme="minorHAnsi"/>
        </w:rPr>
        <w:br w:type="page"/>
      </w:r>
    </w:p>
    <w:p w14:paraId="04C0E6EA" w14:textId="77777777" w:rsidR="0047731D" w:rsidRPr="005B2032" w:rsidRDefault="0047731D" w:rsidP="00D62D45">
      <w:pPr>
        <w:pStyle w:val="tabletextleft"/>
        <w:rPr>
          <w:rFonts w:asciiTheme="minorHAnsi" w:hAnsiTheme="minorHAnsi" w:cstheme="minorHAnsi"/>
        </w:rPr>
      </w:pPr>
    </w:p>
    <w:p w14:paraId="7767515B" w14:textId="77777777" w:rsidR="00333269" w:rsidRPr="00EC2B93" w:rsidRDefault="00333269" w:rsidP="007E2D71">
      <w:pPr>
        <w:pStyle w:val="Title"/>
        <w:spacing w:before="3600"/>
        <w:contextualSpacing w:val="0"/>
        <w:rPr>
          <w:rFonts w:asciiTheme="minorHAnsi" w:hAnsiTheme="minorHAnsi" w:cstheme="minorHAnsi"/>
          <w:color w:val="6768AB"/>
          <w:sz w:val="72"/>
          <w:szCs w:val="20"/>
          <w:lang w:val="x-none" w:eastAsia="x-none"/>
        </w:rPr>
      </w:pPr>
      <w:r w:rsidRPr="00EC2B93">
        <w:rPr>
          <w:rFonts w:asciiTheme="minorHAnsi" w:hAnsiTheme="minorHAnsi" w:cstheme="minorHAnsi"/>
          <w:color w:val="6768AB"/>
          <w:sz w:val="72"/>
          <w:szCs w:val="20"/>
          <w:lang w:val="x-none" w:eastAsia="x-none"/>
        </w:rPr>
        <w:t>Конвергентна</w:t>
      </w:r>
      <w:r w:rsidRPr="00EC2B93">
        <w:rPr>
          <w:rFonts w:asciiTheme="minorHAnsi" w:hAnsiTheme="minorHAnsi" w:cstheme="minorHAnsi"/>
          <w:color w:val="6768AB"/>
          <w:sz w:val="72"/>
          <w:szCs w:val="20"/>
          <w:lang w:val="x-none" w:eastAsia="x-none"/>
        </w:rPr>
        <w:br/>
        <w:t>програма</w:t>
      </w:r>
    </w:p>
    <w:p w14:paraId="51A912A8" w14:textId="77777777" w:rsidR="00333269" w:rsidRPr="00EC2B93" w:rsidRDefault="00333269" w:rsidP="00D62D45">
      <w:pPr>
        <w:pStyle w:val="tabletextleft"/>
        <w:rPr>
          <w:rFonts w:asciiTheme="minorHAnsi" w:hAnsiTheme="minorHAnsi" w:cstheme="minorHAnsi"/>
          <w:color w:val="6768AB"/>
        </w:rPr>
      </w:pPr>
    </w:p>
    <w:p w14:paraId="5E3DA7F2" w14:textId="5D920F0F" w:rsidR="002A6724" w:rsidRPr="005B2032" w:rsidRDefault="002A6724" w:rsidP="00802FC3">
      <w:pPr>
        <w:pStyle w:val="Subtitle"/>
        <w:numPr>
          <w:ilvl w:val="0"/>
          <w:numId w:val="0"/>
        </w:numPr>
        <w:rPr>
          <w:rFonts w:asciiTheme="minorHAnsi" w:hAnsiTheme="minorHAnsi" w:cstheme="minorHAnsi"/>
          <w:color w:val="auto"/>
          <w:sz w:val="44"/>
          <w:lang w:val="bg-BG"/>
        </w:rPr>
      </w:pPr>
      <w:r w:rsidRPr="005B2032">
        <w:rPr>
          <w:rFonts w:asciiTheme="minorHAnsi" w:hAnsiTheme="minorHAnsi" w:cstheme="minorHAnsi"/>
          <w:color w:val="auto"/>
          <w:sz w:val="44"/>
          <w:lang w:val="ru-RU"/>
        </w:rPr>
        <w:t>НА РЕПУБЛИКА БЪЛГАРИЯ</w:t>
      </w:r>
      <w:r w:rsidR="009D026E" w:rsidRPr="005B2032">
        <w:rPr>
          <w:rFonts w:asciiTheme="minorHAnsi" w:hAnsiTheme="minorHAnsi" w:cstheme="minorHAnsi"/>
          <w:color w:val="auto"/>
          <w:sz w:val="44"/>
          <w:lang w:val="ru-RU"/>
        </w:rPr>
        <w:br/>
      </w:r>
      <w:r w:rsidR="009D026E" w:rsidRPr="005B2032">
        <w:rPr>
          <w:rFonts w:asciiTheme="minorHAnsi" w:hAnsiTheme="minorHAnsi" w:cstheme="minorHAnsi"/>
          <w:color w:val="auto"/>
          <w:sz w:val="44"/>
          <w:lang w:val="bg-BG"/>
        </w:rPr>
        <w:t>20</w:t>
      </w:r>
      <w:r w:rsidR="00AB2263" w:rsidRPr="005B2032">
        <w:rPr>
          <w:rFonts w:asciiTheme="minorHAnsi" w:hAnsiTheme="minorHAnsi" w:cstheme="minorHAnsi"/>
          <w:color w:val="auto"/>
          <w:sz w:val="44"/>
          <w:lang w:val="en-US"/>
        </w:rPr>
        <w:t>2</w:t>
      </w:r>
      <w:r w:rsidR="00F85DC2" w:rsidRPr="005B2032">
        <w:rPr>
          <w:rFonts w:asciiTheme="minorHAnsi" w:hAnsiTheme="minorHAnsi" w:cstheme="minorHAnsi"/>
          <w:color w:val="auto"/>
          <w:sz w:val="44"/>
          <w:lang w:val="bg-BG"/>
        </w:rPr>
        <w:t>2</w:t>
      </w:r>
      <w:r w:rsidR="004935DD" w:rsidRPr="005B2032">
        <w:rPr>
          <w:rFonts w:asciiTheme="minorHAnsi" w:hAnsiTheme="minorHAnsi" w:cstheme="minorHAnsi"/>
          <w:color w:val="auto"/>
          <w:sz w:val="44"/>
          <w:lang w:val="bg-BG"/>
        </w:rPr>
        <w:t>–</w:t>
      </w:r>
      <w:r w:rsidR="008F0A6C" w:rsidRPr="005B2032">
        <w:rPr>
          <w:rFonts w:asciiTheme="minorHAnsi" w:hAnsiTheme="minorHAnsi" w:cstheme="minorHAnsi"/>
          <w:color w:val="auto"/>
          <w:sz w:val="44"/>
          <w:lang w:val="bg-BG"/>
        </w:rPr>
        <w:t>202</w:t>
      </w:r>
      <w:r w:rsidR="00F85DC2" w:rsidRPr="005B2032">
        <w:rPr>
          <w:rFonts w:asciiTheme="minorHAnsi" w:hAnsiTheme="minorHAnsi" w:cstheme="minorHAnsi"/>
          <w:color w:val="auto"/>
          <w:sz w:val="44"/>
          <w:lang w:val="bg-BG"/>
        </w:rPr>
        <w:t>5</w:t>
      </w:r>
    </w:p>
    <w:p w14:paraId="7E60E4D9" w14:textId="77777777" w:rsidR="00333269" w:rsidRPr="005B2032" w:rsidRDefault="00333269" w:rsidP="00D62D45">
      <w:pPr>
        <w:rPr>
          <w:rFonts w:asciiTheme="minorHAnsi" w:hAnsiTheme="minorHAnsi" w:cstheme="minorHAnsi"/>
        </w:rPr>
      </w:pPr>
    </w:p>
    <w:p w14:paraId="66385549" w14:textId="77777777" w:rsidR="00333269" w:rsidRPr="005B2032" w:rsidRDefault="00333269" w:rsidP="00D62D45">
      <w:pPr>
        <w:rPr>
          <w:rFonts w:asciiTheme="minorHAnsi" w:hAnsiTheme="minorHAnsi" w:cstheme="minorHAnsi"/>
        </w:rPr>
      </w:pPr>
    </w:p>
    <w:p w14:paraId="1A2CC67C" w14:textId="77777777" w:rsidR="00333269" w:rsidRPr="005B2032" w:rsidRDefault="00333269" w:rsidP="00D62D45">
      <w:pPr>
        <w:rPr>
          <w:rFonts w:asciiTheme="minorHAnsi" w:hAnsiTheme="minorHAnsi" w:cstheme="minorHAnsi"/>
        </w:rPr>
      </w:pPr>
    </w:p>
    <w:p w14:paraId="42C74B47" w14:textId="77777777" w:rsidR="00333269" w:rsidRPr="005B2032" w:rsidRDefault="00333269" w:rsidP="00D62D45">
      <w:pPr>
        <w:rPr>
          <w:rFonts w:asciiTheme="minorHAnsi" w:hAnsiTheme="minorHAnsi" w:cstheme="minorHAnsi"/>
        </w:rPr>
      </w:pPr>
    </w:p>
    <w:p w14:paraId="729FC087" w14:textId="77777777" w:rsidR="00333269" w:rsidRPr="005B2032" w:rsidRDefault="00333269" w:rsidP="00D62D45">
      <w:pPr>
        <w:rPr>
          <w:rFonts w:asciiTheme="minorHAnsi" w:hAnsiTheme="minorHAnsi" w:cstheme="minorHAnsi"/>
        </w:rPr>
      </w:pPr>
    </w:p>
    <w:p w14:paraId="75A9DDCC" w14:textId="77777777" w:rsidR="00425C5F" w:rsidRPr="005B2032" w:rsidRDefault="00425C5F" w:rsidP="00D62D45">
      <w:pPr>
        <w:rPr>
          <w:rFonts w:asciiTheme="minorHAnsi" w:hAnsiTheme="minorHAnsi" w:cstheme="minorHAnsi"/>
        </w:rPr>
      </w:pPr>
    </w:p>
    <w:p w14:paraId="10AEC489" w14:textId="77777777" w:rsidR="00425C5F" w:rsidRPr="005B2032" w:rsidRDefault="00425C5F" w:rsidP="00D62D45">
      <w:pPr>
        <w:rPr>
          <w:rFonts w:asciiTheme="minorHAnsi" w:hAnsiTheme="minorHAnsi" w:cstheme="minorHAnsi"/>
        </w:rPr>
      </w:pPr>
    </w:p>
    <w:p w14:paraId="1BB68520" w14:textId="77777777" w:rsidR="004E7B7F" w:rsidRPr="005B2032" w:rsidRDefault="004E7B7F" w:rsidP="00AF3683">
      <w:pPr>
        <w:rPr>
          <w:rFonts w:asciiTheme="minorHAnsi" w:hAnsiTheme="minorHAnsi" w:cstheme="minorHAnsi"/>
        </w:rPr>
      </w:pPr>
    </w:p>
    <w:p w14:paraId="441DEFCC" w14:textId="77777777" w:rsidR="00333269" w:rsidRPr="005B2032" w:rsidRDefault="00333269" w:rsidP="00D62D45">
      <w:pPr>
        <w:rPr>
          <w:rFonts w:asciiTheme="minorHAnsi" w:hAnsiTheme="minorHAnsi" w:cstheme="minorHAnsi"/>
        </w:rPr>
      </w:pPr>
    </w:p>
    <w:p w14:paraId="4B853069" w14:textId="77777777" w:rsidR="006657CD" w:rsidRPr="005B2032" w:rsidRDefault="006657CD" w:rsidP="00D62D45">
      <w:pPr>
        <w:rPr>
          <w:rFonts w:asciiTheme="minorHAnsi" w:hAnsiTheme="minorHAnsi" w:cstheme="minorHAnsi"/>
        </w:rPr>
      </w:pPr>
    </w:p>
    <w:p w14:paraId="4F9F1B0A" w14:textId="77777777" w:rsidR="006657CD" w:rsidRPr="005B2032" w:rsidRDefault="006657CD" w:rsidP="00D62D45">
      <w:pPr>
        <w:rPr>
          <w:rFonts w:asciiTheme="minorHAnsi" w:hAnsiTheme="minorHAnsi" w:cstheme="minorHAnsi"/>
        </w:rPr>
      </w:pPr>
    </w:p>
    <w:p w14:paraId="25DD21E1" w14:textId="77777777" w:rsidR="006657CD" w:rsidRPr="005B2032" w:rsidRDefault="006657CD" w:rsidP="00D62D45">
      <w:pPr>
        <w:rPr>
          <w:rFonts w:asciiTheme="minorHAnsi" w:hAnsiTheme="minorHAnsi" w:cstheme="minorHAnsi"/>
        </w:rPr>
      </w:pPr>
    </w:p>
    <w:p w14:paraId="2F698703" w14:textId="42270FF9" w:rsidR="006657CD" w:rsidRDefault="006657CD" w:rsidP="00D62D45">
      <w:pPr>
        <w:rPr>
          <w:rFonts w:asciiTheme="minorHAnsi" w:hAnsiTheme="minorHAnsi" w:cstheme="minorHAnsi"/>
        </w:rPr>
      </w:pPr>
    </w:p>
    <w:p w14:paraId="6F9C8A56" w14:textId="77777777" w:rsidR="00EC2B93" w:rsidRPr="005B2032" w:rsidRDefault="00EC2B93" w:rsidP="00D62D45">
      <w:pPr>
        <w:rPr>
          <w:rFonts w:asciiTheme="minorHAnsi" w:hAnsiTheme="minorHAnsi" w:cstheme="minorHAnsi"/>
        </w:rPr>
      </w:pPr>
    </w:p>
    <w:p w14:paraId="7E6D427F" w14:textId="77777777" w:rsidR="00EB01AE" w:rsidRPr="005B2032" w:rsidRDefault="00EB01AE" w:rsidP="00D62D45">
      <w:pPr>
        <w:rPr>
          <w:rFonts w:asciiTheme="minorHAnsi" w:hAnsiTheme="minorHAnsi" w:cstheme="minorHAnsi"/>
        </w:rPr>
      </w:pPr>
    </w:p>
    <w:p w14:paraId="409CFC1F" w14:textId="77777777" w:rsidR="00EB01AE" w:rsidRPr="005B2032" w:rsidRDefault="00EB01AE" w:rsidP="00D62D45">
      <w:pPr>
        <w:rPr>
          <w:rFonts w:asciiTheme="minorHAnsi" w:hAnsiTheme="minorHAnsi" w:cstheme="minorHAnsi"/>
        </w:rPr>
      </w:pPr>
    </w:p>
    <w:p w14:paraId="61810002" w14:textId="77777777" w:rsidR="00333269" w:rsidRPr="005B2032" w:rsidRDefault="00333269" w:rsidP="00D62D45">
      <w:pPr>
        <w:rPr>
          <w:rFonts w:asciiTheme="minorHAnsi" w:hAnsiTheme="minorHAnsi" w:cstheme="minorHAnsi"/>
        </w:rPr>
      </w:pPr>
    </w:p>
    <w:p w14:paraId="2CEA4942" w14:textId="30E23F19" w:rsidR="002F2980" w:rsidRPr="005B2032" w:rsidRDefault="00B8453F" w:rsidP="00802FC3">
      <w:pPr>
        <w:jc w:val="left"/>
        <w:rPr>
          <w:rFonts w:asciiTheme="minorHAnsi" w:hAnsiTheme="minorHAnsi" w:cstheme="minorHAnsi"/>
          <w:spacing w:val="20"/>
          <w:sz w:val="28"/>
          <w:szCs w:val="28"/>
        </w:rPr>
      </w:pPr>
      <w:r w:rsidRPr="005B2032">
        <w:rPr>
          <w:rFonts w:asciiTheme="minorHAnsi" w:hAnsiTheme="minorHAnsi" w:cstheme="minorHAnsi"/>
          <w:spacing w:val="20"/>
          <w:sz w:val="28"/>
          <w:szCs w:val="28"/>
        </w:rPr>
        <w:t>София,</w:t>
      </w:r>
      <w:r w:rsidR="008A2E23" w:rsidRPr="005B2032">
        <w:rPr>
          <w:rFonts w:asciiTheme="minorHAnsi" w:hAnsiTheme="minorHAnsi" w:cstheme="minorHAnsi"/>
          <w:spacing w:val="20"/>
          <w:sz w:val="28"/>
          <w:szCs w:val="28"/>
        </w:rPr>
        <w:t xml:space="preserve"> </w:t>
      </w:r>
      <w:r w:rsidR="00333269" w:rsidRPr="005B2032">
        <w:rPr>
          <w:rFonts w:asciiTheme="minorHAnsi" w:hAnsiTheme="minorHAnsi" w:cstheme="minorHAnsi"/>
          <w:spacing w:val="20"/>
          <w:sz w:val="28"/>
          <w:szCs w:val="28"/>
        </w:rPr>
        <w:t>20</w:t>
      </w:r>
      <w:r w:rsidR="006414F9" w:rsidRPr="005B2032">
        <w:rPr>
          <w:rFonts w:asciiTheme="minorHAnsi" w:hAnsiTheme="minorHAnsi" w:cstheme="minorHAnsi"/>
          <w:spacing w:val="20"/>
          <w:sz w:val="28"/>
          <w:szCs w:val="28"/>
          <w:lang w:val="en-US"/>
        </w:rPr>
        <w:t>22</w:t>
      </w:r>
      <w:r w:rsidR="00DF07FD">
        <w:rPr>
          <w:rFonts w:asciiTheme="minorHAnsi" w:hAnsiTheme="minorHAnsi" w:cstheme="minorHAnsi"/>
          <w:spacing w:val="20"/>
          <w:sz w:val="28"/>
          <w:szCs w:val="28"/>
        </w:rPr>
        <w:t> г.</w:t>
      </w:r>
      <w:r w:rsidR="00802FC3" w:rsidRPr="005B2032">
        <w:rPr>
          <w:rFonts w:asciiTheme="minorHAnsi" w:hAnsiTheme="minorHAnsi" w:cstheme="minorHAnsi"/>
          <w:spacing w:val="20"/>
          <w:sz w:val="28"/>
          <w:szCs w:val="28"/>
        </w:rPr>
        <w:br/>
      </w:r>
      <w:r w:rsidR="00EB01AE" w:rsidRPr="005B2032">
        <w:rPr>
          <w:rFonts w:asciiTheme="minorHAnsi" w:hAnsiTheme="minorHAnsi" w:cstheme="minorHAnsi"/>
          <w:spacing w:val="20"/>
          <w:sz w:val="28"/>
          <w:szCs w:val="28"/>
        </w:rPr>
        <w:t>Министерство на финансите</w:t>
      </w:r>
    </w:p>
    <w:p w14:paraId="33093E79" w14:textId="77777777" w:rsidR="002F2980" w:rsidRPr="005B2032" w:rsidRDefault="002F2980" w:rsidP="00802FC3">
      <w:pPr>
        <w:jc w:val="left"/>
        <w:rPr>
          <w:rFonts w:asciiTheme="minorHAnsi" w:hAnsiTheme="minorHAnsi" w:cstheme="minorHAnsi"/>
          <w:spacing w:val="20"/>
          <w:sz w:val="20"/>
        </w:rPr>
        <w:sectPr w:rsidR="002F2980" w:rsidRPr="005B2032" w:rsidSect="00202EFA">
          <w:footerReference w:type="even" r:id="rId35"/>
          <w:footerReference w:type="default" r:id="rId36"/>
          <w:type w:val="continuous"/>
          <w:pgSz w:w="11906" w:h="16838" w:code="9"/>
          <w:pgMar w:top="1418" w:right="1418" w:bottom="851" w:left="1418" w:header="680" w:footer="680" w:gutter="0"/>
          <w:cols w:space="708"/>
          <w:docGrid w:linePitch="360"/>
        </w:sectPr>
      </w:pPr>
    </w:p>
    <w:p w14:paraId="04AE651A" w14:textId="77777777" w:rsidR="00C445AB" w:rsidRPr="00F6194C" w:rsidRDefault="00C445AB" w:rsidP="00AE1EB5">
      <w:pPr>
        <w:pStyle w:val="Heading2"/>
        <w:numPr>
          <w:ilvl w:val="0"/>
          <w:numId w:val="0"/>
        </w:numPr>
        <w:rPr>
          <w:rFonts w:asciiTheme="minorHAnsi" w:hAnsiTheme="minorHAnsi" w:cstheme="minorHAnsi"/>
        </w:rPr>
      </w:pPr>
      <w:bookmarkStart w:id="4" w:name="_Toc353537647"/>
      <w:bookmarkStart w:id="5" w:name="_Toc353544924"/>
      <w:bookmarkStart w:id="6" w:name="_Toc382388425"/>
      <w:bookmarkStart w:id="7" w:name="_Toc382472281"/>
      <w:bookmarkStart w:id="8" w:name="_Toc385006941"/>
      <w:bookmarkStart w:id="9" w:name="_Toc417634602"/>
      <w:bookmarkStart w:id="10" w:name="_Toc448137405"/>
      <w:bookmarkStart w:id="11" w:name="_Toc448137531"/>
      <w:bookmarkStart w:id="12" w:name="_Toc448227256"/>
      <w:bookmarkStart w:id="13" w:name="_Toc479332405"/>
      <w:bookmarkStart w:id="14" w:name="_Toc479332491"/>
      <w:bookmarkStart w:id="15" w:name="_Toc511379680"/>
      <w:bookmarkStart w:id="16" w:name="_Toc70001129"/>
      <w:bookmarkStart w:id="17" w:name="_Toc70082985"/>
      <w:bookmarkStart w:id="18" w:name="_Toc100906059"/>
      <w:r w:rsidRPr="00F6194C">
        <w:rPr>
          <w:rFonts w:asciiTheme="minorHAnsi" w:hAnsiTheme="minorHAnsi" w:cstheme="minorHAnsi"/>
        </w:rPr>
        <w:lastRenderedPageBreak/>
        <w:t>Съдържание</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18DFBB1" w14:textId="3BE6AD44" w:rsidR="004621D9" w:rsidRDefault="002B6574">
      <w:pPr>
        <w:pStyle w:val="TOC2"/>
        <w:rPr>
          <w:rFonts w:asciiTheme="minorHAnsi" w:eastAsiaTheme="minorEastAsia" w:hAnsiTheme="minorHAnsi" w:cstheme="minorBidi"/>
          <w:sz w:val="22"/>
          <w:szCs w:val="22"/>
          <w:lang w:val="bg-BG"/>
        </w:rPr>
      </w:pPr>
      <w:r w:rsidRPr="005B2032">
        <w:rPr>
          <w:rStyle w:val="Hyperlink"/>
          <w:rFonts w:asciiTheme="minorHAnsi" w:hAnsiTheme="minorHAnsi" w:cstheme="minorHAnsi"/>
          <w:b/>
          <w:bCs/>
          <w:caps/>
          <w:color w:val="auto"/>
          <w:kern w:val="32"/>
          <w:highlight w:val="yellow"/>
          <w:lang w:eastAsia="en-US"/>
        </w:rPr>
        <w:fldChar w:fldCharType="begin"/>
      </w:r>
      <w:r w:rsidRPr="005B2032">
        <w:rPr>
          <w:rStyle w:val="Hyperlink"/>
          <w:rFonts w:asciiTheme="minorHAnsi" w:hAnsiTheme="minorHAnsi" w:cstheme="minorHAnsi"/>
          <w:caps/>
          <w:color w:val="auto"/>
          <w:highlight w:val="yellow"/>
        </w:rPr>
        <w:instrText xml:space="preserve"> TOC \o "1-2" \h \z \u </w:instrText>
      </w:r>
      <w:r w:rsidRPr="005B2032">
        <w:rPr>
          <w:rStyle w:val="Hyperlink"/>
          <w:rFonts w:asciiTheme="minorHAnsi" w:hAnsiTheme="minorHAnsi" w:cstheme="minorHAnsi"/>
          <w:b/>
          <w:bCs/>
          <w:caps/>
          <w:color w:val="auto"/>
          <w:kern w:val="32"/>
          <w:highlight w:val="yellow"/>
          <w:lang w:eastAsia="en-US"/>
        </w:rPr>
        <w:fldChar w:fldCharType="separate"/>
      </w:r>
    </w:p>
    <w:p w14:paraId="17B84DDA" w14:textId="6B17E03D" w:rsidR="004621D9" w:rsidRDefault="0046210A">
      <w:pPr>
        <w:pStyle w:val="TOC1"/>
        <w:rPr>
          <w:rFonts w:asciiTheme="minorHAnsi" w:eastAsiaTheme="minorEastAsia" w:hAnsiTheme="minorHAnsi" w:cstheme="minorBidi"/>
          <w:b w:val="0"/>
          <w:bCs w:val="0"/>
          <w:color w:val="auto"/>
          <w:kern w:val="0"/>
          <w:sz w:val="22"/>
          <w:szCs w:val="22"/>
        </w:rPr>
      </w:pPr>
      <w:hyperlink w:anchor="_Toc100906061" w:history="1">
        <w:r w:rsidR="004621D9" w:rsidRPr="004F55DE">
          <w:rPr>
            <w:rStyle w:val="Hyperlink"/>
          </w:rPr>
          <w:t>1.</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Обща рамка на</w:t>
        </w:r>
        <w:r w:rsidR="001454AE">
          <w:rPr>
            <w:rStyle w:val="Hyperlink"/>
          </w:rPr>
          <w:t xml:space="preserve"> </w:t>
        </w:r>
        <w:r w:rsidR="004621D9" w:rsidRPr="004F55DE">
          <w:rPr>
            <w:rStyle w:val="Hyperlink"/>
          </w:rPr>
          <w:t>политиките и цели</w:t>
        </w:r>
        <w:r w:rsidR="004621D9">
          <w:rPr>
            <w:webHidden/>
          </w:rPr>
          <w:tab/>
        </w:r>
        <w:r w:rsidR="004621D9">
          <w:rPr>
            <w:webHidden/>
          </w:rPr>
          <w:fldChar w:fldCharType="begin"/>
        </w:r>
        <w:r w:rsidR="004621D9">
          <w:rPr>
            <w:webHidden/>
          </w:rPr>
          <w:instrText xml:space="preserve"> PAGEREF _Toc100906061 \h </w:instrText>
        </w:r>
        <w:r w:rsidR="004621D9">
          <w:rPr>
            <w:webHidden/>
          </w:rPr>
        </w:r>
        <w:r w:rsidR="004621D9">
          <w:rPr>
            <w:webHidden/>
          </w:rPr>
          <w:fldChar w:fldCharType="separate"/>
        </w:r>
        <w:r w:rsidR="00232E48">
          <w:rPr>
            <w:webHidden/>
          </w:rPr>
          <w:t>5</w:t>
        </w:r>
        <w:r w:rsidR="004621D9">
          <w:rPr>
            <w:webHidden/>
          </w:rPr>
          <w:fldChar w:fldCharType="end"/>
        </w:r>
      </w:hyperlink>
    </w:p>
    <w:p w14:paraId="148F683C" w14:textId="01AB5E56" w:rsidR="004621D9" w:rsidRDefault="0046210A">
      <w:pPr>
        <w:pStyle w:val="TOC1"/>
        <w:rPr>
          <w:rFonts w:asciiTheme="minorHAnsi" w:eastAsiaTheme="minorEastAsia" w:hAnsiTheme="minorHAnsi" w:cstheme="minorBidi"/>
          <w:b w:val="0"/>
          <w:bCs w:val="0"/>
          <w:color w:val="auto"/>
          <w:kern w:val="0"/>
          <w:sz w:val="22"/>
          <w:szCs w:val="22"/>
        </w:rPr>
      </w:pPr>
      <w:hyperlink w:anchor="_Toc100906062" w:history="1">
        <w:r w:rsidR="004621D9" w:rsidRPr="004F55DE">
          <w:rPr>
            <w:rStyle w:val="Hyperlink"/>
          </w:rPr>
          <w:t>2.</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Икономически перспективи</w:t>
        </w:r>
        <w:r w:rsidR="004621D9">
          <w:rPr>
            <w:webHidden/>
          </w:rPr>
          <w:tab/>
        </w:r>
        <w:r w:rsidR="004621D9">
          <w:rPr>
            <w:webHidden/>
          </w:rPr>
          <w:fldChar w:fldCharType="begin"/>
        </w:r>
        <w:r w:rsidR="004621D9">
          <w:rPr>
            <w:webHidden/>
          </w:rPr>
          <w:instrText xml:space="preserve"> PAGEREF _Toc100906062 \h </w:instrText>
        </w:r>
        <w:r w:rsidR="004621D9">
          <w:rPr>
            <w:webHidden/>
          </w:rPr>
        </w:r>
        <w:r w:rsidR="004621D9">
          <w:rPr>
            <w:webHidden/>
          </w:rPr>
          <w:fldChar w:fldCharType="separate"/>
        </w:r>
        <w:r w:rsidR="00232E48">
          <w:rPr>
            <w:webHidden/>
          </w:rPr>
          <w:t>7</w:t>
        </w:r>
        <w:r w:rsidR="004621D9">
          <w:rPr>
            <w:webHidden/>
          </w:rPr>
          <w:fldChar w:fldCharType="end"/>
        </w:r>
      </w:hyperlink>
    </w:p>
    <w:p w14:paraId="5C9E7693" w14:textId="13B5D491" w:rsidR="004621D9" w:rsidRDefault="0046210A">
      <w:pPr>
        <w:pStyle w:val="TOC2"/>
        <w:rPr>
          <w:rFonts w:asciiTheme="minorHAnsi" w:eastAsiaTheme="minorEastAsia" w:hAnsiTheme="minorHAnsi" w:cstheme="minorBidi"/>
          <w:sz w:val="22"/>
          <w:szCs w:val="22"/>
          <w:lang w:val="bg-BG"/>
        </w:rPr>
      </w:pPr>
      <w:hyperlink w:anchor="_Toc100906063" w:history="1">
        <w:r w:rsidR="004621D9" w:rsidRPr="004F55DE">
          <w:rPr>
            <w:rStyle w:val="Hyperlink"/>
          </w:rPr>
          <w:t>2.1</w:t>
        </w:r>
        <w:r w:rsidR="004621D9">
          <w:rPr>
            <w:rFonts w:asciiTheme="minorHAnsi" w:eastAsiaTheme="minorEastAsia" w:hAnsiTheme="minorHAnsi" w:cstheme="minorBidi"/>
            <w:sz w:val="22"/>
            <w:szCs w:val="22"/>
            <w:lang w:val="bg-BG"/>
          </w:rPr>
          <w:tab/>
        </w:r>
        <w:r w:rsidR="004621D9" w:rsidRPr="004F55DE">
          <w:rPr>
            <w:rStyle w:val="Hyperlink"/>
          </w:rPr>
          <w:t>Допускания за развитието на световната икономика</w:t>
        </w:r>
        <w:r w:rsidR="0083390F">
          <w:rPr>
            <w:rStyle w:val="Hyperlink"/>
            <w:lang w:val="bg-BG"/>
          </w:rPr>
          <w:t>ф</w:t>
        </w:r>
        <w:r w:rsidR="004621D9">
          <w:rPr>
            <w:webHidden/>
          </w:rPr>
          <w:tab/>
        </w:r>
        <w:r w:rsidR="004621D9">
          <w:rPr>
            <w:webHidden/>
          </w:rPr>
          <w:fldChar w:fldCharType="begin"/>
        </w:r>
        <w:r w:rsidR="004621D9">
          <w:rPr>
            <w:webHidden/>
          </w:rPr>
          <w:instrText xml:space="preserve"> PAGEREF _Toc100906063 \h </w:instrText>
        </w:r>
        <w:r w:rsidR="004621D9">
          <w:rPr>
            <w:webHidden/>
          </w:rPr>
        </w:r>
        <w:r w:rsidR="004621D9">
          <w:rPr>
            <w:webHidden/>
          </w:rPr>
          <w:fldChar w:fldCharType="separate"/>
        </w:r>
        <w:r w:rsidR="00232E48">
          <w:rPr>
            <w:webHidden/>
          </w:rPr>
          <w:t>7</w:t>
        </w:r>
        <w:r w:rsidR="004621D9">
          <w:rPr>
            <w:webHidden/>
          </w:rPr>
          <w:fldChar w:fldCharType="end"/>
        </w:r>
      </w:hyperlink>
    </w:p>
    <w:p w14:paraId="4637C8C2" w14:textId="079F73CA" w:rsidR="004621D9" w:rsidRDefault="0046210A">
      <w:pPr>
        <w:pStyle w:val="TOC2"/>
        <w:rPr>
          <w:rFonts w:asciiTheme="minorHAnsi" w:eastAsiaTheme="minorEastAsia" w:hAnsiTheme="minorHAnsi" w:cstheme="minorBidi"/>
          <w:sz w:val="22"/>
          <w:szCs w:val="22"/>
          <w:lang w:val="bg-BG"/>
        </w:rPr>
      </w:pPr>
      <w:hyperlink w:anchor="_Toc100906064" w:history="1">
        <w:r w:rsidR="004621D9" w:rsidRPr="004F55DE">
          <w:rPr>
            <w:rStyle w:val="Hyperlink"/>
          </w:rPr>
          <w:t>2.2</w:t>
        </w:r>
        <w:r w:rsidR="004621D9">
          <w:rPr>
            <w:rFonts w:asciiTheme="minorHAnsi" w:eastAsiaTheme="minorEastAsia" w:hAnsiTheme="minorHAnsi" w:cstheme="minorBidi"/>
            <w:sz w:val="22"/>
            <w:szCs w:val="22"/>
            <w:lang w:val="bg-BG"/>
          </w:rPr>
          <w:tab/>
        </w:r>
        <w:r w:rsidR="004621D9" w:rsidRPr="004F55DE">
          <w:rPr>
            <w:rStyle w:val="Hyperlink"/>
          </w:rPr>
          <w:t>Икономически перспективи и циклично развитие</w:t>
        </w:r>
        <w:r w:rsidR="004621D9">
          <w:rPr>
            <w:webHidden/>
          </w:rPr>
          <w:tab/>
        </w:r>
        <w:r w:rsidR="004621D9">
          <w:rPr>
            <w:webHidden/>
          </w:rPr>
          <w:fldChar w:fldCharType="begin"/>
        </w:r>
        <w:r w:rsidR="004621D9">
          <w:rPr>
            <w:webHidden/>
          </w:rPr>
          <w:instrText xml:space="preserve"> PAGEREF _Toc100906064 \h </w:instrText>
        </w:r>
        <w:r w:rsidR="004621D9">
          <w:rPr>
            <w:webHidden/>
          </w:rPr>
        </w:r>
        <w:r w:rsidR="004621D9">
          <w:rPr>
            <w:webHidden/>
          </w:rPr>
          <w:fldChar w:fldCharType="separate"/>
        </w:r>
        <w:r w:rsidR="00232E48">
          <w:rPr>
            <w:webHidden/>
          </w:rPr>
          <w:t>8</w:t>
        </w:r>
        <w:r w:rsidR="004621D9">
          <w:rPr>
            <w:webHidden/>
          </w:rPr>
          <w:fldChar w:fldCharType="end"/>
        </w:r>
      </w:hyperlink>
    </w:p>
    <w:p w14:paraId="651D8EC5" w14:textId="3031C1DC" w:rsidR="004621D9" w:rsidRDefault="0046210A">
      <w:pPr>
        <w:pStyle w:val="TOC2"/>
        <w:rPr>
          <w:rFonts w:asciiTheme="minorHAnsi" w:eastAsiaTheme="minorEastAsia" w:hAnsiTheme="minorHAnsi" w:cstheme="minorBidi"/>
          <w:sz w:val="22"/>
          <w:szCs w:val="22"/>
          <w:lang w:val="bg-BG"/>
        </w:rPr>
      </w:pPr>
      <w:hyperlink w:anchor="_Toc100906065" w:history="1">
        <w:r w:rsidR="004621D9" w:rsidRPr="004F55DE">
          <w:rPr>
            <w:rStyle w:val="Hyperlink"/>
          </w:rPr>
          <w:t>2.3</w:t>
        </w:r>
        <w:r w:rsidR="004621D9">
          <w:rPr>
            <w:rFonts w:asciiTheme="minorHAnsi" w:eastAsiaTheme="minorEastAsia" w:hAnsiTheme="minorHAnsi" w:cstheme="minorBidi"/>
            <w:sz w:val="22"/>
            <w:szCs w:val="22"/>
            <w:lang w:val="bg-BG"/>
          </w:rPr>
          <w:tab/>
        </w:r>
        <w:r w:rsidR="004621D9" w:rsidRPr="004F55DE">
          <w:rPr>
            <w:rStyle w:val="Hyperlink"/>
          </w:rPr>
          <w:t>Средносрочен сценарий</w:t>
        </w:r>
        <w:r w:rsidR="004621D9">
          <w:rPr>
            <w:webHidden/>
          </w:rPr>
          <w:tab/>
        </w:r>
        <w:r w:rsidR="004621D9">
          <w:rPr>
            <w:webHidden/>
          </w:rPr>
          <w:fldChar w:fldCharType="begin"/>
        </w:r>
        <w:r w:rsidR="004621D9">
          <w:rPr>
            <w:webHidden/>
          </w:rPr>
          <w:instrText xml:space="preserve"> PAGEREF _Toc100906065 \h </w:instrText>
        </w:r>
        <w:r w:rsidR="004621D9">
          <w:rPr>
            <w:webHidden/>
          </w:rPr>
        </w:r>
        <w:r w:rsidR="004621D9">
          <w:rPr>
            <w:webHidden/>
          </w:rPr>
          <w:fldChar w:fldCharType="separate"/>
        </w:r>
        <w:r w:rsidR="00232E48">
          <w:rPr>
            <w:webHidden/>
          </w:rPr>
          <w:t>9</w:t>
        </w:r>
        <w:r w:rsidR="004621D9">
          <w:rPr>
            <w:webHidden/>
          </w:rPr>
          <w:fldChar w:fldCharType="end"/>
        </w:r>
      </w:hyperlink>
    </w:p>
    <w:p w14:paraId="39FB02AB" w14:textId="0C43983F" w:rsidR="004621D9" w:rsidRDefault="0046210A">
      <w:pPr>
        <w:pStyle w:val="TOC2"/>
        <w:rPr>
          <w:rFonts w:asciiTheme="minorHAnsi" w:eastAsiaTheme="minorEastAsia" w:hAnsiTheme="minorHAnsi" w:cstheme="minorBidi"/>
          <w:sz w:val="22"/>
          <w:szCs w:val="22"/>
          <w:lang w:val="bg-BG"/>
        </w:rPr>
      </w:pPr>
      <w:hyperlink w:anchor="_Toc100906066" w:history="1">
        <w:r w:rsidR="004621D9" w:rsidRPr="004F55DE">
          <w:rPr>
            <w:rStyle w:val="Hyperlink"/>
          </w:rPr>
          <w:t>2.4</w:t>
        </w:r>
        <w:r w:rsidR="004621D9">
          <w:rPr>
            <w:rFonts w:asciiTheme="minorHAnsi" w:eastAsiaTheme="minorEastAsia" w:hAnsiTheme="minorHAnsi" w:cstheme="minorBidi"/>
            <w:sz w:val="22"/>
            <w:szCs w:val="22"/>
            <w:lang w:val="bg-BG"/>
          </w:rPr>
          <w:tab/>
        </w:r>
        <w:r w:rsidR="004621D9" w:rsidRPr="004F55DE">
          <w:rPr>
            <w:rStyle w:val="Hyperlink"/>
          </w:rPr>
          <w:t>Секторни баланси</w:t>
        </w:r>
        <w:r w:rsidR="004621D9">
          <w:rPr>
            <w:webHidden/>
          </w:rPr>
          <w:tab/>
        </w:r>
        <w:r w:rsidR="004621D9">
          <w:rPr>
            <w:webHidden/>
          </w:rPr>
          <w:fldChar w:fldCharType="begin"/>
        </w:r>
        <w:r w:rsidR="004621D9">
          <w:rPr>
            <w:webHidden/>
          </w:rPr>
          <w:instrText xml:space="preserve"> PAGEREF _Toc100906066 \h </w:instrText>
        </w:r>
        <w:r w:rsidR="004621D9">
          <w:rPr>
            <w:webHidden/>
          </w:rPr>
        </w:r>
        <w:r w:rsidR="004621D9">
          <w:rPr>
            <w:webHidden/>
          </w:rPr>
          <w:fldChar w:fldCharType="separate"/>
        </w:r>
        <w:r w:rsidR="00232E48">
          <w:rPr>
            <w:webHidden/>
          </w:rPr>
          <w:t>10</w:t>
        </w:r>
        <w:r w:rsidR="004621D9">
          <w:rPr>
            <w:webHidden/>
          </w:rPr>
          <w:fldChar w:fldCharType="end"/>
        </w:r>
      </w:hyperlink>
    </w:p>
    <w:p w14:paraId="6DA2318F" w14:textId="768B47B0" w:rsidR="004621D9" w:rsidRDefault="0046210A">
      <w:pPr>
        <w:pStyle w:val="TOC1"/>
        <w:rPr>
          <w:rFonts w:asciiTheme="minorHAnsi" w:eastAsiaTheme="minorEastAsia" w:hAnsiTheme="minorHAnsi" w:cstheme="minorBidi"/>
          <w:b w:val="0"/>
          <w:bCs w:val="0"/>
          <w:color w:val="auto"/>
          <w:kern w:val="0"/>
          <w:sz w:val="22"/>
          <w:szCs w:val="22"/>
        </w:rPr>
      </w:pPr>
      <w:hyperlink w:anchor="_Toc100906067" w:history="1">
        <w:r w:rsidR="004621D9" w:rsidRPr="004F55DE">
          <w:rPr>
            <w:rStyle w:val="Hyperlink"/>
          </w:rPr>
          <w:t>3.</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Правителствен баланс и дълг</w:t>
        </w:r>
        <w:r w:rsidR="004621D9">
          <w:rPr>
            <w:webHidden/>
          </w:rPr>
          <w:tab/>
        </w:r>
        <w:r w:rsidR="004621D9">
          <w:rPr>
            <w:webHidden/>
          </w:rPr>
          <w:fldChar w:fldCharType="begin"/>
        </w:r>
        <w:r w:rsidR="004621D9">
          <w:rPr>
            <w:webHidden/>
          </w:rPr>
          <w:instrText xml:space="preserve"> PAGEREF _Toc100906067 \h </w:instrText>
        </w:r>
        <w:r w:rsidR="004621D9">
          <w:rPr>
            <w:webHidden/>
          </w:rPr>
        </w:r>
        <w:r w:rsidR="004621D9">
          <w:rPr>
            <w:webHidden/>
          </w:rPr>
          <w:fldChar w:fldCharType="separate"/>
        </w:r>
        <w:r w:rsidR="00232E48">
          <w:rPr>
            <w:webHidden/>
          </w:rPr>
          <w:t>23</w:t>
        </w:r>
        <w:r w:rsidR="004621D9">
          <w:rPr>
            <w:webHidden/>
          </w:rPr>
          <w:fldChar w:fldCharType="end"/>
        </w:r>
      </w:hyperlink>
    </w:p>
    <w:p w14:paraId="02543A2E" w14:textId="3A4782F2" w:rsidR="004621D9" w:rsidRDefault="0046210A">
      <w:pPr>
        <w:pStyle w:val="TOC2"/>
        <w:rPr>
          <w:rFonts w:asciiTheme="minorHAnsi" w:eastAsiaTheme="minorEastAsia" w:hAnsiTheme="minorHAnsi" w:cstheme="minorBidi"/>
          <w:sz w:val="22"/>
          <w:szCs w:val="22"/>
          <w:lang w:val="bg-BG"/>
        </w:rPr>
      </w:pPr>
      <w:hyperlink w:anchor="_Toc100906068" w:history="1">
        <w:r w:rsidR="004621D9" w:rsidRPr="004F55DE">
          <w:rPr>
            <w:rStyle w:val="Hyperlink"/>
          </w:rPr>
          <w:t>3.1</w:t>
        </w:r>
        <w:r w:rsidR="004621D9">
          <w:rPr>
            <w:rFonts w:asciiTheme="minorHAnsi" w:eastAsiaTheme="minorEastAsia" w:hAnsiTheme="minorHAnsi" w:cstheme="minorBidi"/>
            <w:sz w:val="22"/>
            <w:szCs w:val="22"/>
            <w:lang w:val="bg-BG"/>
          </w:rPr>
          <w:tab/>
        </w:r>
        <w:r w:rsidR="004621D9" w:rsidRPr="004F55DE">
          <w:rPr>
            <w:rStyle w:val="Hyperlink"/>
          </w:rPr>
          <w:t>Стратегия на политиката</w:t>
        </w:r>
        <w:r w:rsidR="004621D9">
          <w:rPr>
            <w:webHidden/>
          </w:rPr>
          <w:tab/>
        </w:r>
        <w:r w:rsidR="004621D9">
          <w:rPr>
            <w:webHidden/>
          </w:rPr>
          <w:fldChar w:fldCharType="begin"/>
        </w:r>
        <w:r w:rsidR="004621D9">
          <w:rPr>
            <w:webHidden/>
          </w:rPr>
          <w:instrText xml:space="preserve"> PAGEREF _Toc100906068 \h </w:instrText>
        </w:r>
        <w:r w:rsidR="004621D9">
          <w:rPr>
            <w:webHidden/>
          </w:rPr>
        </w:r>
        <w:r w:rsidR="004621D9">
          <w:rPr>
            <w:webHidden/>
          </w:rPr>
          <w:fldChar w:fldCharType="separate"/>
        </w:r>
        <w:r w:rsidR="00232E48">
          <w:rPr>
            <w:webHidden/>
          </w:rPr>
          <w:t>23</w:t>
        </w:r>
        <w:r w:rsidR="004621D9">
          <w:rPr>
            <w:webHidden/>
          </w:rPr>
          <w:fldChar w:fldCharType="end"/>
        </w:r>
      </w:hyperlink>
    </w:p>
    <w:p w14:paraId="7448BAAB" w14:textId="46DB0A0F" w:rsidR="004621D9" w:rsidRDefault="0046210A">
      <w:pPr>
        <w:pStyle w:val="TOC2"/>
        <w:rPr>
          <w:rFonts w:asciiTheme="minorHAnsi" w:eastAsiaTheme="minorEastAsia" w:hAnsiTheme="minorHAnsi" w:cstheme="minorBidi"/>
          <w:sz w:val="22"/>
          <w:szCs w:val="22"/>
          <w:lang w:val="bg-BG"/>
        </w:rPr>
      </w:pPr>
      <w:hyperlink w:anchor="_Toc100906069" w:history="1">
        <w:r w:rsidR="004621D9" w:rsidRPr="004F55DE">
          <w:rPr>
            <w:rStyle w:val="Hyperlink"/>
          </w:rPr>
          <w:t>3.2</w:t>
        </w:r>
        <w:r w:rsidR="004621D9">
          <w:rPr>
            <w:rFonts w:asciiTheme="minorHAnsi" w:eastAsiaTheme="minorEastAsia" w:hAnsiTheme="minorHAnsi" w:cstheme="minorBidi"/>
            <w:sz w:val="22"/>
            <w:szCs w:val="22"/>
            <w:lang w:val="bg-BG"/>
          </w:rPr>
          <w:tab/>
        </w:r>
        <w:r w:rsidR="004621D9" w:rsidRPr="004F55DE">
          <w:rPr>
            <w:rStyle w:val="Hyperlink"/>
          </w:rPr>
          <w:t>Средносрочни цели</w:t>
        </w:r>
        <w:r w:rsidR="004621D9">
          <w:rPr>
            <w:webHidden/>
          </w:rPr>
          <w:tab/>
        </w:r>
        <w:r w:rsidR="004621D9">
          <w:rPr>
            <w:webHidden/>
          </w:rPr>
          <w:fldChar w:fldCharType="begin"/>
        </w:r>
        <w:r w:rsidR="004621D9">
          <w:rPr>
            <w:webHidden/>
          </w:rPr>
          <w:instrText xml:space="preserve"> PAGEREF _Toc100906069 \h </w:instrText>
        </w:r>
        <w:r w:rsidR="004621D9">
          <w:rPr>
            <w:webHidden/>
          </w:rPr>
        </w:r>
        <w:r w:rsidR="004621D9">
          <w:rPr>
            <w:webHidden/>
          </w:rPr>
          <w:fldChar w:fldCharType="separate"/>
        </w:r>
        <w:r w:rsidR="00232E48">
          <w:rPr>
            <w:webHidden/>
          </w:rPr>
          <w:t>24</w:t>
        </w:r>
        <w:r w:rsidR="004621D9">
          <w:rPr>
            <w:webHidden/>
          </w:rPr>
          <w:fldChar w:fldCharType="end"/>
        </w:r>
      </w:hyperlink>
    </w:p>
    <w:p w14:paraId="252E28A9" w14:textId="2B602F35" w:rsidR="004621D9" w:rsidRDefault="0046210A">
      <w:pPr>
        <w:pStyle w:val="TOC2"/>
        <w:rPr>
          <w:rFonts w:asciiTheme="minorHAnsi" w:eastAsiaTheme="minorEastAsia" w:hAnsiTheme="minorHAnsi" w:cstheme="minorBidi"/>
          <w:sz w:val="22"/>
          <w:szCs w:val="22"/>
          <w:lang w:val="bg-BG"/>
        </w:rPr>
      </w:pPr>
      <w:hyperlink w:anchor="_Toc100906070" w:history="1">
        <w:r w:rsidR="004621D9" w:rsidRPr="004F55DE">
          <w:rPr>
            <w:rStyle w:val="Hyperlink"/>
          </w:rPr>
          <w:t>3.3</w:t>
        </w:r>
        <w:r w:rsidR="004621D9">
          <w:rPr>
            <w:rFonts w:asciiTheme="minorHAnsi" w:eastAsiaTheme="minorEastAsia" w:hAnsiTheme="minorHAnsi" w:cstheme="minorBidi"/>
            <w:sz w:val="22"/>
            <w:szCs w:val="22"/>
            <w:lang w:val="bg-BG"/>
          </w:rPr>
          <w:tab/>
        </w:r>
        <w:r w:rsidR="004621D9" w:rsidRPr="004F55DE">
          <w:rPr>
            <w:rStyle w:val="Hyperlink"/>
          </w:rPr>
          <w:t>Фактически баланси и актуализирани бюджетни планове за</w:t>
        </w:r>
        <w:r w:rsidR="001454AE">
          <w:rPr>
            <w:rStyle w:val="Hyperlink"/>
          </w:rPr>
          <w:t xml:space="preserve"> </w:t>
        </w:r>
        <w:r w:rsidR="004621D9" w:rsidRPr="004F55DE">
          <w:rPr>
            <w:rStyle w:val="Hyperlink"/>
          </w:rPr>
          <w:t>текущата година</w:t>
        </w:r>
        <w:r w:rsidR="004621D9">
          <w:rPr>
            <w:webHidden/>
          </w:rPr>
          <w:tab/>
        </w:r>
        <w:r w:rsidR="004621D9">
          <w:rPr>
            <w:webHidden/>
          </w:rPr>
          <w:fldChar w:fldCharType="begin"/>
        </w:r>
        <w:r w:rsidR="004621D9">
          <w:rPr>
            <w:webHidden/>
          </w:rPr>
          <w:instrText xml:space="preserve"> PAGEREF _Toc100906070 \h </w:instrText>
        </w:r>
        <w:r w:rsidR="004621D9">
          <w:rPr>
            <w:webHidden/>
          </w:rPr>
        </w:r>
        <w:r w:rsidR="004621D9">
          <w:rPr>
            <w:webHidden/>
          </w:rPr>
          <w:fldChar w:fldCharType="separate"/>
        </w:r>
        <w:r w:rsidR="00232E48">
          <w:rPr>
            <w:webHidden/>
          </w:rPr>
          <w:t>25</w:t>
        </w:r>
        <w:r w:rsidR="004621D9">
          <w:rPr>
            <w:webHidden/>
          </w:rPr>
          <w:fldChar w:fldCharType="end"/>
        </w:r>
      </w:hyperlink>
    </w:p>
    <w:p w14:paraId="76DAB395" w14:textId="586310D5" w:rsidR="004621D9" w:rsidRDefault="0046210A">
      <w:pPr>
        <w:pStyle w:val="TOC2"/>
        <w:rPr>
          <w:rFonts w:asciiTheme="minorHAnsi" w:eastAsiaTheme="minorEastAsia" w:hAnsiTheme="minorHAnsi" w:cstheme="minorBidi"/>
          <w:sz w:val="22"/>
          <w:szCs w:val="22"/>
          <w:lang w:val="bg-BG"/>
        </w:rPr>
      </w:pPr>
      <w:hyperlink w:anchor="_Toc100906071" w:history="1">
        <w:r w:rsidR="004621D9" w:rsidRPr="004F55DE">
          <w:rPr>
            <w:rStyle w:val="Hyperlink"/>
          </w:rPr>
          <w:t>3.4</w:t>
        </w:r>
        <w:r w:rsidR="004621D9">
          <w:rPr>
            <w:rFonts w:asciiTheme="minorHAnsi" w:eastAsiaTheme="minorEastAsia" w:hAnsiTheme="minorHAnsi" w:cstheme="minorBidi"/>
            <w:sz w:val="22"/>
            <w:szCs w:val="22"/>
            <w:lang w:val="bg-BG"/>
          </w:rPr>
          <w:tab/>
        </w:r>
        <w:r w:rsidR="004621D9" w:rsidRPr="004F55DE">
          <w:rPr>
            <w:rStyle w:val="Hyperlink"/>
          </w:rPr>
          <w:t xml:space="preserve">Структурен баланс (циклични компоненти на баланса, еднократни и временни мерки) </w:t>
        </w:r>
        <w:r w:rsidR="00552572">
          <w:rPr>
            <w:rStyle w:val="Hyperlink"/>
          </w:rPr>
          <w:br/>
        </w:r>
        <w:r w:rsidR="004621D9" w:rsidRPr="004F55DE">
          <w:rPr>
            <w:rStyle w:val="Hyperlink"/>
          </w:rPr>
          <w:t>и фискална позиция, вкл. бенчмарк за правителствените разходи</w:t>
        </w:r>
        <w:r w:rsidR="004621D9">
          <w:rPr>
            <w:webHidden/>
          </w:rPr>
          <w:tab/>
        </w:r>
        <w:r w:rsidR="004621D9">
          <w:rPr>
            <w:webHidden/>
          </w:rPr>
          <w:fldChar w:fldCharType="begin"/>
        </w:r>
        <w:r w:rsidR="004621D9">
          <w:rPr>
            <w:webHidden/>
          </w:rPr>
          <w:instrText xml:space="preserve"> PAGEREF _Toc100906071 \h </w:instrText>
        </w:r>
        <w:r w:rsidR="004621D9">
          <w:rPr>
            <w:webHidden/>
          </w:rPr>
        </w:r>
        <w:r w:rsidR="004621D9">
          <w:rPr>
            <w:webHidden/>
          </w:rPr>
          <w:fldChar w:fldCharType="separate"/>
        </w:r>
        <w:r w:rsidR="00232E48">
          <w:rPr>
            <w:webHidden/>
          </w:rPr>
          <w:t>43</w:t>
        </w:r>
        <w:r w:rsidR="004621D9">
          <w:rPr>
            <w:webHidden/>
          </w:rPr>
          <w:fldChar w:fldCharType="end"/>
        </w:r>
      </w:hyperlink>
    </w:p>
    <w:p w14:paraId="3F285350" w14:textId="01956081" w:rsidR="004621D9" w:rsidRDefault="0046210A">
      <w:pPr>
        <w:pStyle w:val="TOC2"/>
        <w:rPr>
          <w:rFonts w:asciiTheme="minorHAnsi" w:eastAsiaTheme="minorEastAsia" w:hAnsiTheme="minorHAnsi" w:cstheme="minorBidi"/>
          <w:sz w:val="22"/>
          <w:szCs w:val="22"/>
          <w:lang w:val="bg-BG"/>
        </w:rPr>
      </w:pPr>
      <w:hyperlink w:anchor="_Toc100906072" w:history="1">
        <w:r w:rsidR="004621D9" w:rsidRPr="004F55DE">
          <w:rPr>
            <w:rStyle w:val="Hyperlink"/>
          </w:rPr>
          <w:t>3.5</w:t>
        </w:r>
        <w:r w:rsidR="004621D9">
          <w:rPr>
            <w:rFonts w:asciiTheme="minorHAnsi" w:eastAsiaTheme="minorEastAsia" w:hAnsiTheme="minorHAnsi" w:cstheme="minorBidi"/>
            <w:sz w:val="22"/>
            <w:szCs w:val="22"/>
            <w:lang w:val="bg-BG"/>
          </w:rPr>
          <w:tab/>
        </w:r>
        <w:r w:rsidR="004621D9" w:rsidRPr="004F55DE">
          <w:rPr>
            <w:rStyle w:val="Hyperlink"/>
          </w:rPr>
          <w:t>Равнище на дълга и тенденции, операции под черта</w:t>
        </w:r>
        <w:r w:rsidR="004621D9">
          <w:rPr>
            <w:webHidden/>
          </w:rPr>
          <w:tab/>
        </w:r>
        <w:r w:rsidR="004621D9">
          <w:rPr>
            <w:webHidden/>
          </w:rPr>
          <w:fldChar w:fldCharType="begin"/>
        </w:r>
        <w:r w:rsidR="004621D9">
          <w:rPr>
            <w:webHidden/>
          </w:rPr>
          <w:instrText xml:space="preserve"> PAGEREF _Toc100906072 \h </w:instrText>
        </w:r>
        <w:r w:rsidR="004621D9">
          <w:rPr>
            <w:webHidden/>
          </w:rPr>
        </w:r>
        <w:r w:rsidR="004621D9">
          <w:rPr>
            <w:webHidden/>
          </w:rPr>
          <w:fldChar w:fldCharType="separate"/>
        </w:r>
        <w:r w:rsidR="00232E48">
          <w:rPr>
            <w:webHidden/>
          </w:rPr>
          <w:t>44</w:t>
        </w:r>
        <w:r w:rsidR="004621D9">
          <w:rPr>
            <w:webHidden/>
          </w:rPr>
          <w:fldChar w:fldCharType="end"/>
        </w:r>
      </w:hyperlink>
    </w:p>
    <w:p w14:paraId="09110B64" w14:textId="7CFF6F52" w:rsidR="004621D9" w:rsidRDefault="0046210A">
      <w:pPr>
        <w:pStyle w:val="TOC2"/>
        <w:rPr>
          <w:rFonts w:asciiTheme="minorHAnsi" w:eastAsiaTheme="minorEastAsia" w:hAnsiTheme="minorHAnsi" w:cstheme="minorBidi"/>
          <w:sz w:val="22"/>
          <w:szCs w:val="22"/>
          <w:lang w:val="bg-BG"/>
        </w:rPr>
      </w:pPr>
      <w:hyperlink w:anchor="_Toc100906073" w:history="1">
        <w:r w:rsidR="004621D9" w:rsidRPr="004F55DE">
          <w:rPr>
            <w:rStyle w:val="Hyperlink"/>
          </w:rPr>
          <w:t>3.6</w:t>
        </w:r>
        <w:r w:rsidR="004621D9">
          <w:rPr>
            <w:rFonts w:asciiTheme="minorHAnsi" w:eastAsiaTheme="minorEastAsia" w:hAnsiTheme="minorHAnsi" w:cstheme="minorBidi"/>
            <w:sz w:val="22"/>
            <w:szCs w:val="22"/>
            <w:lang w:val="bg-BG"/>
          </w:rPr>
          <w:tab/>
        </w:r>
        <w:r w:rsidR="004621D9" w:rsidRPr="004F55DE">
          <w:rPr>
            <w:rStyle w:val="Hyperlink"/>
          </w:rPr>
          <w:t>Ефекти върху бюджета от провеждането на основни</w:t>
        </w:r>
        <w:r w:rsidR="001454AE">
          <w:rPr>
            <w:rStyle w:val="Hyperlink"/>
          </w:rPr>
          <w:t xml:space="preserve"> </w:t>
        </w:r>
        <w:r w:rsidR="004621D9" w:rsidRPr="004F55DE">
          <w:rPr>
            <w:rStyle w:val="Hyperlink"/>
          </w:rPr>
          <w:t>структурни реформи</w:t>
        </w:r>
        <w:r w:rsidR="004621D9">
          <w:rPr>
            <w:webHidden/>
          </w:rPr>
          <w:tab/>
        </w:r>
        <w:r w:rsidR="004621D9">
          <w:rPr>
            <w:webHidden/>
          </w:rPr>
          <w:fldChar w:fldCharType="begin"/>
        </w:r>
        <w:r w:rsidR="004621D9">
          <w:rPr>
            <w:webHidden/>
          </w:rPr>
          <w:instrText xml:space="preserve"> PAGEREF _Toc100906073 \h </w:instrText>
        </w:r>
        <w:r w:rsidR="004621D9">
          <w:rPr>
            <w:webHidden/>
          </w:rPr>
        </w:r>
        <w:r w:rsidR="004621D9">
          <w:rPr>
            <w:webHidden/>
          </w:rPr>
          <w:fldChar w:fldCharType="separate"/>
        </w:r>
        <w:r w:rsidR="00232E48">
          <w:rPr>
            <w:webHidden/>
          </w:rPr>
          <w:t>47</w:t>
        </w:r>
        <w:r w:rsidR="004621D9">
          <w:rPr>
            <w:webHidden/>
          </w:rPr>
          <w:fldChar w:fldCharType="end"/>
        </w:r>
      </w:hyperlink>
    </w:p>
    <w:p w14:paraId="6DEEC14F" w14:textId="2CCC1D64" w:rsidR="004621D9" w:rsidRDefault="0046210A">
      <w:pPr>
        <w:pStyle w:val="TOC1"/>
        <w:rPr>
          <w:rFonts w:asciiTheme="minorHAnsi" w:eastAsiaTheme="minorEastAsia" w:hAnsiTheme="minorHAnsi" w:cstheme="minorBidi"/>
          <w:b w:val="0"/>
          <w:bCs w:val="0"/>
          <w:color w:val="auto"/>
          <w:kern w:val="0"/>
          <w:sz w:val="22"/>
          <w:szCs w:val="22"/>
        </w:rPr>
      </w:pPr>
      <w:hyperlink w:anchor="_Toc100906074" w:history="1">
        <w:r w:rsidR="004621D9" w:rsidRPr="004F55DE">
          <w:rPr>
            <w:rStyle w:val="Hyperlink"/>
          </w:rPr>
          <w:t>4.</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Анализ на чувствителността и сравнение с предходната</w:t>
        </w:r>
        <w:r w:rsidR="001454AE">
          <w:rPr>
            <w:rStyle w:val="Hyperlink"/>
          </w:rPr>
          <w:t xml:space="preserve"> </w:t>
        </w:r>
        <w:r w:rsidR="004621D9" w:rsidRPr="004F55DE">
          <w:rPr>
            <w:rStyle w:val="Hyperlink"/>
          </w:rPr>
          <w:t>актуализация</w:t>
        </w:r>
        <w:r w:rsidR="004621D9">
          <w:rPr>
            <w:webHidden/>
          </w:rPr>
          <w:tab/>
        </w:r>
        <w:r w:rsidR="004621D9">
          <w:rPr>
            <w:webHidden/>
          </w:rPr>
          <w:fldChar w:fldCharType="begin"/>
        </w:r>
        <w:r w:rsidR="004621D9">
          <w:rPr>
            <w:webHidden/>
          </w:rPr>
          <w:instrText xml:space="preserve"> PAGEREF _Toc100906074 \h </w:instrText>
        </w:r>
        <w:r w:rsidR="004621D9">
          <w:rPr>
            <w:webHidden/>
          </w:rPr>
        </w:r>
        <w:r w:rsidR="004621D9">
          <w:rPr>
            <w:webHidden/>
          </w:rPr>
          <w:fldChar w:fldCharType="separate"/>
        </w:r>
        <w:r w:rsidR="00232E48">
          <w:rPr>
            <w:webHidden/>
          </w:rPr>
          <w:t>55</w:t>
        </w:r>
        <w:r w:rsidR="004621D9">
          <w:rPr>
            <w:webHidden/>
          </w:rPr>
          <w:fldChar w:fldCharType="end"/>
        </w:r>
      </w:hyperlink>
    </w:p>
    <w:p w14:paraId="7B7AE690" w14:textId="14A50A7E" w:rsidR="004621D9" w:rsidRDefault="0046210A">
      <w:pPr>
        <w:pStyle w:val="TOC2"/>
        <w:rPr>
          <w:rFonts w:asciiTheme="minorHAnsi" w:eastAsiaTheme="minorEastAsia" w:hAnsiTheme="minorHAnsi" w:cstheme="minorBidi"/>
          <w:sz w:val="22"/>
          <w:szCs w:val="22"/>
          <w:lang w:val="bg-BG"/>
        </w:rPr>
      </w:pPr>
      <w:hyperlink w:anchor="_Toc100906075" w:history="1">
        <w:r w:rsidR="004621D9" w:rsidRPr="004F55DE">
          <w:rPr>
            <w:rStyle w:val="Hyperlink"/>
          </w:rPr>
          <w:t>4.1</w:t>
        </w:r>
        <w:r w:rsidR="004621D9">
          <w:rPr>
            <w:rFonts w:asciiTheme="minorHAnsi" w:eastAsiaTheme="minorEastAsia" w:hAnsiTheme="minorHAnsi" w:cstheme="minorBidi"/>
            <w:sz w:val="22"/>
            <w:szCs w:val="22"/>
            <w:lang w:val="bg-BG"/>
          </w:rPr>
          <w:tab/>
        </w:r>
        <w:r w:rsidR="004621D9" w:rsidRPr="004F55DE">
          <w:rPr>
            <w:rStyle w:val="Hyperlink"/>
          </w:rPr>
          <w:t>Алтернативен сценарий</w:t>
        </w:r>
        <w:r w:rsidR="004621D9">
          <w:rPr>
            <w:webHidden/>
          </w:rPr>
          <w:tab/>
        </w:r>
        <w:r w:rsidR="004621D9">
          <w:rPr>
            <w:webHidden/>
          </w:rPr>
          <w:fldChar w:fldCharType="begin"/>
        </w:r>
        <w:r w:rsidR="004621D9">
          <w:rPr>
            <w:webHidden/>
          </w:rPr>
          <w:instrText xml:space="preserve"> PAGEREF _Toc100906075 \h </w:instrText>
        </w:r>
        <w:r w:rsidR="004621D9">
          <w:rPr>
            <w:webHidden/>
          </w:rPr>
        </w:r>
        <w:r w:rsidR="004621D9">
          <w:rPr>
            <w:webHidden/>
          </w:rPr>
          <w:fldChar w:fldCharType="separate"/>
        </w:r>
        <w:r w:rsidR="00232E48">
          <w:rPr>
            <w:webHidden/>
          </w:rPr>
          <w:t>55</w:t>
        </w:r>
        <w:r w:rsidR="004621D9">
          <w:rPr>
            <w:webHidden/>
          </w:rPr>
          <w:fldChar w:fldCharType="end"/>
        </w:r>
      </w:hyperlink>
    </w:p>
    <w:p w14:paraId="34EC0DB0" w14:textId="2A35BE62" w:rsidR="004621D9" w:rsidRDefault="0046210A">
      <w:pPr>
        <w:pStyle w:val="TOC2"/>
        <w:rPr>
          <w:rFonts w:asciiTheme="minorHAnsi" w:eastAsiaTheme="minorEastAsia" w:hAnsiTheme="minorHAnsi" w:cstheme="minorBidi"/>
          <w:sz w:val="22"/>
          <w:szCs w:val="22"/>
          <w:lang w:val="bg-BG"/>
        </w:rPr>
      </w:pPr>
      <w:hyperlink w:anchor="_Toc100906076" w:history="1">
        <w:r w:rsidR="004621D9" w:rsidRPr="004F55DE">
          <w:rPr>
            <w:rStyle w:val="Hyperlink"/>
          </w:rPr>
          <w:t>4.2</w:t>
        </w:r>
        <w:r w:rsidR="004621D9">
          <w:rPr>
            <w:rFonts w:asciiTheme="minorHAnsi" w:eastAsiaTheme="minorEastAsia" w:hAnsiTheme="minorHAnsi" w:cstheme="minorBidi"/>
            <w:sz w:val="22"/>
            <w:szCs w:val="22"/>
            <w:lang w:val="bg-BG"/>
          </w:rPr>
          <w:tab/>
        </w:r>
        <w:r w:rsidR="004621D9" w:rsidRPr="004F55DE">
          <w:rPr>
            <w:rStyle w:val="Hyperlink"/>
          </w:rPr>
          <w:t>Чувствителност на бюджетните прогнози при различни сценарии</w:t>
        </w:r>
        <w:r w:rsidR="004621D9">
          <w:rPr>
            <w:webHidden/>
          </w:rPr>
          <w:tab/>
        </w:r>
        <w:r w:rsidR="004621D9">
          <w:rPr>
            <w:webHidden/>
          </w:rPr>
          <w:fldChar w:fldCharType="begin"/>
        </w:r>
        <w:r w:rsidR="004621D9">
          <w:rPr>
            <w:webHidden/>
          </w:rPr>
          <w:instrText xml:space="preserve"> PAGEREF _Toc100906076 \h </w:instrText>
        </w:r>
        <w:r w:rsidR="004621D9">
          <w:rPr>
            <w:webHidden/>
          </w:rPr>
        </w:r>
        <w:r w:rsidR="004621D9">
          <w:rPr>
            <w:webHidden/>
          </w:rPr>
          <w:fldChar w:fldCharType="separate"/>
        </w:r>
        <w:r w:rsidR="00232E48">
          <w:rPr>
            <w:webHidden/>
          </w:rPr>
          <w:t>57</w:t>
        </w:r>
        <w:r w:rsidR="004621D9">
          <w:rPr>
            <w:webHidden/>
          </w:rPr>
          <w:fldChar w:fldCharType="end"/>
        </w:r>
      </w:hyperlink>
    </w:p>
    <w:p w14:paraId="5ED5D7A7" w14:textId="6477BDDB" w:rsidR="004621D9" w:rsidRDefault="0046210A">
      <w:pPr>
        <w:pStyle w:val="TOC2"/>
        <w:rPr>
          <w:rFonts w:asciiTheme="minorHAnsi" w:eastAsiaTheme="minorEastAsia" w:hAnsiTheme="minorHAnsi" w:cstheme="minorBidi"/>
          <w:sz w:val="22"/>
          <w:szCs w:val="22"/>
          <w:lang w:val="bg-BG"/>
        </w:rPr>
      </w:pPr>
      <w:hyperlink w:anchor="_Toc100906077" w:history="1">
        <w:r w:rsidR="004621D9" w:rsidRPr="004F55DE">
          <w:rPr>
            <w:rStyle w:val="Hyperlink"/>
          </w:rPr>
          <w:t>4.3</w:t>
        </w:r>
        <w:r w:rsidR="004621D9">
          <w:rPr>
            <w:rFonts w:asciiTheme="minorHAnsi" w:eastAsiaTheme="minorEastAsia" w:hAnsiTheme="minorHAnsi" w:cstheme="minorBidi"/>
            <w:sz w:val="22"/>
            <w:szCs w:val="22"/>
            <w:lang w:val="bg-BG"/>
          </w:rPr>
          <w:tab/>
        </w:r>
        <w:r w:rsidR="004621D9" w:rsidRPr="004F55DE">
          <w:rPr>
            <w:rStyle w:val="Hyperlink"/>
          </w:rPr>
          <w:t>Сравнение с предходната програма</w:t>
        </w:r>
        <w:r w:rsidR="004621D9">
          <w:rPr>
            <w:webHidden/>
          </w:rPr>
          <w:tab/>
        </w:r>
        <w:r w:rsidR="004621D9">
          <w:rPr>
            <w:webHidden/>
          </w:rPr>
          <w:fldChar w:fldCharType="begin"/>
        </w:r>
        <w:r w:rsidR="004621D9">
          <w:rPr>
            <w:webHidden/>
          </w:rPr>
          <w:instrText xml:space="preserve"> PAGEREF _Toc100906077 \h </w:instrText>
        </w:r>
        <w:r w:rsidR="004621D9">
          <w:rPr>
            <w:webHidden/>
          </w:rPr>
        </w:r>
        <w:r w:rsidR="004621D9">
          <w:rPr>
            <w:webHidden/>
          </w:rPr>
          <w:fldChar w:fldCharType="separate"/>
        </w:r>
        <w:r w:rsidR="00232E48">
          <w:rPr>
            <w:webHidden/>
          </w:rPr>
          <w:t>57</w:t>
        </w:r>
        <w:r w:rsidR="004621D9">
          <w:rPr>
            <w:webHidden/>
          </w:rPr>
          <w:fldChar w:fldCharType="end"/>
        </w:r>
      </w:hyperlink>
    </w:p>
    <w:p w14:paraId="4CBEFCC8" w14:textId="7E2916C3" w:rsidR="004621D9" w:rsidRDefault="0046210A">
      <w:pPr>
        <w:pStyle w:val="TOC1"/>
        <w:rPr>
          <w:rFonts w:asciiTheme="minorHAnsi" w:eastAsiaTheme="minorEastAsia" w:hAnsiTheme="minorHAnsi" w:cstheme="minorBidi"/>
          <w:b w:val="0"/>
          <w:bCs w:val="0"/>
          <w:color w:val="auto"/>
          <w:kern w:val="0"/>
          <w:sz w:val="22"/>
          <w:szCs w:val="22"/>
        </w:rPr>
      </w:pPr>
      <w:hyperlink w:anchor="_Toc100906078" w:history="1">
        <w:r w:rsidR="004621D9" w:rsidRPr="004F55DE">
          <w:rPr>
            <w:rStyle w:val="Hyperlink"/>
          </w:rPr>
          <w:t>5.</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Устойчивост на</w:t>
        </w:r>
        <w:r w:rsidR="001454AE">
          <w:rPr>
            <w:rStyle w:val="Hyperlink"/>
          </w:rPr>
          <w:t xml:space="preserve"> </w:t>
        </w:r>
        <w:r w:rsidR="004621D9" w:rsidRPr="004F55DE">
          <w:rPr>
            <w:rStyle w:val="Hyperlink"/>
          </w:rPr>
          <w:t>публичните финанси</w:t>
        </w:r>
        <w:r w:rsidR="004621D9">
          <w:rPr>
            <w:webHidden/>
          </w:rPr>
          <w:tab/>
        </w:r>
        <w:r w:rsidR="004621D9">
          <w:rPr>
            <w:webHidden/>
          </w:rPr>
          <w:fldChar w:fldCharType="begin"/>
        </w:r>
        <w:r w:rsidR="004621D9">
          <w:rPr>
            <w:webHidden/>
          </w:rPr>
          <w:instrText xml:space="preserve"> PAGEREF _Toc100906078 \h </w:instrText>
        </w:r>
        <w:r w:rsidR="004621D9">
          <w:rPr>
            <w:webHidden/>
          </w:rPr>
        </w:r>
        <w:r w:rsidR="004621D9">
          <w:rPr>
            <w:webHidden/>
          </w:rPr>
          <w:fldChar w:fldCharType="separate"/>
        </w:r>
        <w:r w:rsidR="00232E48">
          <w:rPr>
            <w:webHidden/>
          </w:rPr>
          <w:t>60</w:t>
        </w:r>
        <w:r w:rsidR="004621D9">
          <w:rPr>
            <w:webHidden/>
          </w:rPr>
          <w:fldChar w:fldCharType="end"/>
        </w:r>
      </w:hyperlink>
    </w:p>
    <w:p w14:paraId="55F459B3" w14:textId="2931ED50" w:rsidR="004621D9" w:rsidRDefault="0046210A">
      <w:pPr>
        <w:pStyle w:val="TOC2"/>
        <w:rPr>
          <w:rFonts w:asciiTheme="minorHAnsi" w:eastAsiaTheme="minorEastAsia" w:hAnsiTheme="minorHAnsi" w:cstheme="minorBidi"/>
          <w:sz w:val="22"/>
          <w:szCs w:val="22"/>
          <w:lang w:val="bg-BG"/>
        </w:rPr>
      </w:pPr>
      <w:hyperlink w:anchor="_Toc100906079" w:history="1">
        <w:r w:rsidR="004621D9" w:rsidRPr="004F55DE">
          <w:rPr>
            <w:rStyle w:val="Hyperlink"/>
          </w:rPr>
          <w:t>5.1</w:t>
        </w:r>
        <w:r w:rsidR="004621D9">
          <w:rPr>
            <w:rFonts w:asciiTheme="minorHAnsi" w:eastAsiaTheme="minorEastAsia" w:hAnsiTheme="minorHAnsi" w:cstheme="minorBidi"/>
            <w:sz w:val="22"/>
            <w:szCs w:val="22"/>
            <w:lang w:val="bg-BG"/>
          </w:rPr>
          <w:tab/>
        </w:r>
        <w:r w:rsidR="004621D9" w:rsidRPr="004F55DE">
          <w:rPr>
            <w:rStyle w:val="Hyperlink"/>
          </w:rPr>
          <w:t>Стратегия на политиката</w:t>
        </w:r>
        <w:r w:rsidR="004621D9">
          <w:rPr>
            <w:webHidden/>
          </w:rPr>
          <w:tab/>
        </w:r>
        <w:r w:rsidR="004621D9">
          <w:rPr>
            <w:webHidden/>
          </w:rPr>
          <w:fldChar w:fldCharType="begin"/>
        </w:r>
        <w:r w:rsidR="004621D9">
          <w:rPr>
            <w:webHidden/>
          </w:rPr>
          <w:instrText xml:space="preserve"> PAGEREF _Toc100906079 \h </w:instrText>
        </w:r>
        <w:r w:rsidR="004621D9">
          <w:rPr>
            <w:webHidden/>
          </w:rPr>
        </w:r>
        <w:r w:rsidR="004621D9">
          <w:rPr>
            <w:webHidden/>
          </w:rPr>
          <w:fldChar w:fldCharType="separate"/>
        </w:r>
        <w:r w:rsidR="00232E48">
          <w:rPr>
            <w:webHidden/>
          </w:rPr>
          <w:t>60</w:t>
        </w:r>
        <w:r w:rsidR="004621D9">
          <w:rPr>
            <w:webHidden/>
          </w:rPr>
          <w:fldChar w:fldCharType="end"/>
        </w:r>
      </w:hyperlink>
    </w:p>
    <w:p w14:paraId="1A220817" w14:textId="5CD1F8E6" w:rsidR="004621D9" w:rsidRDefault="0046210A">
      <w:pPr>
        <w:pStyle w:val="TOC2"/>
        <w:rPr>
          <w:rFonts w:asciiTheme="minorHAnsi" w:eastAsiaTheme="minorEastAsia" w:hAnsiTheme="minorHAnsi" w:cstheme="minorBidi"/>
          <w:sz w:val="22"/>
          <w:szCs w:val="22"/>
          <w:lang w:val="bg-BG"/>
        </w:rPr>
      </w:pPr>
      <w:hyperlink w:anchor="_Toc100906080" w:history="1">
        <w:r w:rsidR="004621D9" w:rsidRPr="004F55DE">
          <w:rPr>
            <w:rStyle w:val="Hyperlink"/>
          </w:rPr>
          <w:t>5.2</w:t>
        </w:r>
        <w:r w:rsidR="004621D9">
          <w:rPr>
            <w:rFonts w:asciiTheme="minorHAnsi" w:eastAsiaTheme="minorEastAsia" w:hAnsiTheme="minorHAnsi" w:cstheme="minorBidi"/>
            <w:sz w:val="22"/>
            <w:szCs w:val="22"/>
            <w:lang w:val="bg-BG"/>
          </w:rPr>
          <w:tab/>
        </w:r>
        <w:r w:rsidR="004621D9" w:rsidRPr="004F55DE">
          <w:rPr>
            <w:rStyle w:val="Hyperlink"/>
          </w:rPr>
          <w:t>Дългосрочни бюджетни перспективи, вкл. въздействието от</w:t>
        </w:r>
        <w:r w:rsidR="001454AE">
          <w:rPr>
            <w:rStyle w:val="Hyperlink"/>
          </w:rPr>
          <w:t xml:space="preserve"> </w:t>
        </w:r>
        <w:r w:rsidR="004621D9" w:rsidRPr="004F55DE">
          <w:rPr>
            <w:rStyle w:val="Hyperlink"/>
          </w:rPr>
          <w:t>застаряването на населението</w:t>
        </w:r>
        <w:r w:rsidR="004621D9">
          <w:rPr>
            <w:webHidden/>
          </w:rPr>
          <w:tab/>
        </w:r>
        <w:r w:rsidR="004621D9">
          <w:rPr>
            <w:webHidden/>
          </w:rPr>
          <w:fldChar w:fldCharType="begin"/>
        </w:r>
        <w:r w:rsidR="004621D9">
          <w:rPr>
            <w:webHidden/>
          </w:rPr>
          <w:instrText xml:space="preserve"> PAGEREF _Toc100906080 \h </w:instrText>
        </w:r>
        <w:r w:rsidR="004621D9">
          <w:rPr>
            <w:webHidden/>
          </w:rPr>
        </w:r>
        <w:r w:rsidR="004621D9">
          <w:rPr>
            <w:webHidden/>
          </w:rPr>
          <w:fldChar w:fldCharType="separate"/>
        </w:r>
        <w:r w:rsidR="00232E48">
          <w:rPr>
            <w:webHidden/>
          </w:rPr>
          <w:t>63</w:t>
        </w:r>
        <w:r w:rsidR="004621D9">
          <w:rPr>
            <w:webHidden/>
          </w:rPr>
          <w:fldChar w:fldCharType="end"/>
        </w:r>
      </w:hyperlink>
    </w:p>
    <w:p w14:paraId="269D0897" w14:textId="6E39207E" w:rsidR="004621D9" w:rsidRDefault="0046210A">
      <w:pPr>
        <w:pStyle w:val="TOC2"/>
        <w:rPr>
          <w:rFonts w:asciiTheme="minorHAnsi" w:eastAsiaTheme="minorEastAsia" w:hAnsiTheme="minorHAnsi" w:cstheme="minorBidi"/>
          <w:sz w:val="22"/>
          <w:szCs w:val="22"/>
          <w:lang w:val="bg-BG"/>
        </w:rPr>
      </w:pPr>
      <w:hyperlink w:anchor="_Toc100906081" w:history="1">
        <w:r w:rsidR="004621D9" w:rsidRPr="004F55DE">
          <w:rPr>
            <w:rStyle w:val="Hyperlink"/>
          </w:rPr>
          <w:t>5.3</w:t>
        </w:r>
        <w:r w:rsidR="004621D9">
          <w:rPr>
            <w:rFonts w:asciiTheme="minorHAnsi" w:eastAsiaTheme="minorEastAsia" w:hAnsiTheme="minorHAnsi" w:cstheme="minorBidi"/>
            <w:sz w:val="22"/>
            <w:szCs w:val="22"/>
            <w:lang w:val="bg-BG"/>
          </w:rPr>
          <w:tab/>
        </w:r>
        <w:r w:rsidR="004621D9" w:rsidRPr="004F55DE">
          <w:rPr>
            <w:rStyle w:val="Hyperlink"/>
          </w:rPr>
          <w:t>Условни задължения</w:t>
        </w:r>
        <w:r w:rsidR="004621D9">
          <w:rPr>
            <w:webHidden/>
          </w:rPr>
          <w:tab/>
        </w:r>
        <w:r w:rsidR="004621D9">
          <w:rPr>
            <w:webHidden/>
          </w:rPr>
          <w:fldChar w:fldCharType="begin"/>
        </w:r>
        <w:r w:rsidR="004621D9">
          <w:rPr>
            <w:webHidden/>
          </w:rPr>
          <w:instrText xml:space="preserve"> PAGEREF _Toc100906081 \h </w:instrText>
        </w:r>
        <w:r w:rsidR="004621D9">
          <w:rPr>
            <w:webHidden/>
          </w:rPr>
        </w:r>
        <w:r w:rsidR="004621D9">
          <w:rPr>
            <w:webHidden/>
          </w:rPr>
          <w:fldChar w:fldCharType="separate"/>
        </w:r>
        <w:r w:rsidR="00232E48">
          <w:rPr>
            <w:webHidden/>
          </w:rPr>
          <w:t>69</w:t>
        </w:r>
        <w:r w:rsidR="004621D9">
          <w:rPr>
            <w:webHidden/>
          </w:rPr>
          <w:fldChar w:fldCharType="end"/>
        </w:r>
      </w:hyperlink>
    </w:p>
    <w:p w14:paraId="715F3F1A" w14:textId="2DCCC3E1" w:rsidR="004621D9" w:rsidRDefault="0046210A">
      <w:pPr>
        <w:pStyle w:val="TOC1"/>
        <w:rPr>
          <w:rFonts w:asciiTheme="minorHAnsi" w:eastAsiaTheme="minorEastAsia" w:hAnsiTheme="minorHAnsi" w:cstheme="minorBidi"/>
          <w:b w:val="0"/>
          <w:bCs w:val="0"/>
          <w:color w:val="auto"/>
          <w:kern w:val="0"/>
          <w:sz w:val="22"/>
          <w:szCs w:val="22"/>
        </w:rPr>
      </w:pPr>
      <w:hyperlink w:anchor="_Toc100906082" w:history="1">
        <w:r w:rsidR="004621D9" w:rsidRPr="004F55DE">
          <w:rPr>
            <w:rStyle w:val="Hyperlink"/>
          </w:rPr>
          <w:t>6.</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Качество на публичните</w:t>
        </w:r>
        <w:r w:rsidR="001454AE">
          <w:rPr>
            <w:rStyle w:val="Hyperlink"/>
          </w:rPr>
          <w:t xml:space="preserve"> </w:t>
        </w:r>
        <w:r w:rsidR="004621D9" w:rsidRPr="004F55DE">
          <w:rPr>
            <w:rStyle w:val="Hyperlink"/>
          </w:rPr>
          <w:t>финанси</w:t>
        </w:r>
        <w:r w:rsidR="004621D9">
          <w:rPr>
            <w:webHidden/>
          </w:rPr>
          <w:tab/>
        </w:r>
        <w:r w:rsidR="004621D9">
          <w:rPr>
            <w:webHidden/>
          </w:rPr>
          <w:fldChar w:fldCharType="begin"/>
        </w:r>
        <w:r w:rsidR="004621D9">
          <w:rPr>
            <w:webHidden/>
          </w:rPr>
          <w:instrText xml:space="preserve"> PAGEREF _Toc100906082 \h </w:instrText>
        </w:r>
        <w:r w:rsidR="004621D9">
          <w:rPr>
            <w:webHidden/>
          </w:rPr>
        </w:r>
        <w:r w:rsidR="004621D9">
          <w:rPr>
            <w:webHidden/>
          </w:rPr>
          <w:fldChar w:fldCharType="separate"/>
        </w:r>
        <w:r w:rsidR="00232E48">
          <w:rPr>
            <w:webHidden/>
          </w:rPr>
          <w:t>70</w:t>
        </w:r>
        <w:r w:rsidR="004621D9">
          <w:rPr>
            <w:webHidden/>
          </w:rPr>
          <w:fldChar w:fldCharType="end"/>
        </w:r>
      </w:hyperlink>
    </w:p>
    <w:p w14:paraId="6E04B5C3" w14:textId="0922A744" w:rsidR="004621D9" w:rsidRDefault="0046210A">
      <w:pPr>
        <w:pStyle w:val="TOC2"/>
        <w:rPr>
          <w:rFonts w:asciiTheme="minorHAnsi" w:eastAsiaTheme="minorEastAsia" w:hAnsiTheme="minorHAnsi" w:cstheme="minorBidi"/>
          <w:sz w:val="22"/>
          <w:szCs w:val="22"/>
          <w:lang w:val="bg-BG"/>
        </w:rPr>
      </w:pPr>
      <w:hyperlink w:anchor="_Toc100906083" w:history="1">
        <w:r w:rsidR="004621D9" w:rsidRPr="004F55DE">
          <w:rPr>
            <w:rStyle w:val="Hyperlink"/>
          </w:rPr>
          <w:t>6.1</w:t>
        </w:r>
        <w:r w:rsidR="004621D9">
          <w:rPr>
            <w:rFonts w:asciiTheme="minorHAnsi" w:eastAsiaTheme="minorEastAsia" w:hAnsiTheme="minorHAnsi" w:cstheme="minorBidi"/>
            <w:sz w:val="22"/>
            <w:szCs w:val="22"/>
            <w:lang w:val="bg-BG"/>
          </w:rPr>
          <w:tab/>
        </w:r>
        <w:r w:rsidR="004621D9" w:rsidRPr="004F55DE">
          <w:rPr>
            <w:rStyle w:val="Hyperlink"/>
          </w:rPr>
          <w:t>Стратегия на политиката</w:t>
        </w:r>
        <w:r w:rsidR="004621D9">
          <w:rPr>
            <w:webHidden/>
          </w:rPr>
          <w:tab/>
        </w:r>
        <w:r w:rsidR="004621D9">
          <w:rPr>
            <w:webHidden/>
          </w:rPr>
          <w:fldChar w:fldCharType="begin"/>
        </w:r>
        <w:r w:rsidR="004621D9">
          <w:rPr>
            <w:webHidden/>
          </w:rPr>
          <w:instrText xml:space="preserve"> PAGEREF _Toc100906083 \h </w:instrText>
        </w:r>
        <w:r w:rsidR="004621D9">
          <w:rPr>
            <w:webHidden/>
          </w:rPr>
        </w:r>
        <w:r w:rsidR="004621D9">
          <w:rPr>
            <w:webHidden/>
          </w:rPr>
          <w:fldChar w:fldCharType="separate"/>
        </w:r>
        <w:r w:rsidR="00232E48">
          <w:rPr>
            <w:webHidden/>
          </w:rPr>
          <w:t>70</w:t>
        </w:r>
        <w:r w:rsidR="004621D9">
          <w:rPr>
            <w:webHidden/>
          </w:rPr>
          <w:fldChar w:fldCharType="end"/>
        </w:r>
      </w:hyperlink>
    </w:p>
    <w:p w14:paraId="45BDFAA4" w14:textId="42DD5837" w:rsidR="004621D9" w:rsidRDefault="0046210A">
      <w:pPr>
        <w:pStyle w:val="TOC2"/>
        <w:rPr>
          <w:rFonts w:asciiTheme="minorHAnsi" w:eastAsiaTheme="minorEastAsia" w:hAnsiTheme="minorHAnsi" w:cstheme="minorBidi"/>
          <w:sz w:val="22"/>
          <w:szCs w:val="22"/>
          <w:lang w:val="bg-BG"/>
        </w:rPr>
      </w:pPr>
      <w:hyperlink w:anchor="_Toc100906084" w:history="1">
        <w:r w:rsidR="004621D9" w:rsidRPr="004F55DE">
          <w:rPr>
            <w:rStyle w:val="Hyperlink"/>
          </w:rPr>
          <w:t>6.2</w:t>
        </w:r>
        <w:r w:rsidR="004621D9">
          <w:rPr>
            <w:rFonts w:asciiTheme="minorHAnsi" w:eastAsiaTheme="minorEastAsia" w:hAnsiTheme="minorHAnsi" w:cstheme="minorBidi"/>
            <w:sz w:val="22"/>
            <w:szCs w:val="22"/>
            <w:lang w:val="bg-BG"/>
          </w:rPr>
          <w:tab/>
        </w:r>
        <w:r w:rsidR="004621D9" w:rsidRPr="004F55DE">
          <w:rPr>
            <w:rStyle w:val="Hyperlink"/>
          </w:rPr>
          <w:t>Състав, ефективност и ефикасност на разходите – COFOG</w:t>
        </w:r>
        <w:r w:rsidR="004621D9">
          <w:rPr>
            <w:webHidden/>
          </w:rPr>
          <w:tab/>
        </w:r>
        <w:r w:rsidR="004621D9">
          <w:rPr>
            <w:webHidden/>
          </w:rPr>
          <w:fldChar w:fldCharType="begin"/>
        </w:r>
        <w:r w:rsidR="004621D9">
          <w:rPr>
            <w:webHidden/>
          </w:rPr>
          <w:instrText xml:space="preserve"> PAGEREF _Toc100906084 \h </w:instrText>
        </w:r>
        <w:r w:rsidR="004621D9">
          <w:rPr>
            <w:webHidden/>
          </w:rPr>
        </w:r>
        <w:r w:rsidR="004621D9">
          <w:rPr>
            <w:webHidden/>
          </w:rPr>
          <w:fldChar w:fldCharType="separate"/>
        </w:r>
        <w:r w:rsidR="00232E48">
          <w:rPr>
            <w:webHidden/>
          </w:rPr>
          <w:t>72</w:t>
        </w:r>
        <w:r w:rsidR="004621D9">
          <w:rPr>
            <w:webHidden/>
          </w:rPr>
          <w:fldChar w:fldCharType="end"/>
        </w:r>
      </w:hyperlink>
    </w:p>
    <w:p w14:paraId="244548B6" w14:textId="2F72F5FD" w:rsidR="004621D9" w:rsidRDefault="0046210A">
      <w:pPr>
        <w:pStyle w:val="TOC2"/>
        <w:rPr>
          <w:rFonts w:asciiTheme="minorHAnsi" w:eastAsiaTheme="minorEastAsia" w:hAnsiTheme="minorHAnsi" w:cstheme="minorBidi"/>
          <w:sz w:val="22"/>
          <w:szCs w:val="22"/>
          <w:lang w:val="bg-BG"/>
        </w:rPr>
      </w:pPr>
      <w:hyperlink w:anchor="_Toc100906085" w:history="1">
        <w:r w:rsidR="004621D9" w:rsidRPr="004F55DE">
          <w:rPr>
            <w:rStyle w:val="Hyperlink"/>
          </w:rPr>
          <w:t>6.3</w:t>
        </w:r>
        <w:r w:rsidR="004621D9">
          <w:rPr>
            <w:rFonts w:asciiTheme="minorHAnsi" w:eastAsiaTheme="minorEastAsia" w:hAnsiTheme="minorHAnsi" w:cstheme="minorBidi"/>
            <w:sz w:val="22"/>
            <w:szCs w:val="22"/>
            <w:lang w:val="bg-BG"/>
          </w:rPr>
          <w:tab/>
        </w:r>
        <w:r w:rsidR="004621D9" w:rsidRPr="004F55DE">
          <w:rPr>
            <w:rStyle w:val="Hyperlink"/>
          </w:rPr>
          <w:t>Структура и ефективност на приходните системи</w:t>
        </w:r>
        <w:r w:rsidR="004621D9">
          <w:rPr>
            <w:webHidden/>
          </w:rPr>
          <w:tab/>
        </w:r>
        <w:r w:rsidR="004621D9">
          <w:rPr>
            <w:webHidden/>
          </w:rPr>
          <w:fldChar w:fldCharType="begin"/>
        </w:r>
        <w:r w:rsidR="004621D9">
          <w:rPr>
            <w:webHidden/>
          </w:rPr>
          <w:instrText xml:space="preserve"> PAGEREF _Toc100906085 \h </w:instrText>
        </w:r>
        <w:r w:rsidR="004621D9">
          <w:rPr>
            <w:webHidden/>
          </w:rPr>
        </w:r>
        <w:r w:rsidR="004621D9">
          <w:rPr>
            <w:webHidden/>
          </w:rPr>
          <w:fldChar w:fldCharType="separate"/>
        </w:r>
        <w:r w:rsidR="00232E48">
          <w:rPr>
            <w:webHidden/>
          </w:rPr>
          <w:t>74</w:t>
        </w:r>
        <w:r w:rsidR="004621D9">
          <w:rPr>
            <w:webHidden/>
          </w:rPr>
          <w:fldChar w:fldCharType="end"/>
        </w:r>
      </w:hyperlink>
    </w:p>
    <w:p w14:paraId="11032D82" w14:textId="4EE532BD" w:rsidR="004621D9" w:rsidRDefault="0046210A">
      <w:pPr>
        <w:pStyle w:val="TOC1"/>
        <w:rPr>
          <w:rFonts w:asciiTheme="minorHAnsi" w:eastAsiaTheme="minorEastAsia" w:hAnsiTheme="minorHAnsi" w:cstheme="minorBidi"/>
          <w:b w:val="0"/>
          <w:bCs w:val="0"/>
          <w:color w:val="auto"/>
          <w:kern w:val="0"/>
          <w:sz w:val="22"/>
          <w:szCs w:val="22"/>
        </w:rPr>
      </w:pPr>
      <w:hyperlink w:anchor="_Toc100906086" w:history="1">
        <w:r w:rsidR="004621D9" w:rsidRPr="004F55DE">
          <w:rPr>
            <w:rStyle w:val="Hyperlink"/>
          </w:rPr>
          <w:t>7.</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Институционални</w:t>
        </w:r>
        <w:r w:rsidR="001454AE">
          <w:rPr>
            <w:rStyle w:val="Hyperlink"/>
          </w:rPr>
          <w:t xml:space="preserve"> </w:t>
        </w:r>
        <w:r w:rsidR="004621D9" w:rsidRPr="004F55DE">
          <w:rPr>
            <w:rStyle w:val="Hyperlink"/>
          </w:rPr>
          <w:t>характеристики на публичните финанси</w:t>
        </w:r>
        <w:r w:rsidR="004621D9">
          <w:rPr>
            <w:webHidden/>
          </w:rPr>
          <w:tab/>
        </w:r>
        <w:r w:rsidR="004621D9">
          <w:rPr>
            <w:webHidden/>
          </w:rPr>
          <w:fldChar w:fldCharType="begin"/>
        </w:r>
        <w:r w:rsidR="004621D9">
          <w:rPr>
            <w:webHidden/>
          </w:rPr>
          <w:instrText xml:space="preserve"> PAGEREF _Toc100906086 \h </w:instrText>
        </w:r>
        <w:r w:rsidR="004621D9">
          <w:rPr>
            <w:webHidden/>
          </w:rPr>
        </w:r>
        <w:r w:rsidR="004621D9">
          <w:rPr>
            <w:webHidden/>
          </w:rPr>
          <w:fldChar w:fldCharType="separate"/>
        </w:r>
        <w:r w:rsidR="00232E48">
          <w:rPr>
            <w:webHidden/>
          </w:rPr>
          <w:t>84</w:t>
        </w:r>
        <w:r w:rsidR="004621D9">
          <w:rPr>
            <w:webHidden/>
          </w:rPr>
          <w:fldChar w:fldCharType="end"/>
        </w:r>
      </w:hyperlink>
    </w:p>
    <w:p w14:paraId="41F5A154" w14:textId="3D1BB3D9" w:rsidR="004621D9" w:rsidRDefault="0046210A">
      <w:pPr>
        <w:pStyle w:val="TOC2"/>
        <w:rPr>
          <w:rFonts w:asciiTheme="minorHAnsi" w:eastAsiaTheme="minorEastAsia" w:hAnsiTheme="minorHAnsi" w:cstheme="minorBidi"/>
          <w:sz w:val="22"/>
          <w:szCs w:val="22"/>
          <w:lang w:val="bg-BG"/>
        </w:rPr>
      </w:pPr>
      <w:hyperlink w:anchor="_Toc100906087" w:history="1">
        <w:r w:rsidR="004621D9" w:rsidRPr="004F55DE">
          <w:rPr>
            <w:rStyle w:val="Hyperlink"/>
          </w:rPr>
          <w:t>7.1</w:t>
        </w:r>
        <w:r w:rsidR="004621D9">
          <w:rPr>
            <w:rFonts w:asciiTheme="minorHAnsi" w:eastAsiaTheme="minorEastAsia" w:hAnsiTheme="minorHAnsi" w:cstheme="minorBidi"/>
            <w:sz w:val="22"/>
            <w:szCs w:val="22"/>
            <w:lang w:val="bg-BG"/>
          </w:rPr>
          <w:tab/>
        </w:r>
        <w:r w:rsidR="004621D9" w:rsidRPr="004F55DE">
          <w:rPr>
            <w:rStyle w:val="Hyperlink"/>
          </w:rPr>
          <w:t>Национални бюджетни правила</w:t>
        </w:r>
        <w:r w:rsidR="004621D9">
          <w:rPr>
            <w:webHidden/>
          </w:rPr>
          <w:tab/>
        </w:r>
        <w:r w:rsidR="004621D9">
          <w:rPr>
            <w:webHidden/>
          </w:rPr>
          <w:fldChar w:fldCharType="begin"/>
        </w:r>
        <w:r w:rsidR="004621D9">
          <w:rPr>
            <w:webHidden/>
          </w:rPr>
          <w:instrText xml:space="preserve"> PAGEREF _Toc100906087 \h </w:instrText>
        </w:r>
        <w:r w:rsidR="004621D9">
          <w:rPr>
            <w:webHidden/>
          </w:rPr>
        </w:r>
        <w:r w:rsidR="004621D9">
          <w:rPr>
            <w:webHidden/>
          </w:rPr>
          <w:fldChar w:fldCharType="separate"/>
        </w:r>
        <w:r w:rsidR="00232E48">
          <w:rPr>
            <w:webHidden/>
          </w:rPr>
          <w:t>84</w:t>
        </w:r>
        <w:r w:rsidR="004621D9">
          <w:rPr>
            <w:webHidden/>
          </w:rPr>
          <w:fldChar w:fldCharType="end"/>
        </w:r>
      </w:hyperlink>
    </w:p>
    <w:p w14:paraId="073AE9D6" w14:textId="0DE3264C" w:rsidR="004621D9" w:rsidRDefault="0046210A">
      <w:pPr>
        <w:pStyle w:val="TOC2"/>
        <w:rPr>
          <w:rFonts w:asciiTheme="minorHAnsi" w:eastAsiaTheme="minorEastAsia" w:hAnsiTheme="minorHAnsi" w:cstheme="minorBidi"/>
          <w:sz w:val="22"/>
          <w:szCs w:val="22"/>
          <w:lang w:val="bg-BG"/>
        </w:rPr>
      </w:pPr>
      <w:hyperlink w:anchor="_Toc100906088" w:history="1">
        <w:r w:rsidR="004621D9" w:rsidRPr="004F55DE">
          <w:rPr>
            <w:rStyle w:val="Hyperlink"/>
          </w:rPr>
          <w:t>7.2</w:t>
        </w:r>
        <w:r w:rsidR="004621D9">
          <w:rPr>
            <w:rFonts w:asciiTheme="minorHAnsi" w:eastAsiaTheme="minorEastAsia" w:hAnsiTheme="minorHAnsi" w:cstheme="minorBidi"/>
            <w:sz w:val="22"/>
            <w:szCs w:val="22"/>
            <w:lang w:val="bg-BG"/>
          </w:rPr>
          <w:tab/>
        </w:r>
        <w:r w:rsidR="004621D9" w:rsidRPr="004F55DE">
          <w:rPr>
            <w:rStyle w:val="Hyperlink"/>
          </w:rPr>
          <w:t>Бюджетни процедури</w:t>
        </w:r>
        <w:r w:rsidR="004621D9">
          <w:rPr>
            <w:webHidden/>
          </w:rPr>
          <w:tab/>
        </w:r>
        <w:r w:rsidR="004621D9">
          <w:rPr>
            <w:webHidden/>
          </w:rPr>
          <w:fldChar w:fldCharType="begin"/>
        </w:r>
        <w:r w:rsidR="004621D9">
          <w:rPr>
            <w:webHidden/>
          </w:rPr>
          <w:instrText xml:space="preserve"> PAGEREF _Toc100906088 \h </w:instrText>
        </w:r>
        <w:r w:rsidR="004621D9">
          <w:rPr>
            <w:webHidden/>
          </w:rPr>
        </w:r>
        <w:r w:rsidR="004621D9">
          <w:rPr>
            <w:webHidden/>
          </w:rPr>
          <w:fldChar w:fldCharType="separate"/>
        </w:r>
        <w:r w:rsidR="00232E48">
          <w:rPr>
            <w:webHidden/>
          </w:rPr>
          <w:t>86</w:t>
        </w:r>
        <w:r w:rsidR="004621D9">
          <w:rPr>
            <w:webHidden/>
          </w:rPr>
          <w:fldChar w:fldCharType="end"/>
        </w:r>
      </w:hyperlink>
    </w:p>
    <w:p w14:paraId="7A2973CE" w14:textId="0168F26C" w:rsidR="004621D9" w:rsidRDefault="0046210A">
      <w:pPr>
        <w:pStyle w:val="TOC2"/>
        <w:rPr>
          <w:rFonts w:asciiTheme="minorHAnsi" w:eastAsiaTheme="minorEastAsia" w:hAnsiTheme="minorHAnsi" w:cstheme="minorBidi"/>
          <w:sz w:val="22"/>
          <w:szCs w:val="22"/>
          <w:lang w:val="bg-BG"/>
        </w:rPr>
      </w:pPr>
      <w:hyperlink w:anchor="_Toc100906089" w:history="1">
        <w:r w:rsidR="004621D9" w:rsidRPr="004F55DE">
          <w:rPr>
            <w:rStyle w:val="Hyperlink"/>
          </w:rPr>
          <w:t>7.3</w:t>
        </w:r>
        <w:r w:rsidR="004621D9">
          <w:rPr>
            <w:rFonts w:asciiTheme="minorHAnsi" w:eastAsiaTheme="minorEastAsia" w:hAnsiTheme="minorHAnsi" w:cstheme="minorBidi"/>
            <w:sz w:val="22"/>
            <w:szCs w:val="22"/>
            <w:lang w:val="bg-BG"/>
          </w:rPr>
          <w:tab/>
        </w:r>
        <w:r w:rsidR="004621D9" w:rsidRPr="004F55DE">
          <w:rPr>
            <w:rStyle w:val="Hyperlink"/>
          </w:rPr>
          <w:t>Други институционални развития във връзка с публичните финанси</w:t>
        </w:r>
        <w:r w:rsidR="004621D9">
          <w:rPr>
            <w:webHidden/>
          </w:rPr>
          <w:tab/>
        </w:r>
        <w:r w:rsidR="004621D9">
          <w:rPr>
            <w:webHidden/>
          </w:rPr>
          <w:fldChar w:fldCharType="begin"/>
        </w:r>
        <w:r w:rsidR="004621D9">
          <w:rPr>
            <w:webHidden/>
          </w:rPr>
          <w:instrText xml:space="preserve"> PAGEREF _Toc100906089 \h </w:instrText>
        </w:r>
        <w:r w:rsidR="004621D9">
          <w:rPr>
            <w:webHidden/>
          </w:rPr>
        </w:r>
        <w:r w:rsidR="004621D9">
          <w:rPr>
            <w:webHidden/>
          </w:rPr>
          <w:fldChar w:fldCharType="separate"/>
        </w:r>
        <w:r w:rsidR="00232E48">
          <w:rPr>
            <w:webHidden/>
          </w:rPr>
          <w:t>89</w:t>
        </w:r>
        <w:r w:rsidR="004621D9">
          <w:rPr>
            <w:webHidden/>
          </w:rPr>
          <w:fldChar w:fldCharType="end"/>
        </w:r>
      </w:hyperlink>
    </w:p>
    <w:p w14:paraId="234CA777" w14:textId="344B0E57" w:rsidR="004621D9" w:rsidRDefault="0046210A">
      <w:pPr>
        <w:pStyle w:val="TOC1"/>
        <w:rPr>
          <w:rFonts w:asciiTheme="minorHAnsi" w:eastAsiaTheme="minorEastAsia" w:hAnsiTheme="minorHAnsi" w:cstheme="minorBidi"/>
          <w:b w:val="0"/>
          <w:bCs w:val="0"/>
          <w:color w:val="auto"/>
          <w:kern w:val="0"/>
          <w:sz w:val="22"/>
          <w:szCs w:val="22"/>
        </w:rPr>
      </w:pPr>
      <w:hyperlink w:anchor="_Toc100906090" w:history="1">
        <w:r w:rsidR="004621D9" w:rsidRPr="004F55DE">
          <w:rPr>
            <w:rStyle w:val="Hyperlink"/>
          </w:rPr>
          <w:t>8.</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Приложение А</w:t>
        </w:r>
        <w:r w:rsidR="004621D9">
          <w:rPr>
            <w:webHidden/>
          </w:rPr>
          <w:tab/>
        </w:r>
        <w:r w:rsidR="004621D9">
          <w:rPr>
            <w:webHidden/>
          </w:rPr>
          <w:fldChar w:fldCharType="begin"/>
        </w:r>
        <w:r w:rsidR="004621D9">
          <w:rPr>
            <w:webHidden/>
          </w:rPr>
          <w:instrText xml:space="preserve"> PAGEREF _Toc100906090 \h </w:instrText>
        </w:r>
        <w:r w:rsidR="004621D9">
          <w:rPr>
            <w:webHidden/>
          </w:rPr>
        </w:r>
        <w:r w:rsidR="004621D9">
          <w:rPr>
            <w:webHidden/>
          </w:rPr>
          <w:fldChar w:fldCharType="separate"/>
        </w:r>
        <w:r w:rsidR="00232E48">
          <w:rPr>
            <w:webHidden/>
          </w:rPr>
          <w:t>90</w:t>
        </w:r>
        <w:r w:rsidR="004621D9">
          <w:rPr>
            <w:webHidden/>
          </w:rPr>
          <w:fldChar w:fldCharType="end"/>
        </w:r>
      </w:hyperlink>
    </w:p>
    <w:p w14:paraId="4EC13CFF" w14:textId="56829036" w:rsidR="004621D9" w:rsidRDefault="0046210A">
      <w:pPr>
        <w:pStyle w:val="TOC2"/>
        <w:rPr>
          <w:rFonts w:asciiTheme="minorHAnsi" w:eastAsiaTheme="minorEastAsia" w:hAnsiTheme="minorHAnsi" w:cstheme="minorBidi"/>
          <w:sz w:val="22"/>
          <w:szCs w:val="22"/>
          <w:lang w:val="bg-BG"/>
        </w:rPr>
      </w:pPr>
      <w:hyperlink w:anchor="_Toc100906091" w:history="1">
        <w:r w:rsidR="004621D9" w:rsidRPr="004F55DE">
          <w:rPr>
            <w:rStyle w:val="Hyperlink"/>
          </w:rPr>
          <w:t>Табл. 1а: Макроикономически перспективи</w:t>
        </w:r>
        <w:r w:rsidR="004621D9">
          <w:rPr>
            <w:webHidden/>
          </w:rPr>
          <w:tab/>
        </w:r>
        <w:r w:rsidR="004621D9">
          <w:rPr>
            <w:webHidden/>
          </w:rPr>
          <w:fldChar w:fldCharType="begin"/>
        </w:r>
        <w:r w:rsidR="004621D9">
          <w:rPr>
            <w:webHidden/>
          </w:rPr>
          <w:instrText xml:space="preserve"> PAGEREF _Toc100906091 \h </w:instrText>
        </w:r>
        <w:r w:rsidR="004621D9">
          <w:rPr>
            <w:webHidden/>
          </w:rPr>
        </w:r>
        <w:r w:rsidR="004621D9">
          <w:rPr>
            <w:webHidden/>
          </w:rPr>
          <w:fldChar w:fldCharType="separate"/>
        </w:r>
        <w:r w:rsidR="00232E48">
          <w:rPr>
            <w:webHidden/>
          </w:rPr>
          <w:t>90</w:t>
        </w:r>
        <w:r w:rsidR="004621D9">
          <w:rPr>
            <w:webHidden/>
          </w:rPr>
          <w:fldChar w:fldCharType="end"/>
        </w:r>
      </w:hyperlink>
    </w:p>
    <w:p w14:paraId="664DE863" w14:textId="11212FD5" w:rsidR="004621D9" w:rsidRDefault="0046210A">
      <w:pPr>
        <w:pStyle w:val="TOC2"/>
        <w:rPr>
          <w:rFonts w:asciiTheme="minorHAnsi" w:eastAsiaTheme="minorEastAsia" w:hAnsiTheme="minorHAnsi" w:cstheme="minorBidi"/>
          <w:sz w:val="22"/>
          <w:szCs w:val="22"/>
          <w:lang w:val="bg-BG"/>
        </w:rPr>
      </w:pPr>
      <w:hyperlink w:anchor="_Toc100906092" w:history="1">
        <w:r w:rsidR="004621D9" w:rsidRPr="004F55DE">
          <w:rPr>
            <w:rStyle w:val="Hyperlink"/>
          </w:rPr>
          <w:t>Табл. 1б: Ценова динамика</w:t>
        </w:r>
        <w:r w:rsidR="004621D9">
          <w:rPr>
            <w:webHidden/>
          </w:rPr>
          <w:tab/>
        </w:r>
        <w:r w:rsidR="004621D9">
          <w:rPr>
            <w:webHidden/>
          </w:rPr>
          <w:fldChar w:fldCharType="begin"/>
        </w:r>
        <w:r w:rsidR="004621D9">
          <w:rPr>
            <w:webHidden/>
          </w:rPr>
          <w:instrText xml:space="preserve"> PAGEREF _Toc100906092 \h </w:instrText>
        </w:r>
        <w:r w:rsidR="004621D9">
          <w:rPr>
            <w:webHidden/>
          </w:rPr>
        </w:r>
        <w:r w:rsidR="004621D9">
          <w:rPr>
            <w:webHidden/>
          </w:rPr>
          <w:fldChar w:fldCharType="separate"/>
        </w:r>
        <w:r w:rsidR="00232E48">
          <w:rPr>
            <w:webHidden/>
          </w:rPr>
          <w:t>91</w:t>
        </w:r>
        <w:r w:rsidR="004621D9">
          <w:rPr>
            <w:webHidden/>
          </w:rPr>
          <w:fldChar w:fldCharType="end"/>
        </w:r>
      </w:hyperlink>
    </w:p>
    <w:p w14:paraId="55D9116E" w14:textId="2758DD42" w:rsidR="004621D9" w:rsidRDefault="0046210A">
      <w:pPr>
        <w:pStyle w:val="TOC2"/>
        <w:rPr>
          <w:rFonts w:asciiTheme="minorHAnsi" w:eastAsiaTheme="minorEastAsia" w:hAnsiTheme="minorHAnsi" w:cstheme="minorBidi"/>
          <w:sz w:val="22"/>
          <w:szCs w:val="22"/>
          <w:lang w:val="bg-BG"/>
        </w:rPr>
      </w:pPr>
      <w:hyperlink w:anchor="_Toc100906093" w:history="1">
        <w:r w:rsidR="004621D9" w:rsidRPr="004F55DE">
          <w:rPr>
            <w:rStyle w:val="Hyperlink"/>
          </w:rPr>
          <w:t>Табл. 1в: Развитие на пазара на труда</w:t>
        </w:r>
        <w:r w:rsidR="004621D9">
          <w:rPr>
            <w:webHidden/>
          </w:rPr>
          <w:tab/>
        </w:r>
        <w:r w:rsidR="004621D9">
          <w:rPr>
            <w:webHidden/>
          </w:rPr>
          <w:fldChar w:fldCharType="begin"/>
        </w:r>
        <w:r w:rsidR="004621D9">
          <w:rPr>
            <w:webHidden/>
          </w:rPr>
          <w:instrText xml:space="preserve"> PAGEREF _Toc100906093 \h </w:instrText>
        </w:r>
        <w:r w:rsidR="004621D9">
          <w:rPr>
            <w:webHidden/>
          </w:rPr>
        </w:r>
        <w:r w:rsidR="004621D9">
          <w:rPr>
            <w:webHidden/>
          </w:rPr>
          <w:fldChar w:fldCharType="separate"/>
        </w:r>
        <w:r w:rsidR="00232E48">
          <w:rPr>
            <w:webHidden/>
          </w:rPr>
          <w:t>91</w:t>
        </w:r>
        <w:r w:rsidR="004621D9">
          <w:rPr>
            <w:webHidden/>
          </w:rPr>
          <w:fldChar w:fldCharType="end"/>
        </w:r>
      </w:hyperlink>
    </w:p>
    <w:p w14:paraId="037E7F48" w14:textId="3E3DAD07" w:rsidR="004621D9" w:rsidRDefault="0046210A">
      <w:pPr>
        <w:pStyle w:val="TOC2"/>
        <w:rPr>
          <w:rFonts w:asciiTheme="minorHAnsi" w:eastAsiaTheme="minorEastAsia" w:hAnsiTheme="minorHAnsi" w:cstheme="minorBidi"/>
          <w:sz w:val="22"/>
          <w:szCs w:val="22"/>
          <w:lang w:val="bg-BG"/>
        </w:rPr>
      </w:pPr>
      <w:hyperlink w:anchor="_Toc100906094" w:history="1">
        <w:r w:rsidR="004621D9" w:rsidRPr="004F55DE">
          <w:rPr>
            <w:rStyle w:val="Hyperlink"/>
          </w:rPr>
          <w:t>Табл. 1г: Секторни баланси</w:t>
        </w:r>
        <w:r w:rsidR="004621D9">
          <w:rPr>
            <w:webHidden/>
          </w:rPr>
          <w:tab/>
        </w:r>
        <w:r w:rsidR="004621D9">
          <w:rPr>
            <w:webHidden/>
          </w:rPr>
          <w:fldChar w:fldCharType="begin"/>
        </w:r>
        <w:r w:rsidR="004621D9">
          <w:rPr>
            <w:webHidden/>
          </w:rPr>
          <w:instrText xml:space="preserve"> PAGEREF _Toc100906094 \h </w:instrText>
        </w:r>
        <w:r w:rsidR="004621D9">
          <w:rPr>
            <w:webHidden/>
          </w:rPr>
        </w:r>
        <w:r w:rsidR="004621D9">
          <w:rPr>
            <w:webHidden/>
          </w:rPr>
          <w:fldChar w:fldCharType="separate"/>
        </w:r>
        <w:r w:rsidR="00232E48">
          <w:rPr>
            <w:webHidden/>
          </w:rPr>
          <w:t>92</w:t>
        </w:r>
        <w:r w:rsidR="004621D9">
          <w:rPr>
            <w:webHidden/>
          </w:rPr>
          <w:fldChar w:fldCharType="end"/>
        </w:r>
      </w:hyperlink>
    </w:p>
    <w:p w14:paraId="26E5AA3A" w14:textId="77C9FB16" w:rsidR="004621D9" w:rsidRDefault="0046210A">
      <w:pPr>
        <w:pStyle w:val="TOC2"/>
        <w:rPr>
          <w:rFonts w:asciiTheme="minorHAnsi" w:eastAsiaTheme="minorEastAsia" w:hAnsiTheme="minorHAnsi" w:cstheme="minorBidi"/>
          <w:sz w:val="22"/>
          <w:szCs w:val="22"/>
          <w:lang w:val="bg-BG"/>
        </w:rPr>
      </w:pPr>
      <w:hyperlink w:anchor="_Toc100906095" w:history="1">
        <w:r w:rsidR="004621D9" w:rsidRPr="004F55DE">
          <w:rPr>
            <w:rStyle w:val="Hyperlink"/>
          </w:rPr>
          <w:t>Табл. 2a: Бюджетни прогнози на сектор „Държавно управление”</w:t>
        </w:r>
        <w:r w:rsidR="004621D9">
          <w:rPr>
            <w:webHidden/>
          </w:rPr>
          <w:tab/>
        </w:r>
        <w:r w:rsidR="004621D9">
          <w:rPr>
            <w:webHidden/>
          </w:rPr>
          <w:fldChar w:fldCharType="begin"/>
        </w:r>
        <w:r w:rsidR="004621D9">
          <w:rPr>
            <w:webHidden/>
          </w:rPr>
          <w:instrText xml:space="preserve"> PAGEREF _Toc100906095 \h </w:instrText>
        </w:r>
        <w:r w:rsidR="004621D9">
          <w:rPr>
            <w:webHidden/>
          </w:rPr>
        </w:r>
        <w:r w:rsidR="004621D9">
          <w:rPr>
            <w:webHidden/>
          </w:rPr>
          <w:fldChar w:fldCharType="separate"/>
        </w:r>
        <w:r w:rsidR="00232E48">
          <w:rPr>
            <w:webHidden/>
          </w:rPr>
          <w:t>92</w:t>
        </w:r>
        <w:r w:rsidR="004621D9">
          <w:rPr>
            <w:webHidden/>
          </w:rPr>
          <w:fldChar w:fldCharType="end"/>
        </w:r>
      </w:hyperlink>
    </w:p>
    <w:p w14:paraId="53C027F8" w14:textId="30B9110F" w:rsidR="004621D9" w:rsidRDefault="0046210A">
      <w:pPr>
        <w:pStyle w:val="TOC2"/>
        <w:rPr>
          <w:rFonts w:asciiTheme="minorHAnsi" w:eastAsiaTheme="minorEastAsia" w:hAnsiTheme="minorHAnsi" w:cstheme="minorBidi"/>
          <w:sz w:val="22"/>
          <w:szCs w:val="22"/>
          <w:lang w:val="bg-BG"/>
        </w:rPr>
      </w:pPr>
      <w:hyperlink w:anchor="_Toc100906096" w:history="1">
        <w:r w:rsidR="004621D9" w:rsidRPr="004F55DE">
          <w:rPr>
            <w:rStyle w:val="Hyperlink"/>
          </w:rPr>
          <w:t>Табл. 2б: Прогнози при непроменени политики</w:t>
        </w:r>
        <w:r w:rsidR="004621D9">
          <w:rPr>
            <w:webHidden/>
          </w:rPr>
          <w:tab/>
        </w:r>
        <w:r w:rsidR="004621D9">
          <w:rPr>
            <w:webHidden/>
          </w:rPr>
          <w:fldChar w:fldCharType="begin"/>
        </w:r>
        <w:r w:rsidR="004621D9">
          <w:rPr>
            <w:webHidden/>
          </w:rPr>
          <w:instrText xml:space="preserve"> PAGEREF _Toc100906096 \h </w:instrText>
        </w:r>
        <w:r w:rsidR="004621D9">
          <w:rPr>
            <w:webHidden/>
          </w:rPr>
        </w:r>
        <w:r w:rsidR="004621D9">
          <w:rPr>
            <w:webHidden/>
          </w:rPr>
          <w:fldChar w:fldCharType="separate"/>
        </w:r>
        <w:r w:rsidR="00232E48">
          <w:rPr>
            <w:webHidden/>
          </w:rPr>
          <w:t>94</w:t>
        </w:r>
        <w:r w:rsidR="004621D9">
          <w:rPr>
            <w:webHidden/>
          </w:rPr>
          <w:fldChar w:fldCharType="end"/>
        </w:r>
      </w:hyperlink>
    </w:p>
    <w:p w14:paraId="0DCA3814" w14:textId="63CC123E" w:rsidR="004621D9" w:rsidRDefault="0046210A">
      <w:pPr>
        <w:pStyle w:val="TOC2"/>
        <w:rPr>
          <w:rFonts w:asciiTheme="minorHAnsi" w:eastAsiaTheme="minorEastAsia" w:hAnsiTheme="minorHAnsi" w:cstheme="minorBidi"/>
          <w:sz w:val="22"/>
          <w:szCs w:val="22"/>
          <w:lang w:val="bg-BG"/>
        </w:rPr>
      </w:pPr>
      <w:hyperlink w:anchor="_Toc100906097" w:history="1">
        <w:r w:rsidR="004621D9" w:rsidRPr="004F55DE">
          <w:rPr>
            <w:rStyle w:val="Hyperlink"/>
          </w:rPr>
          <w:t>Табл. 2в: Разходи, които не се включват в бенчмарка за разходите</w:t>
        </w:r>
        <w:r w:rsidR="004621D9">
          <w:rPr>
            <w:webHidden/>
          </w:rPr>
          <w:tab/>
        </w:r>
        <w:r w:rsidR="004621D9">
          <w:rPr>
            <w:webHidden/>
          </w:rPr>
          <w:fldChar w:fldCharType="begin"/>
        </w:r>
        <w:r w:rsidR="004621D9">
          <w:rPr>
            <w:webHidden/>
          </w:rPr>
          <w:instrText xml:space="preserve"> PAGEREF _Toc100906097 \h </w:instrText>
        </w:r>
        <w:r w:rsidR="004621D9">
          <w:rPr>
            <w:webHidden/>
          </w:rPr>
        </w:r>
        <w:r w:rsidR="004621D9">
          <w:rPr>
            <w:webHidden/>
          </w:rPr>
          <w:fldChar w:fldCharType="separate"/>
        </w:r>
        <w:r w:rsidR="00232E48">
          <w:rPr>
            <w:webHidden/>
          </w:rPr>
          <w:t>94</w:t>
        </w:r>
        <w:r w:rsidR="004621D9">
          <w:rPr>
            <w:webHidden/>
          </w:rPr>
          <w:fldChar w:fldCharType="end"/>
        </w:r>
      </w:hyperlink>
    </w:p>
    <w:p w14:paraId="21D608B8" w14:textId="0DD8A046" w:rsidR="004621D9" w:rsidRDefault="0046210A">
      <w:pPr>
        <w:pStyle w:val="TOC2"/>
        <w:rPr>
          <w:rFonts w:asciiTheme="minorHAnsi" w:eastAsiaTheme="minorEastAsia" w:hAnsiTheme="minorHAnsi" w:cstheme="minorBidi"/>
          <w:sz w:val="22"/>
          <w:szCs w:val="22"/>
          <w:lang w:val="bg-BG"/>
        </w:rPr>
      </w:pPr>
      <w:hyperlink w:anchor="_Toc100906098" w:history="1">
        <w:r w:rsidR="004621D9" w:rsidRPr="004F55DE">
          <w:rPr>
            <w:rStyle w:val="Hyperlink"/>
          </w:rPr>
          <w:t>Табл. 3: Държавни разходи по функции</w:t>
        </w:r>
        <w:r w:rsidR="004621D9">
          <w:rPr>
            <w:webHidden/>
          </w:rPr>
          <w:tab/>
        </w:r>
        <w:r w:rsidR="004621D9">
          <w:rPr>
            <w:webHidden/>
          </w:rPr>
          <w:fldChar w:fldCharType="begin"/>
        </w:r>
        <w:r w:rsidR="004621D9">
          <w:rPr>
            <w:webHidden/>
          </w:rPr>
          <w:instrText xml:space="preserve"> PAGEREF _Toc100906098 \h </w:instrText>
        </w:r>
        <w:r w:rsidR="004621D9">
          <w:rPr>
            <w:webHidden/>
          </w:rPr>
        </w:r>
        <w:r w:rsidR="004621D9">
          <w:rPr>
            <w:webHidden/>
          </w:rPr>
          <w:fldChar w:fldCharType="separate"/>
        </w:r>
        <w:r w:rsidR="00232E48">
          <w:rPr>
            <w:webHidden/>
          </w:rPr>
          <w:t>94</w:t>
        </w:r>
        <w:r w:rsidR="004621D9">
          <w:rPr>
            <w:webHidden/>
          </w:rPr>
          <w:fldChar w:fldCharType="end"/>
        </w:r>
      </w:hyperlink>
    </w:p>
    <w:p w14:paraId="2B195030" w14:textId="6046AEC8" w:rsidR="004621D9" w:rsidRDefault="0046210A">
      <w:pPr>
        <w:pStyle w:val="TOC2"/>
        <w:rPr>
          <w:rFonts w:asciiTheme="minorHAnsi" w:eastAsiaTheme="minorEastAsia" w:hAnsiTheme="minorHAnsi" w:cstheme="minorBidi"/>
          <w:sz w:val="22"/>
          <w:szCs w:val="22"/>
          <w:lang w:val="bg-BG"/>
        </w:rPr>
      </w:pPr>
      <w:hyperlink w:anchor="_Toc100906099" w:history="1">
        <w:r w:rsidR="004621D9" w:rsidRPr="004F55DE">
          <w:rPr>
            <w:rStyle w:val="Hyperlink"/>
          </w:rPr>
          <w:t>Табл. 4: Консолидиран правителствен дълг</w:t>
        </w:r>
        <w:r w:rsidR="004621D9">
          <w:rPr>
            <w:webHidden/>
          </w:rPr>
          <w:tab/>
        </w:r>
        <w:r w:rsidR="004621D9">
          <w:rPr>
            <w:webHidden/>
          </w:rPr>
          <w:fldChar w:fldCharType="begin"/>
        </w:r>
        <w:r w:rsidR="004621D9">
          <w:rPr>
            <w:webHidden/>
          </w:rPr>
          <w:instrText xml:space="preserve"> PAGEREF _Toc100906099 \h </w:instrText>
        </w:r>
        <w:r w:rsidR="004621D9">
          <w:rPr>
            <w:webHidden/>
          </w:rPr>
        </w:r>
        <w:r w:rsidR="004621D9">
          <w:rPr>
            <w:webHidden/>
          </w:rPr>
          <w:fldChar w:fldCharType="separate"/>
        </w:r>
        <w:r w:rsidR="00232E48">
          <w:rPr>
            <w:webHidden/>
          </w:rPr>
          <w:t>95</w:t>
        </w:r>
        <w:r w:rsidR="004621D9">
          <w:rPr>
            <w:webHidden/>
          </w:rPr>
          <w:fldChar w:fldCharType="end"/>
        </w:r>
      </w:hyperlink>
    </w:p>
    <w:p w14:paraId="05261702" w14:textId="4853814F" w:rsidR="004621D9" w:rsidRDefault="0046210A">
      <w:pPr>
        <w:pStyle w:val="TOC2"/>
        <w:rPr>
          <w:rFonts w:asciiTheme="minorHAnsi" w:eastAsiaTheme="minorEastAsia" w:hAnsiTheme="minorHAnsi" w:cstheme="minorBidi"/>
          <w:sz w:val="22"/>
          <w:szCs w:val="22"/>
          <w:lang w:val="bg-BG"/>
        </w:rPr>
      </w:pPr>
      <w:hyperlink w:anchor="_Toc100906100" w:history="1">
        <w:r w:rsidR="004621D9" w:rsidRPr="004F55DE">
          <w:rPr>
            <w:rStyle w:val="Hyperlink"/>
          </w:rPr>
          <w:t>Табл. 5: Циклично развитие</w:t>
        </w:r>
        <w:r w:rsidR="004621D9">
          <w:rPr>
            <w:webHidden/>
          </w:rPr>
          <w:tab/>
        </w:r>
        <w:r w:rsidR="004621D9">
          <w:rPr>
            <w:webHidden/>
          </w:rPr>
          <w:fldChar w:fldCharType="begin"/>
        </w:r>
        <w:r w:rsidR="004621D9">
          <w:rPr>
            <w:webHidden/>
          </w:rPr>
          <w:instrText xml:space="preserve"> PAGEREF _Toc100906100 \h </w:instrText>
        </w:r>
        <w:r w:rsidR="004621D9">
          <w:rPr>
            <w:webHidden/>
          </w:rPr>
        </w:r>
        <w:r w:rsidR="004621D9">
          <w:rPr>
            <w:webHidden/>
          </w:rPr>
          <w:fldChar w:fldCharType="separate"/>
        </w:r>
        <w:r w:rsidR="00232E48">
          <w:rPr>
            <w:webHidden/>
          </w:rPr>
          <w:t>96</w:t>
        </w:r>
        <w:r w:rsidR="004621D9">
          <w:rPr>
            <w:webHidden/>
          </w:rPr>
          <w:fldChar w:fldCharType="end"/>
        </w:r>
      </w:hyperlink>
    </w:p>
    <w:p w14:paraId="214D6BD7" w14:textId="6883C377" w:rsidR="004621D9" w:rsidRDefault="0046210A">
      <w:pPr>
        <w:pStyle w:val="TOC2"/>
        <w:rPr>
          <w:rFonts w:asciiTheme="minorHAnsi" w:eastAsiaTheme="minorEastAsia" w:hAnsiTheme="minorHAnsi" w:cstheme="minorBidi"/>
          <w:sz w:val="22"/>
          <w:szCs w:val="22"/>
          <w:lang w:val="bg-BG"/>
        </w:rPr>
      </w:pPr>
      <w:hyperlink w:anchor="_Toc100906101" w:history="1">
        <w:r w:rsidR="004621D9" w:rsidRPr="004F55DE">
          <w:rPr>
            <w:rStyle w:val="Hyperlink"/>
          </w:rPr>
          <w:t>Табл. 6: Разлика спрямо предходната актуализация</w:t>
        </w:r>
        <w:r w:rsidR="004621D9">
          <w:rPr>
            <w:webHidden/>
          </w:rPr>
          <w:tab/>
        </w:r>
        <w:r w:rsidR="004621D9">
          <w:rPr>
            <w:webHidden/>
          </w:rPr>
          <w:fldChar w:fldCharType="begin"/>
        </w:r>
        <w:r w:rsidR="004621D9">
          <w:rPr>
            <w:webHidden/>
          </w:rPr>
          <w:instrText xml:space="preserve"> PAGEREF _Toc100906101 \h </w:instrText>
        </w:r>
        <w:r w:rsidR="004621D9">
          <w:rPr>
            <w:webHidden/>
          </w:rPr>
        </w:r>
        <w:r w:rsidR="004621D9">
          <w:rPr>
            <w:webHidden/>
          </w:rPr>
          <w:fldChar w:fldCharType="separate"/>
        </w:r>
        <w:r w:rsidR="00232E48">
          <w:rPr>
            <w:webHidden/>
          </w:rPr>
          <w:t>96</w:t>
        </w:r>
        <w:r w:rsidR="004621D9">
          <w:rPr>
            <w:webHidden/>
          </w:rPr>
          <w:fldChar w:fldCharType="end"/>
        </w:r>
      </w:hyperlink>
    </w:p>
    <w:p w14:paraId="322ECEDA" w14:textId="4452563B" w:rsidR="004621D9" w:rsidRDefault="0046210A">
      <w:pPr>
        <w:pStyle w:val="TOC2"/>
        <w:rPr>
          <w:rFonts w:asciiTheme="minorHAnsi" w:eastAsiaTheme="minorEastAsia" w:hAnsiTheme="minorHAnsi" w:cstheme="minorBidi"/>
          <w:sz w:val="22"/>
          <w:szCs w:val="22"/>
          <w:lang w:val="bg-BG"/>
        </w:rPr>
      </w:pPr>
      <w:hyperlink w:anchor="_Toc100906102" w:history="1">
        <w:r w:rsidR="004621D9" w:rsidRPr="004F55DE">
          <w:rPr>
            <w:rStyle w:val="Hyperlink"/>
          </w:rPr>
          <w:t>Табл. 7: Дългосрочна устойчивост на публичните финанси</w:t>
        </w:r>
        <w:r w:rsidR="004621D9">
          <w:rPr>
            <w:webHidden/>
          </w:rPr>
          <w:tab/>
        </w:r>
        <w:r w:rsidR="004621D9">
          <w:rPr>
            <w:webHidden/>
          </w:rPr>
          <w:fldChar w:fldCharType="begin"/>
        </w:r>
        <w:r w:rsidR="004621D9">
          <w:rPr>
            <w:webHidden/>
          </w:rPr>
          <w:instrText xml:space="preserve"> PAGEREF _Toc100906102 \h </w:instrText>
        </w:r>
        <w:r w:rsidR="004621D9">
          <w:rPr>
            <w:webHidden/>
          </w:rPr>
        </w:r>
        <w:r w:rsidR="004621D9">
          <w:rPr>
            <w:webHidden/>
          </w:rPr>
          <w:fldChar w:fldCharType="separate"/>
        </w:r>
        <w:r w:rsidR="00232E48">
          <w:rPr>
            <w:webHidden/>
          </w:rPr>
          <w:t>97</w:t>
        </w:r>
        <w:r w:rsidR="004621D9">
          <w:rPr>
            <w:webHidden/>
          </w:rPr>
          <w:fldChar w:fldCharType="end"/>
        </w:r>
      </w:hyperlink>
    </w:p>
    <w:p w14:paraId="48C2606E" w14:textId="54003BCB" w:rsidR="004621D9" w:rsidRDefault="0046210A">
      <w:pPr>
        <w:pStyle w:val="TOC2"/>
        <w:rPr>
          <w:rFonts w:asciiTheme="minorHAnsi" w:eastAsiaTheme="minorEastAsia" w:hAnsiTheme="minorHAnsi" w:cstheme="minorBidi"/>
          <w:sz w:val="22"/>
          <w:szCs w:val="22"/>
          <w:lang w:val="bg-BG"/>
        </w:rPr>
      </w:pPr>
      <w:hyperlink w:anchor="_Toc100906103" w:history="1">
        <w:r w:rsidR="004621D9" w:rsidRPr="004F55DE">
          <w:rPr>
            <w:rStyle w:val="Hyperlink"/>
          </w:rPr>
          <w:t>Табл. 8: Основни допускания</w:t>
        </w:r>
        <w:r w:rsidR="004621D9">
          <w:rPr>
            <w:webHidden/>
          </w:rPr>
          <w:tab/>
        </w:r>
        <w:r w:rsidR="004621D9">
          <w:rPr>
            <w:webHidden/>
          </w:rPr>
          <w:fldChar w:fldCharType="begin"/>
        </w:r>
        <w:r w:rsidR="004621D9">
          <w:rPr>
            <w:webHidden/>
          </w:rPr>
          <w:instrText xml:space="preserve"> PAGEREF _Toc100906103 \h </w:instrText>
        </w:r>
        <w:r w:rsidR="004621D9">
          <w:rPr>
            <w:webHidden/>
          </w:rPr>
        </w:r>
        <w:r w:rsidR="004621D9">
          <w:rPr>
            <w:webHidden/>
          </w:rPr>
          <w:fldChar w:fldCharType="separate"/>
        </w:r>
        <w:r w:rsidR="00232E48">
          <w:rPr>
            <w:webHidden/>
          </w:rPr>
          <w:t>98</w:t>
        </w:r>
        <w:r w:rsidR="004621D9">
          <w:rPr>
            <w:webHidden/>
          </w:rPr>
          <w:fldChar w:fldCharType="end"/>
        </w:r>
      </w:hyperlink>
    </w:p>
    <w:p w14:paraId="63FA30A1" w14:textId="7E3BFE74" w:rsidR="004621D9" w:rsidRDefault="0046210A">
      <w:pPr>
        <w:pStyle w:val="TOC1"/>
        <w:rPr>
          <w:rFonts w:asciiTheme="minorHAnsi" w:eastAsiaTheme="minorEastAsia" w:hAnsiTheme="minorHAnsi" w:cstheme="minorBidi"/>
          <w:b w:val="0"/>
          <w:bCs w:val="0"/>
          <w:color w:val="auto"/>
          <w:kern w:val="0"/>
          <w:sz w:val="22"/>
          <w:szCs w:val="22"/>
        </w:rPr>
      </w:pPr>
      <w:hyperlink w:anchor="_Toc100906104" w:history="1">
        <w:r w:rsidR="004621D9" w:rsidRPr="004F55DE">
          <w:rPr>
            <w:rStyle w:val="Hyperlink"/>
          </w:rPr>
          <w:t>9.</w:t>
        </w:r>
        <w:r w:rsidR="004621D9">
          <w:rPr>
            <w:rFonts w:asciiTheme="minorHAnsi" w:eastAsiaTheme="minorEastAsia" w:hAnsiTheme="minorHAnsi" w:cstheme="minorBidi"/>
            <w:b w:val="0"/>
            <w:bCs w:val="0"/>
            <w:color w:val="auto"/>
            <w:kern w:val="0"/>
            <w:sz w:val="22"/>
            <w:szCs w:val="22"/>
          </w:rPr>
          <w:tab/>
        </w:r>
        <w:r w:rsidR="004621D9" w:rsidRPr="004F55DE">
          <w:rPr>
            <w:rStyle w:val="Hyperlink"/>
          </w:rPr>
          <w:t>Приложение Б</w:t>
        </w:r>
        <w:r w:rsidR="004621D9">
          <w:rPr>
            <w:webHidden/>
          </w:rPr>
          <w:tab/>
        </w:r>
        <w:r w:rsidR="004621D9">
          <w:rPr>
            <w:webHidden/>
          </w:rPr>
          <w:fldChar w:fldCharType="begin"/>
        </w:r>
        <w:r w:rsidR="004621D9">
          <w:rPr>
            <w:webHidden/>
          </w:rPr>
          <w:instrText xml:space="preserve"> PAGEREF _Toc100906104 \h </w:instrText>
        </w:r>
        <w:r w:rsidR="004621D9">
          <w:rPr>
            <w:webHidden/>
          </w:rPr>
        </w:r>
        <w:r w:rsidR="004621D9">
          <w:rPr>
            <w:webHidden/>
          </w:rPr>
          <w:fldChar w:fldCharType="separate"/>
        </w:r>
        <w:r w:rsidR="00232E48">
          <w:rPr>
            <w:webHidden/>
          </w:rPr>
          <w:t>99</w:t>
        </w:r>
        <w:r w:rsidR="004621D9">
          <w:rPr>
            <w:webHidden/>
          </w:rPr>
          <w:fldChar w:fldCharType="end"/>
        </w:r>
      </w:hyperlink>
    </w:p>
    <w:p w14:paraId="10287412" w14:textId="54AAADC6" w:rsidR="004621D9" w:rsidRDefault="0046210A">
      <w:pPr>
        <w:pStyle w:val="TOC2"/>
        <w:rPr>
          <w:rFonts w:asciiTheme="minorHAnsi" w:eastAsiaTheme="minorEastAsia" w:hAnsiTheme="minorHAnsi" w:cstheme="minorBidi"/>
          <w:sz w:val="22"/>
          <w:szCs w:val="22"/>
          <w:lang w:val="bg-BG"/>
        </w:rPr>
      </w:pPr>
      <w:hyperlink w:anchor="_Toc100906105" w:history="1">
        <w:r w:rsidR="004621D9" w:rsidRPr="004F55DE">
          <w:rPr>
            <w:rStyle w:val="Hyperlink"/>
          </w:rPr>
          <w:t>Табл. 1: Отражение на МВУ върху прогнозите в Конвергентната програма – Грантове</w:t>
        </w:r>
        <w:r w:rsidR="004621D9">
          <w:rPr>
            <w:webHidden/>
          </w:rPr>
          <w:tab/>
        </w:r>
        <w:r w:rsidR="004621D9">
          <w:rPr>
            <w:webHidden/>
          </w:rPr>
          <w:fldChar w:fldCharType="begin"/>
        </w:r>
        <w:r w:rsidR="004621D9">
          <w:rPr>
            <w:webHidden/>
          </w:rPr>
          <w:instrText xml:space="preserve"> PAGEREF _Toc100906105 \h </w:instrText>
        </w:r>
        <w:r w:rsidR="004621D9">
          <w:rPr>
            <w:webHidden/>
          </w:rPr>
        </w:r>
        <w:r w:rsidR="004621D9">
          <w:rPr>
            <w:webHidden/>
          </w:rPr>
          <w:fldChar w:fldCharType="separate"/>
        </w:r>
        <w:r w:rsidR="00232E48">
          <w:rPr>
            <w:webHidden/>
          </w:rPr>
          <w:t>99</w:t>
        </w:r>
        <w:r w:rsidR="004621D9">
          <w:rPr>
            <w:webHidden/>
          </w:rPr>
          <w:fldChar w:fldCharType="end"/>
        </w:r>
      </w:hyperlink>
    </w:p>
    <w:p w14:paraId="7AF9995F" w14:textId="5900DD36" w:rsidR="004621D9" w:rsidRDefault="0046210A">
      <w:pPr>
        <w:pStyle w:val="TOC2"/>
        <w:rPr>
          <w:rFonts w:asciiTheme="minorHAnsi" w:eastAsiaTheme="minorEastAsia" w:hAnsiTheme="minorHAnsi" w:cstheme="minorBidi"/>
          <w:sz w:val="22"/>
          <w:szCs w:val="22"/>
          <w:lang w:val="bg-BG"/>
        </w:rPr>
      </w:pPr>
      <w:hyperlink w:anchor="_Toc100906106" w:history="1">
        <w:r w:rsidR="004621D9" w:rsidRPr="004F55DE">
          <w:rPr>
            <w:rStyle w:val="Hyperlink"/>
          </w:rPr>
          <w:t>Табл. 2: Отражение на МВУ върху прогнозите в програмата Заеми</w:t>
        </w:r>
        <w:r w:rsidR="004621D9">
          <w:rPr>
            <w:webHidden/>
          </w:rPr>
          <w:tab/>
        </w:r>
        <w:r w:rsidR="004621D9">
          <w:rPr>
            <w:webHidden/>
          </w:rPr>
          <w:fldChar w:fldCharType="begin"/>
        </w:r>
        <w:r w:rsidR="004621D9">
          <w:rPr>
            <w:webHidden/>
          </w:rPr>
          <w:instrText xml:space="preserve"> PAGEREF _Toc100906106 \h </w:instrText>
        </w:r>
        <w:r w:rsidR="004621D9">
          <w:rPr>
            <w:webHidden/>
          </w:rPr>
        </w:r>
        <w:r w:rsidR="004621D9">
          <w:rPr>
            <w:webHidden/>
          </w:rPr>
          <w:fldChar w:fldCharType="separate"/>
        </w:r>
        <w:r w:rsidR="00232E48">
          <w:rPr>
            <w:webHidden/>
          </w:rPr>
          <w:t>100</w:t>
        </w:r>
        <w:r w:rsidR="004621D9">
          <w:rPr>
            <w:webHidden/>
          </w:rPr>
          <w:fldChar w:fldCharType="end"/>
        </w:r>
      </w:hyperlink>
    </w:p>
    <w:p w14:paraId="7A05A9AC" w14:textId="01D33FF9" w:rsidR="004621D9" w:rsidRDefault="0046210A">
      <w:pPr>
        <w:pStyle w:val="TOC2"/>
        <w:rPr>
          <w:rFonts w:asciiTheme="minorHAnsi" w:eastAsiaTheme="minorEastAsia" w:hAnsiTheme="minorHAnsi" w:cstheme="minorBidi"/>
          <w:sz w:val="22"/>
          <w:szCs w:val="22"/>
          <w:lang w:val="bg-BG"/>
        </w:rPr>
      </w:pPr>
      <w:hyperlink w:anchor="_Toc100906108" w:history="1">
        <w:r w:rsidR="004621D9" w:rsidRPr="004F55DE">
          <w:rPr>
            <w:rStyle w:val="Hyperlink"/>
          </w:rPr>
          <w:t xml:space="preserve">Табл. 3: Приети/обявени гаранции към </w:t>
        </w:r>
        <w:r w:rsidR="0083390F">
          <w:rPr>
            <w:rStyle w:val="Hyperlink"/>
            <w:lang w:val="bg-BG"/>
          </w:rPr>
          <w:t>15.04.2022 г.</w:t>
        </w:r>
        <w:r w:rsidR="004621D9" w:rsidRPr="004F55DE">
          <w:rPr>
            <w:rStyle w:val="Hyperlink"/>
          </w:rPr>
          <w:t xml:space="preserve"> според Конвергентната програма</w:t>
        </w:r>
        <w:r w:rsidR="004621D9">
          <w:rPr>
            <w:webHidden/>
          </w:rPr>
          <w:tab/>
        </w:r>
        <w:r w:rsidR="004621D9">
          <w:rPr>
            <w:webHidden/>
          </w:rPr>
          <w:fldChar w:fldCharType="begin"/>
        </w:r>
        <w:r w:rsidR="004621D9">
          <w:rPr>
            <w:webHidden/>
          </w:rPr>
          <w:instrText xml:space="preserve"> PAGEREF _Toc100906108 \h </w:instrText>
        </w:r>
        <w:r w:rsidR="004621D9">
          <w:rPr>
            <w:webHidden/>
          </w:rPr>
        </w:r>
        <w:r w:rsidR="004621D9">
          <w:rPr>
            <w:webHidden/>
          </w:rPr>
          <w:fldChar w:fldCharType="separate"/>
        </w:r>
        <w:r w:rsidR="00232E48">
          <w:rPr>
            <w:webHidden/>
          </w:rPr>
          <w:t>101</w:t>
        </w:r>
        <w:r w:rsidR="004621D9">
          <w:rPr>
            <w:webHidden/>
          </w:rPr>
          <w:fldChar w:fldCharType="end"/>
        </w:r>
      </w:hyperlink>
    </w:p>
    <w:p w14:paraId="18383836" w14:textId="2A75BADA" w:rsidR="00AE1EB5" w:rsidRPr="005B2032" w:rsidRDefault="002B6574" w:rsidP="00D902CC">
      <w:pPr>
        <w:pStyle w:val="tabletextleft"/>
        <w:tabs>
          <w:tab w:val="right" w:pos="7936"/>
          <w:tab w:val="right" w:pos="9070"/>
        </w:tabs>
        <w:rPr>
          <w:rStyle w:val="Hyperlink"/>
          <w:rFonts w:asciiTheme="minorHAnsi" w:hAnsiTheme="minorHAnsi" w:cstheme="minorHAnsi"/>
          <w:caps/>
          <w:noProof/>
          <w:color w:val="auto"/>
          <w:szCs w:val="18"/>
          <w:highlight w:val="yellow"/>
        </w:rPr>
      </w:pPr>
      <w:r w:rsidRPr="005B2032">
        <w:rPr>
          <w:rStyle w:val="Hyperlink"/>
          <w:rFonts w:asciiTheme="minorHAnsi" w:hAnsiTheme="minorHAnsi" w:cstheme="minorHAnsi"/>
          <w:caps/>
          <w:noProof/>
          <w:color w:val="auto"/>
          <w:szCs w:val="18"/>
          <w:highlight w:val="yellow"/>
        </w:rPr>
        <w:fldChar w:fldCharType="end"/>
      </w:r>
      <w:r w:rsidR="00AE1EB5" w:rsidRPr="005B2032">
        <w:rPr>
          <w:rStyle w:val="Hyperlink"/>
          <w:rFonts w:asciiTheme="minorHAnsi" w:hAnsiTheme="minorHAnsi" w:cstheme="minorHAnsi"/>
          <w:caps/>
          <w:noProof/>
          <w:color w:val="auto"/>
          <w:szCs w:val="18"/>
          <w:highlight w:val="yellow"/>
        </w:rPr>
        <w:br w:type="page"/>
      </w:r>
    </w:p>
    <w:p w14:paraId="3FD124BE" w14:textId="77777777" w:rsidR="00D359FF" w:rsidRPr="00F6194C" w:rsidRDefault="00D359FF" w:rsidP="00E054EA">
      <w:pPr>
        <w:pStyle w:val="Heading2"/>
        <w:numPr>
          <w:ilvl w:val="0"/>
          <w:numId w:val="0"/>
        </w:numPr>
        <w:spacing w:before="0" w:after="360"/>
        <w:rPr>
          <w:rFonts w:asciiTheme="minorHAnsi" w:hAnsiTheme="minorHAnsi" w:cstheme="minorHAnsi"/>
        </w:rPr>
      </w:pPr>
      <w:bookmarkStart w:id="19" w:name="_Toc353537650"/>
      <w:bookmarkStart w:id="20" w:name="_Toc353544927"/>
      <w:bookmarkStart w:id="21" w:name="_Toc382388428"/>
      <w:bookmarkStart w:id="22" w:name="_Toc385006942"/>
      <w:bookmarkStart w:id="23" w:name="_Toc417634603"/>
      <w:bookmarkStart w:id="24" w:name="_Toc448137406"/>
      <w:bookmarkStart w:id="25" w:name="_Toc448137532"/>
      <w:bookmarkStart w:id="26" w:name="_Toc448227257"/>
      <w:bookmarkStart w:id="27" w:name="_Toc479332406"/>
      <w:bookmarkStart w:id="28" w:name="_Toc479332492"/>
      <w:bookmarkStart w:id="29" w:name="_Toc511379681"/>
      <w:bookmarkStart w:id="30" w:name="_Toc70001130"/>
      <w:bookmarkStart w:id="31" w:name="_Toc70082986"/>
      <w:bookmarkStart w:id="32" w:name="_Toc100906060"/>
      <w:r w:rsidRPr="00F6194C">
        <w:rPr>
          <w:rFonts w:asciiTheme="minorHAnsi" w:hAnsiTheme="minorHAnsi" w:cstheme="minorHAnsi"/>
        </w:rPr>
        <w:lastRenderedPageBreak/>
        <w:t>Списък на съкращенията</w:t>
      </w:r>
      <w:bookmarkEnd w:id="0"/>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57B5E8B"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БВП</w:t>
      </w:r>
      <w:r w:rsidRPr="005B2032">
        <w:rPr>
          <w:rFonts w:asciiTheme="minorHAnsi" w:hAnsiTheme="minorHAnsi" w:cstheme="minorHAnsi"/>
          <w:sz w:val="20"/>
          <w:szCs w:val="20"/>
        </w:rPr>
        <w:tab/>
        <w:t>брутен вътрешен продукт</w:t>
      </w:r>
    </w:p>
    <w:p w14:paraId="78E6EC4F"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БНБ</w:t>
      </w:r>
      <w:r w:rsidRPr="005B2032">
        <w:rPr>
          <w:rFonts w:asciiTheme="minorHAnsi" w:hAnsiTheme="minorHAnsi" w:cstheme="minorHAnsi"/>
          <w:sz w:val="20"/>
          <w:szCs w:val="20"/>
        </w:rPr>
        <w:tab/>
        <w:t xml:space="preserve">Българска народна банка </w:t>
      </w:r>
    </w:p>
    <w:p w14:paraId="4E048F87"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ГДД</w:t>
      </w:r>
      <w:r w:rsidRPr="005B2032">
        <w:rPr>
          <w:rFonts w:asciiTheme="minorHAnsi" w:hAnsiTheme="minorHAnsi" w:cstheme="minorHAnsi"/>
          <w:sz w:val="20"/>
          <w:szCs w:val="20"/>
        </w:rPr>
        <w:tab/>
        <w:t>годишна данъчна декларация</w:t>
      </w:r>
    </w:p>
    <w:p w14:paraId="20031F90"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ДДС</w:t>
      </w:r>
      <w:r w:rsidRPr="005B2032">
        <w:rPr>
          <w:rFonts w:asciiTheme="minorHAnsi" w:hAnsiTheme="minorHAnsi" w:cstheme="minorHAnsi"/>
          <w:sz w:val="20"/>
          <w:szCs w:val="20"/>
        </w:rPr>
        <w:tab/>
        <w:t>данък върху добавената стойност</w:t>
      </w:r>
    </w:p>
    <w:p w14:paraId="32DE91E8"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ДОО</w:t>
      </w:r>
      <w:r w:rsidRPr="005B2032">
        <w:rPr>
          <w:rFonts w:asciiTheme="minorHAnsi" w:hAnsiTheme="minorHAnsi" w:cstheme="minorHAnsi"/>
          <w:sz w:val="20"/>
          <w:szCs w:val="20"/>
        </w:rPr>
        <w:tab/>
        <w:t>държавно обществено осигуряване</w:t>
      </w:r>
    </w:p>
    <w:p w14:paraId="1F904CC5"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ДСЗИ</w:t>
      </w:r>
      <w:r w:rsidRPr="005B2032">
        <w:rPr>
          <w:rFonts w:asciiTheme="minorHAnsi" w:hAnsiTheme="minorHAnsi" w:cstheme="minorHAnsi"/>
          <w:sz w:val="20"/>
          <w:szCs w:val="20"/>
        </w:rPr>
        <w:tab/>
        <w:t>друга системно значима институция</w:t>
      </w:r>
    </w:p>
    <w:p w14:paraId="7DDDF316"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ДЦК</w:t>
      </w:r>
      <w:r w:rsidRPr="005B2032">
        <w:rPr>
          <w:rFonts w:asciiTheme="minorHAnsi" w:hAnsiTheme="minorHAnsi" w:cstheme="minorHAnsi"/>
          <w:sz w:val="20"/>
          <w:szCs w:val="20"/>
        </w:rPr>
        <w:tab/>
        <w:t>държавни ценни книжа</w:t>
      </w:r>
    </w:p>
    <w:p w14:paraId="46C384CF"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ЕИБ</w:t>
      </w:r>
      <w:r w:rsidRPr="005B2032">
        <w:rPr>
          <w:rFonts w:asciiTheme="minorHAnsi" w:hAnsiTheme="minorHAnsi" w:cstheme="minorHAnsi"/>
          <w:sz w:val="20"/>
          <w:szCs w:val="20"/>
        </w:rPr>
        <w:tab/>
        <w:t>Европейска инвестиционна банка</w:t>
      </w:r>
    </w:p>
    <w:p w14:paraId="55CACFBE"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EК</w:t>
      </w:r>
      <w:r w:rsidRPr="005B2032">
        <w:rPr>
          <w:rFonts w:asciiTheme="minorHAnsi" w:hAnsiTheme="minorHAnsi" w:cstheme="minorHAnsi"/>
          <w:sz w:val="20"/>
          <w:szCs w:val="20"/>
        </w:rPr>
        <w:tab/>
        <w:t>Европейска комисия</w:t>
      </w:r>
    </w:p>
    <w:p w14:paraId="60907DFE"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ЕС</w:t>
      </w:r>
      <w:r w:rsidRPr="005B2032">
        <w:rPr>
          <w:rFonts w:asciiTheme="minorHAnsi" w:hAnsiTheme="minorHAnsi" w:cstheme="minorHAnsi"/>
          <w:sz w:val="20"/>
          <w:szCs w:val="20"/>
        </w:rPr>
        <w:tab/>
        <w:t>Европейски съюз</w:t>
      </w:r>
    </w:p>
    <w:p w14:paraId="223E6E8A"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ЕСС 2010</w:t>
      </w:r>
      <w:r w:rsidRPr="005B2032">
        <w:rPr>
          <w:rFonts w:asciiTheme="minorHAnsi" w:hAnsiTheme="minorHAnsi" w:cstheme="minorHAnsi"/>
          <w:sz w:val="20"/>
          <w:szCs w:val="20"/>
        </w:rPr>
        <w:tab/>
        <w:t>Европейска система от сметки 2010</w:t>
      </w:r>
    </w:p>
    <w:p w14:paraId="502361E0"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ЕЦБ</w:t>
      </w:r>
      <w:r w:rsidRPr="005B2032">
        <w:rPr>
          <w:rFonts w:asciiTheme="minorHAnsi" w:hAnsiTheme="minorHAnsi" w:cstheme="minorHAnsi"/>
          <w:sz w:val="20"/>
          <w:szCs w:val="20"/>
        </w:rPr>
        <w:tab/>
        <w:t>Европейска централна банка</w:t>
      </w:r>
    </w:p>
    <w:p w14:paraId="786E9B9F"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ЗДБРБ</w:t>
      </w:r>
      <w:r w:rsidRPr="005B2032">
        <w:rPr>
          <w:rFonts w:asciiTheme="minorHAnsi" w:hAnsiTheme="minorHAnsi" w:cstheme="minorHAnsi"/>
          <w:sz w:val="20"/>
          <w:szCs w:val="20"/>
        </w:rPr>
        <w:tab/>
        <w:t>Закон за държавния бюджет на Република България</w:t>
      </w:r>
    </w:p>
    <w:p w14:paraId="46552D61" w14:textId="224756BF"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ЗДДФЛ</w:t>
      </w:r>
      <w:r w:rsidRPr="005B2032">
        <w:rPr>
          <w:rFonts w:asciiTheme="minorHAnsi" w:hAnsiTheme="minorHAnsi" w:cstheme="minorHAnsi"/>
          <w:sz w:val="20"/>
          <w:szCs w:val="20"/>
        </w:rPr>
        <w:tab/>
        <w:t xml:space="preserve">Закон </w:t>
      </w:r>
      <w:r w:rsidR="008438DF">
        <w:rPr>
          <w:rFonts w:asciiTheme="minorHAnsi" w:hAnsiTheme="minorHAnsi" w:cstheme="minorHAnsi"/>
          <w:sz w:val="20"/>
          <w:szCs w:val="20"/>
        </w:rPr>
        <w:t>з</w:t>
      </w:r>
      <w:r w:rsidRPr="005B2032">
        <w:rPr>
          <w:rFonts w:asciiTheme="minorHAnsi" w:hAnsiTheme="minorHAnsi" w:cstheme="minorHAnsi"/>
          <w:sz w:val="20"/>
          <w:szCs w:val="20"/>
        </w:rPr>
        <w:t>а данъците върху доходите на физическите лица</w:t>
      </w:r>
    </w:p>
    <w:p w14:paraId="4CBABD93"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ЗКПО</w:t>
      </w:r>
      <w:r w:rsidRPr="005B2032">
        <w:rPr>
          <w:rFonts w:asciiTheme="minorHAnsi" w:hAnsiTheme="minorHAnsi" w:cstheme="minorHAnsi"/>
          <w:sz w:val="20"/>
          <w:szCs w:val="20"/>
        </w:rPr>
        <w:tab/>
        <w:t>Закон за корпоративното подоходно облагане</w:t>
      </w:r>
    </w:p>
    <w:p w14:paraId="33079A5A"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ЗПФ</w:t>
      </w:r>
      <w:r w:rsidRPr="005B2032">
        <w:rPr>
          <w:rFonts w:asciiTheme="minorHAnsi" w:hAnsiTheme="minorHAnsi" w:cstheme="minorHAnsi"/>
          <w:sz w:val="20"/>
          <w:szCs w:val="20"/>
        </w:rPr>
        <w:tab/>
        <w:t>Закон за публичните финанси</w:t>
      </w:r>
    </w:p>
    <w:p w14:paraId="45B94264"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КП</w:t>
      </w:r>
      <w:r w:rsidRPr="005B2032">
        <w:rPr>
          <w:rFonts w:asciiTheme="minorHAnsi" w:hAnsiTheme="minorHAnsi" w:cstheme="minorHAnsi"/>
          <w:sz w:val="20"/>
          <w:szCs w:val="20"/>
        </w:rPr>
        <w:tab/>
        <w:t xml:space="preserve">Конвергентна програма </w:t>
      </w:r>
    </w:p>
    <w:p w14:paraId="6F34CC0B"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КСО</w:t>
      </w:r>
      <w:r w:rsidRPr="005B2032">
        <w:rPr>
          <w:rFonts w:asciiTheme="minorHAnsi" w:hAnsiTheme="minorHAnsi" w:cstheme="minorHAnsi"/>
          <w:sz w:val="20"/>
          <w:szCs w:val="20"/>
        </w:rPr>
        <w:tab/>
        <w:t>Кодекс за социално осигуряване</w:t>
      </w:r>
    </w:p>
    <w:p w14:paraId="5784BA68" w14:textId="77777777" w:rsidR="00CE1185" w:rsidRPr="005B2032" w:rsidRDefault="00CE1185" w:rsidP="00CE1185">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МВУ             Механизъм за възстановяване и устойчивост</w:t>
      </w:r>
    </w:p>
    <w:p w14:paraId="19EFFDBA"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МВФ</w:t>
      </w:r>
      <w:r w:rsidRPr="005B2032">
        <w:rPr>
          <w:rFonts w:asciiTheme="minorHAnsi" w:hAnsiTheme="minorHAnsi" w:cstheme="minorHAnsi"/>
          <w:sz w:val="20"/>
          <w:szCs w:val="20"/>
        </w:rPr>
        <w:tab/>
        <w:t>Международен валутен фонд</w:t>
      </w:r>
    </w:p>
    <w:p w14:paraId="26E58929"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МФ</w:t>
      </w:r>
      <w:r w:rsidRPr="005B2032">
        <w:rPr>
          <w:rFonts w:asciiTheme="minorHAnsi" w:hAnsiTheme="minorHAnsi" w:cstheme="minorHAnsi"/>
          <w:sz w:val="20"/>
          <w:szCs w:val="20"/>
        </w:rPr>
        <w:tab/>
        <w:t>Министерство на финансите</w:t>
      </w:r>
    </w:p>
    <w:p w14:paraId="4ECBB366"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НАП</w:t>
      </w:r>
      <w:r w:rsidRPr="005B2032">
        <w:rPr>
          <w:rFonts w:asciiTheme="minorHAnsi" w:hAnsiTheme="minorHAnsi" w:cstheme="minorHAnsi"/>
          <w:sz w:val="20"/>
          <w:szCs w:val="20"/>
        </w:rPr>
        <w:tab/>
        <w:t>Национална агенция за приходите</w:t>
      </w:r>
    </w:p>
    <w:p w14:paraId="77AE3129"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НЗОК</w:t>
      </w:r>
      <w:r w:rsidRPr="005B2032">
        <w:rPr>
          <w:rFonts w:asciiTheme="minorHAnsi" w:hAnsiTheme="minorHAnsi" w:cstheme="minorHAnsi"/>
          <w:sz w:val="20"/>
          <w:szCs w:val="20"/>
        </w:rPr>
        <w:tab/>
        <w:t>Национална здравноосигурителна каса</w:t>
      </w:r>
    </w:p>
    <w:p w14:paraId="70A0DB51"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НИРД</w:t>
      </w:r>
      <w:r w:rsidRPr="005B2032">
        <w:rPr>
          <w:rFonts w:asciiTheme="minorHAnsi" w:hAnsiTheme="minorHAnsi" w:cstheme="minorHAnsi"/>
          <w:sz w:val="20"/>
          <w:szCs w:val="20"/>
        </w:rPr>
        <w:tab/>
        <w:t>научно-изследователска и развойна дейност</w:t>
      </w:r>
    </w:p>
    <w:p w14:paraId="660AA224"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НКЖИ</w:t>
      </w:r>
      <w:r w:rsidRPr="005B2032">
        <w:rPr>
          <w:rFonts w:asciiTheme="minorHAnsi" w:hAnsiTheme="minorHAnsi" w:cstheme="minorHAnsi"/>
          <w:sz w:val="20"/>
          <w:szCs w:val="20"/>
        </w:rPr>
        <w:tab/>
        <w:t>Национална компания „Железопътна инфраструктура“</w:t>
      </w:r>
    </w:p>
    <w:p w14:paraId="40FB38B0"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НОИ</w:t>
      </w:r>
      <w:r w:rsidRPr="005B2032">
        <w:rPr>
          <w:rFonts w:asciiTheme="minorHAnsi" w:hAnsiTheme="minorHAnsi" w:cstheme="minorHAnsi"/>
          <w:sz w:val="20"/>
          <w:szCs w:val="20"/>
        </w:rPr>
        <w:tab/>
        <w:t>Национален осигурителен институт</w:t>
      </w:r>
    </w:p>
    <w:p w14:paraId="00BA8A37"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НРС</w:t>
      </w:r>
      <w:r w:rsidRPr="005B2032">
        <w:rPr>
          <w:rFonts w:asciiTheme="minorHAnsi" w:hAnsiTheme="minorHAnsi" w:cstheme="minorHAnsi"/>
          <w:sz w:val="20"/>
          <w:szCs w:val="20"/>
        </w:rPr>
        <w:tab/>
        <w:t>Наблюдение на работната сила</w:t>
      </w:r>
    </w:p>
    <w:p w14:paraId="0F54FE08"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НСИ</w:t>
      </w:r>
      <w:r w:rsidRPr="005B2032">
        <w:rPr>
          <w:rFonts w:asciiTheme="minorHAnsi" w:hAnsiTheme="minorHAnsi" w:cstheme="minorHAnsi"/>
          <w:sz w:val="20"/>
          <w:szCs w:val="20"/>
        </w:rPr>
        <w:tab/>
        <w:t>Национален статистически институт</w:t>
      </w:r>
    </w:p>
    <w:p w14:paraId="4AA2262A" w14:textId="77777777" w:rsidR="008A2E23" w:rsidRPr="005B2032" w:rsidRDefault="008A2E23"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пр.п.</w:t>
      </w:r>
      <w:r w:rsidRPr="005B2032">
        <w:rPr>
          <w:rFonts w:asciiTheme="minorHAnsi" w:hAnsiTheme="minorHAnsi" w:cstheme="minorHAnsi"/>
          <w:sz w:val="20"/>
          <w:szCs w:val="20"/>
        </w:rPr>
        <w:tab/>
        <w:t>процентен пункт</w:t>
      </w:r>
    </w:p>
    <w:p w14:paraId="499EF382" w14:textId="77777777" w:rsidR="008A2E23" w:rsidRPr="005B2032" w:rsidRDefault="008A2E23"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ПСР</w:t>
      </w:r>
      <w:r w:rsidRPr="005B2032">
        <w:rPr>
          <w:rFonts w:asciiTheme="minorHAnsi" w:hAnsiTheme="minorHAnsi" w:cstheme="minorHAnsi"/>
          <w:sz w:val="20"/>
          <w:szCs w:val="20"/>
        </w:rPr>
        <w:tab/>
        <w:t>Пакт за стабилност и растеж</w:t>
      </w:r>
    </w:p>
    <w:p w14:paraId="71F0A714"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ПЧИ</w:t>
      </w:r>
      <w:r w:rsidRPr="005B2032">
        <w:rPr>
          <w:rFonts w:asciiTheme="minorHAnsi" w:hAnsiTheme="minorHAnsi" w:cstheme="minorHAnsi"/>
          <w:sz w:val="20"/>
          <w:szCs w:val="20"/>
        </w:rPr>
        <w:tab/>
        <w:t>Преки чуждестранни инвестиции</w:t>
      </w:r>
    </w:p>
    <w:p w14:paraId="384696D6"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РЕВК</w:t>
      </w:r>
      <w:r w:rsidRPr="005B2032">
        <w:rPr>
          <w:rFonts w:asciiTheme="minorHAnsi" w:hAnsiTheme="minorHAnsi" w:cstheme="minorHAnsi"/>
          <w:sz w:val="20"/>
          <w:szCs w:val="20"/>
        </w:rPr>
        <w:tab/>
        <w:t>Реален ефективен валутен курс</w:t>
      </w:r>
    </w:p>
    <w:p w14:paraId="0715713A" w14:textId="522D6E64" w:rsidR="005A37D8"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РТЕП</w:t>
      </w:r>
      <w:r w:rsidRPr="005B2032">
        <w:rPr>
          <w:rFonts w:asciiTheme="minorHAnsi" w:hAnsiTheme="minorHAnsi" w:cstheme="minorHAnsi"/>
          <w:sz w:val="20"/>
          <w:szCs w:val="20"/>
        </w:rPr>
        <w:tab/>
        <w:t>Разходи за труд на единица продукция</w:t>
      </w:r>
    </w:p>
    <w:p w14:paraId="33F0D0E4" w14:textId="2E63E824" w:rsidR="007918DA" w:rsidRPr="005B2032" w:rsidRDefault="007918DA" w:rsidP="00D902CC">
      <w:pPr>
        <w:tabs>
          <w:tab w:val="left" w:pos="1134"/>
        </w:tabs>
        <w:spacing w:after="0"/>
        <w:ind w:left="1134" w:hanging="1134"/>
        <w:rPr>
          <w:rFonts w:asciiTheme="minorHAnsi" w:hAnsiTheme="minorHAnsi" w:cstheme="minorHAnsi"/>
          <w:sz w:val="20"/>
          <w:szCs w:val="20"/>
        </w:rPr>
      </w:pPr>
      <w:r>
        <w:rPr>
          <w:rFonts w:asciiTheme="minorHAnsi" w:hAnsiTheme="minorHAnsi" w:cstheme="minorHAnsi"/>
          <w:sz w:val="20"/>
          <w:szCs w:val="20"/>
        </w:rPr>
        <w:t xml:space="preserve">СПТ </w:t>
      </w:r>
      <w:r>
        <w:rPr>
          <w:rFonts w:asciiTheme="minorHAnsi" w:hAnsiTheme="minorHAnsi" w:cstheme="minorHAnsi"/>
          <w:sz w:val="20"/>
          <w:szCs w:val="20"/>
        </w:rPr>
        <w:tab/>
        <w:t>Специални права на тираж</w:t>
      </w:r>
    </w:p>
    <w:p w14:paraId="53D0A4B5"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СТО</w:t>
      </w:r>
      <w:r w:rsidRPr="005B2032">
        <w:rPr>
          <w:rFonts w:asciiTheme="minorHAnsi" w:hAnsiTheme="minorHAnsi" w:cstheme="minorHAnsi"/>
          <w:sz w:val="20"/>
          <w:szCs w:val="20"/>
        </w:rPr>
        <w:tab/>
        <w:t>Световна търговска организация</w:t>
      </w:r>
    </w:p>
    <w:p w14:paraId="064BA832" w14:textId="77777777" w:rsidR="008A2E23" w:rsidRPr="005B2032" w:rsidRDefault="008A2E23"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ХИПЦ</w:t>
      </w:r>
      <w:r w:rsidRPr="005B2032">
        <w:rPr>
          <w:rFonts w:asciiTheme="minorHAnsi" w:hAnsiTheme="minorHAnsi" w:cstheme="minorHAnsi"/>
          <w:sz w:val="20"/>
          <w:szCs w:val="20"/>
        </w:rPr>
        <w:tab/>
        <w:t>хармонизиран индекс на потребителските цени</w:t>
      </w:r>
    </w:p>
    <w:p w14:paraId="1F8043FB"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EUR</w:t>
      </w:r>
      <w:r w:rsidRPr="005B2032">
        <w:rPr>
          <w:rFonts w:asciiTheme="minorHAnsi" w:hAnsiTheme="minorHAnsi" w:cstheme="minorHAnsi"/>
          <w:sz w:val="20"/>
          <w:szCs w:val="20"/>
        </w:rPr>
        <w:tab/>
        <w:t>евро</w:t>
      </w:r>
    </w:p>
    <w:p w14:paraId="16BCC868" w14:textId="77777777" w:rsidR="005A37D8"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LIBOR</w:t>
      </w:r>
      <w:r w:rsidRPr="005B2032">
        <w:rPr>
          <w:rFonts w:asciiTheme="minorHAnsi" w:hAnsiTheme="minorHAnsi" w:cstheme="minorHAnsi"/>
          <w:sz w:val="20"/>
          <w:szCs w:val="20"/>
        </w:rPr>
        <w:tab/>
        <w:t>London Interbank Offered Rate (Лондонски междубанков лихвен процент)</w:t>
      </w:r>
    </w:p>
    <w:p w14:paraId="6360F78D" w14:textId="77777777" w:rsidR="001745DE" w:rsidRPr="005B2032" w:rsidRDefault="005A37D8" w:rsidP="00D902CC">
      <w:pPr>
        <w:tabs>
          <w:tab w:val="left" w:pos="1134"/>
        </w:tabs>
        <w:spacing w:after="0"/>
        <w:ind w:left="1134" w:hanging="1134"/>
        <w:rPr>
          <w:rFonts w:asciiTheme="minorHAnsi" w:hAnsiTheme="minorHAnsi" w:cstheme="minorHAnsi"/>
          <w:sz w:val="20"/>
          <w:szCs w:val="20"/>
        </w:rPr>
      </w:pPr>
      <w:r w:rsidRPr="005B2032">
        <w:rPr>
          <w:rFonts w:asciiTheme="minorHAnsi" w:hAnsiTheme="minorHAnsi" w:cstheme="minorHAnsi"/>
          <w:sz w:val="20"/>
          <w:szCs w:val="20"/>
        </w:rPr>
        <w:t>USD</w:t>
      </w:r>
      <w:r w:rsidRPr="005B2032">
        <w:rPr>
          <w:rFonts w:asciiTheme="minorHAnsi" w:hAnsiTheme="minorHAnsi" w:cstheme="minorHAnsi"/>
          <w:sz w:val="20"/>
          <w:szCs w:val="20"/>
        </w:rPr>
        <w:tab/>
        <w:t>щатски долар</w:t>
      </w:r>
    </w:p>
    <w:p w14:paraId="1A05B7CA" w14:textId="77777777" w:rsidR="001745DE" w:rsidRPr="005B2032" w:rsidRDefault="001745DE" w:rsidP="00D902CC">
      <w:pPr>
        <w:tabs>
          <w:tab w:val="left" w:pos="1134"/>
        </w:tabs>
        <w:spacing w:after="0"/>
        <w:ind w:left="1134" w:hanging="1134"/>
        <w:rPr>
          <w:rFonts w:asciiTheme="minorHAnsi" w:hAnsiTheme="minorHAnsi" w:cstheme="minorHAnsi"/>
          <w:sz w:val="20"/>
          <w:szCs w:val="20"/>
        </w:rPr>
        <w:sectPr w:rsidR="001745DE" w:rsidRPr="005B2032" w:rsidSect="00202EFA">
          <w:headerReference w:type="even" r:id="rId37"/>
          <w:headerReference w:type="default" r:id="rId38"/>
          <w:footerReference w:type="even" r:id="rId39"/>
          <w:footerReference w:type="default" r:id="rId40"/>
          <w:type w:val="continuous"/>
          <w:pgSz w:w="11906" w:h="16838" w:code="9"/>
          <w:pgMar w:top="1418" w:right="1418" w:bottom="851" w:left="1418" w:header="680" w:footer="680" w:gutter="0"/>
          <w:pgNumType w:start="5"/>
          <w:cols w:space="708"/>
          <w:docGrid w:linePitch="360"/>
        </w:sectPr>
      </w:pPr>
    </w:p>
    <w:p w14:paraId="68687282" w14:textId="77777777" w:rsidR="00D359FF" w:rsidRPr="004018C2" w:rsidRDefault="00D359FF" w:rsidP="004018C2">
      <w:pPr>
        <w:pStyle w:val="Heading1"/>
      </w:pPr>
      <w:bookmarkStart w:id="33" w:name="_Toc352851579"/>
      <w:bookmarkStart w:id="34" w:name="_Toc448227258"/>
      <w:bookmarkStart w:id="35" w:name="_Toc479332407"/>
      <w:bookmarkStart w:id="36" w:name="_Toc100906061"/>
      <w:r w:rsidRPr="004018C2">
        <w:lastRenderedPageBreak/>
        <w:t xml:space="preserve">Обща рамка на </w:t>
      </w:r>
      <w:r w:rsidR="00C04BEB" w:rsidRPr="004018C2">
        <w:br/>
      </w:r>
      <w:r w:rsidRPr="004018C2">
        <w:t>политиките и цели</w:t>
      </w:r>
      <w:bookmarkEnd w:id="33"/>
      <w:bookmarkEnd w:id="34"/>
      <w:bookmarkEnd w:id="35"/>
      <w:bookmarkEnd w:id="36"/>
    </w:p>
    <w:bookmarkEnd w:id="1"/>
    <w:bookmarkEnd w:id="2"/>
    <w:p w14:paraId="09FDD2ED" w14:textId="77777777" w:rsidR="00555B95" w:rsidRPr="00CB0CA8" w:rsidRDefault="00555B95" w:rsidP="00555B95">
      <w:pPr>
        <w:keepNext/>
        <w:framePr w:dropCap="drop" w:lines="3" w:hSpace="170" w:wrap="around" w:vAnchor="text" w:hAnchor="text"/>
        <w:spacing w:after="0" w:line="827" w:lineRule="exact"/>
        <w:textAlignment w:val="baseline"/>
        <w:rPr>
          <w:rFonts w:asciiTheme="minorHAnsi" w:hAnsiTheme="minorHAnsi" w:cstheme="minorHAnsi"/>
          <w:position w:val="-11"/>
          <w:sz w:val="110"/>
        </w:rPr>
      </w:pPr>
      <w:r w:rsidRPr="0073650C">
        <w:rPr>
          <w:rFonts w:asciiTheme="minorHAnsi" w:hAnsiTheme="minorHAnsi" w:cstheme="minorHAnsi"/>
          <w:color w:val="6768AB"/>
          <w:position w:val="-11"/>
          <w:sz w:val="110"/>
        </w:rPr>
        <w:t>К</w:t>
      </w:r>
    </w:p>
    <w:p w14:paraId="69917E93" w14:textId="6F540AEE" w:rsidR="00681F70" w:rsidRPr="00CB0CA8" w:rsidRDefault="00D41B6D" w:rsidP="00C04BEB">
      <w:pPr>
        <w:rPr>
          <w:rFonts w:asciiTheme="minorHAnsi" w:hAnsiTheme="minorHAnsi" w:cstheme="minorHAnsi"/>
          <w:lang w:val="en-US"/>
        </w:rPr>
      </w:pPr>
      <w:r w:rsidRPr="00CB0CA8">
        <w:rPr>
          <w:rFonts w:asciiTheme="minorHAnsi" w:hAnsiTheme="minorHAnsi" w:cstheme="minorHAnsi"/>
        </w:rPr>
        <w:t xml:space="preserve">онвергентната програма </w:t>
      </w:r>
      <w:r w:rsidR="00CE1185" w:rsidRPr="00CB0CA8">
        <w:rPr>
          <w:rFonts w:asciiTheme="minorHAnsi" w:hAnsiTheme="minorHAnsi" w:cstheme="minorHAnsi"/>
        </w:rPr>
        <w:t>(КП)</w:t>
      </w:r>
      <w:r w:rsidR="00CE1185" w:rsidRPr="00CB0CA8">
        <w:rPr>
          <w:rFonts w:asciiTheme="minorHAnsi" w:hAnsiTheme="minorHAnsi" w:cstheme="minorHAnsi"/>
          <w:lang w:val="en-US"/>
        </w:rPr>
        <w:t xml:space="preserve"> </w:t>
      </w:r>
      <w:r w:rsidRPr="00CB0CA8">
        <w:rPr>
          <w:rFonts w:asciiTheme="minorHAnsi" w:hAnsiTheme="minorHAnsi" w:cstheme="minorHAnsi"/>
        </w:rPr>
        <w:t xml:space="preserve">на </w:t>
      </w:r>
      <w:r w:rsidR="00482D00" w:rsidRPr="00CB0CA8">
        <w:rPr>
          <w:rFonts w:asciiTheme="minorHAnsi" w:hAnsiTheme="minorHAnsi" w:cstheme="minorHAnsi"/>
        </w:rPr>
        <w:t xml:space="preserve">Република </w:t>
      </w:r>
      <w:r w:rsidR="00D020F6" w:rsidRPr="00CB0CA8">
        <w:rPr>
          <w:rFonts w:asciiTheme="minorHAnsi" w:hAnsiTheme="minorHAnsi" w:cstheme="minorHAnsi"/>
        </w:rPr>
        <w:t>България</w:t>
      </w:r>
      <w:r w:rsidR="006E5061" w:rsidRPr="00CB0CA8">
        <w:rPr>
          <w:rFonts w:asciiTheme="minorHAnsi" w:hAnsiTheme="minorHAnsi" w:cstheme="minorHAnsi"/>
        </w:rPr>
        <w:t xml:space="preserve"> </w:t>
      </w:r>
      <w:r w:rsidR="008E3D70" w:rsidRPr="00CB0CA8">
        <w:rPr>
          <w:rFonts w:asciiTheme="minorHAnsi" w:hAnsiTheme="minorHAnsi" w:cstheme="minorHAnsi"/>
        </w:rPr>
        <w:t>(</w:t>
      </w:r>
      <w:r w:rsidR="00021378" w:rsidRPr="00CB0CA8">
        <w:rPr>
          <w:rFonts w:asciiTheme="minorHAnsi" w:hAnsiTheme="minorHAnsi" w:cstheme="minorHAnsi"/>
        </w:rPr>
        <w:t>20</w:t>
      </w:r>
      <w:r w:rsidR="00AB2263" w:rsidRPr="00CB0CA8">
        <w:rPr>
          <w:rFonts w:asciiTheme="minorHAnsi" w:hAnsiTheme="minorHAnsi" w:cstheme="minorHAnsi"/>
          <w:lang w:val="en-US"/>
        </w:rPr>
        <w:t>2</w:t>
      </w:r>
      <w:r w:rsidR="00F85DC2" w:rsidRPr="00CB0CA8">
        <w:rPr>
          <w:rFonts w:asciiTheme="minorHAnsi" w:hAnsiTheme="minorHAnsi" w:cstheme="minorHAnsi"/>
        </w:rPr>
        <w:t>2</w:t>
      </w:r>
      <w:r w:rsidR="00C04BEB" w:rsidRPr="00CB0CA8">
        <w:rPr>
          <w:rFonts w:asciiTheme="minorHAnsi" w:hAnsiTheme="minorHAnsi" w:cstheme="minorHAnsi"/>
          <w:lang w:val="en-US"/>
        </w:rPr>
        <w:t>–</w:t>
      </w:r>
      <w:r w:rsidR="008F0A6C" w:rsidRPr="00CB0CA8">
        <w:rPr>
          <w:rFonts w:asciiTheme="minorHAnsi" w:hAnsiTheme="minorHAnsi" w:cstheme="minorHAnsi"/>
          <w:lang w:val="en-US"/>
        </w:rPr>
        <w:t>2</w:t>
      </w:r>
      <w:r w:rsidR="008F0A6C" w:rsidRPr="00CB0CA8">
        <w:rPr>
          <w:rFonts w:asciiTheme="minorHAnsi" w:hAnsiTheme="minorHAnsi" w:cstheme="minorHAnsi"/>
        </w:rPr>
        <w:t>02</w:t>
      </w:r>
      <w:r w:rsidR="00F85DC2" w:rsidRPr="00CB0CA8">
        <w:rPr>
          <w:rFonts w:asciiTheme="minorHAnsi" w:hAnsiTheme="minorHAnsi" w:cstheme="minorHAnsi"/>
        </w:rPr>
        <w:t>5</w:t>
      </w:r>
      <w:r w:rsidR="00DF07FD">
        <w:rPr>
          <w:rFonts w:asciiTheme="minorHAnsi" w:hAnsiTheme="minorHAnsi" w:cstheme="minorHAnsi"/>
        </w:rPr>
        <w:t> г.</w:t>
      </w:r>
      <w:r w:rsidR="008E3D70" w:rsidRPr="00CB0CA8">
        <w:rPr>
          <w:rFonts w:asciiTheme="minorHAnsi" w:hAnsiTheme="minorHAnsi" w:cstheme="minorHAnsi"/>
        </w:rPr>
        <w:t>)</w:t>
      </w:r>
      <w:r w:rsidR="0000329A" w:rsidRPr="00CB0CA8">
        <w:rPr>
          <w:rFonts w:asciiTheme="minorHAnsi" w:hAnsiTheme="minorHAnsi" w:cstheme="minorHAnsi"/>
        </w:rPr>
        <w:t xml:space="preserve"> </w:t>
      </w:r>
      <w:r w:rsidR="007148BD" w:rsidRPr="00CB0CA8">
        <w:rPr>
          <w:rFonts w:asciiTheme="minorHAnsi" w:hAnsiTheme="minorHAnsi" w:cstheme="minorHAnsi"/>
        </w:rPr>
        <w:t>очертава основните политики</w:t>
      </w:r>
      <w:r w:rsidR="00681F70" w:rsidRPr="00CB0CA8">
        <w:rPr>
          <w:rFonts w:asciiTheme="minorHAnsi" w:hAnsiTheme="minorHAnsi" w:cstheme="minorHAnsi"/>
        </w:rPr>
        <w:t>,</w:t>
      </w:r>
      <w:r w:rsidR="007148BD" w:rsidRPr="00CB0CA8">
        <w:rPr>
          <w:rFonts w:asciiTheme="minorHAnsi" w:hAnsiTheme="minorHAnsi" w:cstheme="minorHAnsi"/>
        </w:rPr>
        <w:t xml:space="preserve"> </w:t>
      </w:r>
      <w:r w:rsidR="00681F70" w:rsidRPr="00CB0CA8">
        <w:rPr>
          <w:rFonts w:asciiTheme="minorHAnsi" w:hAnsiTheme="minorHAnsi" w:cstheme="minorHAnsi"/>
          <w:lang w:eastAsia="zh-CN"/>
        </w:rPr>
        <w:t xml:space="preserve">насочени към осигуряване на подкрепа на бизнеса и гражданите за преодоляване на последствията от пандемията от </w:t>
      </w:r>
      <w:r w:rsidR="00681F70" w:rsidRPr="00CB0CA8">
        <w:rPr>
          <w:rFonts w:asciiTheme="minorHAnsi" w:hAnsiTheme="minorHAnsi" w:cstheme="minorHAnsi"/>
          <w:lang w:val="en-US" w:eastAsia="zh-CN"/>
        </w:rPr>
        <w:t>COVID-19</w:t>
      </w:r>
      <w:r w:rsidR="00CB0CA8">
        <w:rPr>
          <w:rFonts w:asciiTheme="minorHAnsi" w:hAnsiTheme="minorHAnsi" w:cstheme="minorHAnsi"/>
          <w:lang w:eastAsia="zh-CN"/>
        </w:rPr>
        <w:t xml:space="preserve"> и войната в Украйна</w:t>
      </w:r>
      <w:r w:rsidR="00763A26" w:rsidRPr="00CB0CA8">
        <w:rPr>
          <w:rFonts w:asciiTheme="minorHAnsi" w:hAnsiTheme="minorHAnsi" w:cstheme="minorHAnsi"/>
          <w:lang w:eastAsia="zh-CN"/>
        </w:rPr>
        <w:t>, стимулиране на икономическата активност в страната</w:t>
      </w:r>
      <w:r w:rsidR="00681F70" w:rsidRPr="00CB0CA8">
        <w:rPr>
          <w:rFonts w:asciiTheme="minorHAnsi" w:hAnsiTheme="minorHAnsi" w:cstheme="minorHAnsi"/>
          <w:lang w:eastAsia="zh-CN"/>
        </w:rPr>
        <w:t xml:space="preserve"> и в същото време запазване на </w:t>
      </w:r>
      <w:r w:rsidR="00681F70" w:rsidRPr="00CB0CA8">
        <w:rPr>
          <w:rFonts w:asciiTheme="minorHAnsi" w:hAnsiTheme="minorHAnsi" w:cstheme="minorHAnsi"/>
        </w:rPr>
        <w:t>макроикономическата и</w:t>
      </w:r>
      <w:r w:rsidR="00681F70" w:rsidRPr="00CB0CA8">
        <w:rPr>
          <w:rFonts w:asciiTheme="minorHAnsi" w:hAnsiTheme="minorHAnsi" w:cstheme="minorHAnsi"/>
          <w:lang w:eastAsia="zh-CN"/>
        </w:rPr>
        <w:t xml:space="preserve"> фискалната устойчивост в средносрочен план </w:t>
      </w:r>
      <w:r w:rsidR="007148BD" w:rsidRPr="00CB0CA8">
        <w:rPr>
          <w:rFonts w:asciiTheme="minorHAnsi" w:hAnsiTheme="minorHAnsi" w:cstheme="minorHAnsi"/>
        </w:rPr>
        <w:t>с цел създаване на условия за икономически растеж.</w:t>
      </w:r>
      <w:r w:rsidR="00871030" w:rsidRPr="00CB0CA8">
        <w:rPr>
          <w:rFonts w:asciiTheme="minorHAnsi" w:hAnsiTheme="minorHAnsi" w:cstheme="minorHAnsi"/>
          <w:lang w:val="en-US"/>
        </w:rPr>
        <w:t xml:space="preserve"> </w:t>
      </w:r>
    </w:p>
    <w:p w14:paraId="0DB1BB40" w14:textId="336CB140" w:rsidR="00681F70" w:rsidRPr="00CB0CA8" w:rsidRDefault="00871030" w:rsidP="004018C2">
      <w:r w:rsidRPr="00CB0CA8">
        <w:t xml:space="preserve">Програмата се изготвя ежегодно през април, въз основа на правилата на Пакта за стабилност и растеж (ПСР) – нормативната рамка за координация на националните фискални политики на държавите-членки на </w:t>
      </w:r>
      <w:r w:rsidR="00CE1185" w:rsidRPr="00CB0CA8">
        <w:t>Европейския съюз (</w:t>
      </w:r>
      <w:r w:rsidRPr="00CB0CA8">
        <w:t>ЕС</w:t>
      </w:r>
      <w:r w:rsidR="00CE1185" w:rsidRPr="00CB0CA8">
        <w:t>)</w:t>
      </w:r>
      <w:r w:rsidRPr="00CB0CA8">
        <w:t>.</w:t>
      </w:r>
      <w:r w:rsidR="00681F70" w:rsidRPr="00CB0CA8">
        <w:t xml:space="preserve"> </w:t>
      </w:r>
      <w:r w:rsidR="00681F70" w:rsidRPr="00CB0CA8">
        <w:rPr>
          <w:szCs w:val="24"/>
        </w:rPr>
        <w:t>Конвергент</w:t>
      </w:r>
      <w:r w:rsidR="00666B0C" w:rsidRPr="00CB0CA8">
        <w:rPr>
          <w:szCs w:val="24"/>
        </w:rPr>
        <w:t>н</w:t>
      </w:r>
      <w:r w:rsidR="00681F70" w:rsidRPr="00CB0CA8">
        <w:rPr>
          <w:szCs w:val="24"/>
        </w:rPr>
        <w:t>а</w:t>
      </w:r>
      <w:r w:rsidR="0055146D" w:rsidRPr="00CB0CA8">
        <w:rPr>
          <w:szCs w:val="24"/>
        </w:rPr>
        <w:t>та</w:t>
      </w:r>
      <w:r w:rsidR="00681F70" w:rsidRPr="00CB0CA8">
        <w:rPr>
          <w:szCs w:val="24"/>
        </w:rPr>
        <w:t xml:space="preserve"> програма е изготвена съгласно </w:t>
      </w:r>
      <w:r w:rsidR="00681F70" w:rsidRPr="00CB0CA8">
        <w:t>Правилник</w:t>
      </w:r>
      <w:r w:rsidR="00F458CE" w:rsidRPr="00CB0CA8">
        <w:t>а</w:t>
      </w:r>
      <w:r w:rsidR="00681F70" w:rsidRPr="00CB0CA8">
        <w:t xml:space="preserve"> за прилагане (“Code of Conduct”)</w:t>
      </w:r>
      <w:r w:rsidR="00681F70" w:rsidRPr="00CB0CA8">
        <w:rPr>
          <w:vertAlign w:val="superscript"/>
        </w:rPr>
        <w:footnoteReference w:id="2"/>
      </w:r>
      <w:r w:rsidR="00681F70" w:rsidRPr="00CB0CA8">
        <w:t>, съдържащ указания за прилагането на ПСР и насоки за формата и съдържанието на Програмите за стабилност и Конвергентните програми.</w:t>
      </w:r>
    </w:p>
    <w:p w14:paraId="0544B649" w14:textId="3D49AA27" w:rsidR="00F85DC2" w:rsidRPr="00CB0CA8" w:rsidRDefault="0055146D" w:rsidP="0055146D">
      <w:pPr>
        <w:rPr>
          <w:rFonts w:asciiTheme="minorHAnsi" w:hAnsiTheme="minorHAnsi" w:cstheme="minorHAnsi"/>
          <w:lang w:bidi="bg-BG"/>
        </w:rPr>
      </w:pPr>
      <w:r w:rsidRPr="00CB0CA8">
        <w:t>Фискалната политика в средносрочен план е насочена към запазване на устойчивостта на бюджетната рамка в контекста на ангажиментите на България, както по линия на Пакта за стабилност и растеж (ПСР), така и във връзка със статута ѝ на страна по дял III на Договора за стабилност, координация и управление в Икономическия и паричен съюз.</w:t>
      </w:r>
    </w:p>
    <w:p w14:paraId="40427C2D" w14:textId="77777777" w:rsidR="000A6642" w:rsidRPr="00CB0CA8" w:rsidRDefault="000A6642" w:rsidP="000A6642">
      <w:pPr>
        <w:pStyle w:val="BodyText"/>
      </w:pPr>
      <w:r w:rsidRPr="00CB0CA8">
        <w:t xml:space="preserve">Средносрочната и дългосрочната устойчивост на публичните финанси остават приоритетни аспекти на политиката, включително от гледна точка на повишаване на доверието и създаване на предвидима инвестиционна и стопанска среда. </w:t>
      </w:r>
      <w:r>
        <w:t>С</w:t>
      </w:r>
      <w:r w:rsidRPr="00CB0CA8">
        <w:t xml:space="preserve">редносрочната бюджетна цел за структурен баланс на годишна основа в размер на -1% от </w:t>
      </w:r>
      <w:r>
        <w:t>брутния вътрешен продукт</w:t>
      </w:r>
      <w:r w:rsidRPr="00CB0CA8" w:rsidDel="0004535E">
        <w:t xml:space="preserve"> </w:t>
      </w:r>
      <w:r>
        <w:t>(</w:t>
      </w:r>
      <w:r w:rsidRPr="00CB0CA8">
        <w:t>БВП</w:t>
      </w:r>
      <w:r>
        <w:t>)</w:t>
      </w:r>
      <w:r w:rsidRPr="00CB0CA8">
        <w:t>.</w:t>
      </w:r>
    </w:p>
    <w:p w14:paraId="6E71196C" w14:textId="2D883382" w:rsidR="00227D7B" w:rsidRPr="00CB0CA8" w:rsidRDefault="00227D7B" w:rsidP="00227D7B">
      <w:pPr>
        <w:rPr>
          <w:rFonts w:asciiTheme="minorHAnsi" w:hAnsiTheme="minorHAnsi" w:cstheme="minorHAnsi"/>
        </w:rPr>
      </w:pPr>
      <w:r w:rsidRPr="00CB0CA8">
        <w:rPr>
          <w:rFonts w:asciiTheme="minorHAnsi" w:hAnsiTheme="minorHAnsi" w:cstheme="minorHAnsi"/>
        </w:rPr>
        <w:t>На базата на предвиденото дългово финансиране и прогнозите за БВП, през следващите години се предвижда дългът на сектор „Държавно управление“ да нараства както в номинално изражение, така и като съотношение на консолидирания дълг на сектора спрямо БВП</w:t>
      </w:r>
      <w:r w:rsidR="00812996" w:rsidRPr="00CB0CA8">
        <w:rPr>
          <w:rFonts w:asciiTheme="minorHAnsi" w:hAnsiTheme="minorHAnsi" w:cstheme="minorHAnsi"/>
        </w:rPr>
        <w:t xml:space="preserve">, но въпреки това да остане </w:t>
      </w:r>
      <w:r w:rsidRPr="00CB0CA8">
        <w:rPr>
          <w:rFonts w:asciiTheme="minorHAnsi" w:hAnsiTheme="minorHAnsi" w:cstheme="minorHAnsi"/>
        </w:rPr>
        <w:t>далеч под максимално допустимата референтна стойност на Маастрихтския критерий от 60%.</w:t>
      </w:r>
    </w:p>
    <w:p w14:paraId="7977247A" w14:textId="0FBC9E96" w:rsidR="00DC1167" w:rsidRPr="008764B6" w:rsidRDefault="000C67F5" w:rsidP="007D6888">
      <w:pPr>
        <w:rPr>
          <w:rFonts w:asciiTheme="minorHAnsi" w:hAnsiTheme="minorHAnsi" w:cstheme="minorHAnsi"/>
        </w:rPr>
      </w:pPr>
      <w:r w:rsidRPr="00CB0CA8">
        <w:rPr>
          <w:rFonts w:asciiTheme="minorHAnsi" w:hAnsiTheme="minorHAnsi" w:cstheme="minorHAnsi"/>
        </w:rPr>
        <w:t>В контекста на запазване на макроикономическата стабилност</w:t>
      </w:r>
      <w:r w:rsidR="006D17F7" w:rsidRPr="00CB0CA8">
        <w:rPr>
          <w:rFonts w:asciiTheme="minorHAnsi" w:hAnsiTheme="minorHAnsi" w:cstheme="minorHAnsi"/>
        </w:rPr>
        <w:t xml:space="preserve"> и участието във Валутен механизъм ІІ</w:t>
      </w:r>
      <w:r w:rsidR="00053B23" w:rsidRPr="00CB0CA8">
        <w:rPr>
          <w:rFonts w:asciiTheme="minorHAnsi" w:hAnsiTheme="minorHAnsi" w:cstheme="minorHAnsi"/>
        </w:rPr>
        <w:t xml:space="preserve"> България гарантира, че ще запа</w:t>
      </w:r>
      <w:r w:rsidRPr="00CB0CA8">
        <w:rPr>
          <w:rFonts w:asciiTheme="minorHAnsi" w:hAnsiTheme="minorHAnsi" w:cstheme="minorHAnsi"/>
        </w:rPr>
        <w:t>зи режима на паричен съвет при съществуващото равнище на фиксирания валутен курс от 1.95583 лева за 1 евро до присъединява</w:t>
      </w:r>
      <w:r w:rsidR="008764B6">
        <w:rPr>
          <w:rFonts w:asciiTheme="minorHAnsi" w:hAnsiTheme="minorHAnsi" w:cstheme="minorHAnsi"/>
        </w:rPr>
        <w:t>нето на страната към еврозоната</w:t>
      </w:r>
      <w:r w:rsidR="00DC1167" w:rsidRPr="008930B1">
        <w:rPr>
          <w:rFonts w:asciiTheme="minorHAnsi" w:hAnsiTheme="minorHAnsi" w:cstheme="minorHAnsi"/>
          <w:i/>
        </w:rPr>
        <w:t>.</w:t>
      </w:r>
    </w:p>
    <w:p w14:paraId="227861F6" w14:textId="1D1242AA" w:rsidR="007148BD" w:rsidRPr="00CB0CA8" w:rsidRDefault="007148BD" w:rsidP="009A0FB9">
      <w:pPr>
        <w:rPr>
          <w:rFonts w:asciiTheme="minorHAnsi" w:hAnsiTheme="minorHAnsi" w:cstheme="minorHAnsi"/>
        </w:rPr>
      </w:pPr>
      <w:r w:rsidRPr="00CB0CA8">
        <w:rPr>
          <w:rFonts w:asciiTheme="minorHAnsi" w:hAnsiTheme="minorHAnsi" w:cstheme="minorHAnsi"/>
        </w:rPr>
        <w:t>Настоящата Конвергентна програма обхваща периода 20</w:t>
      </w:r>
      <w:r w:rsidR="00AB2263" w:rsidRPr="00CB0CA8">
        <w:rPr>
          <w:rFonts w:asciiTheme="minorHAnsi" w:hAnsiTheme="minorHAnsi" w:cstheme="minorHAnsi"/>
          <w:lang w:val="en-US"/>
        </w:rPr>
        <w:t>2</w:t>
      </w:r>
      <w:r w:rsidR="00F85DC2" w:rsidRPr="00CB0CA8">
        <w:rPr>
          <w:rFonts w:asciiTheme="minorHAnsi" w:hAnsiTheme="minorHAnsi" w:cstheme="minorHAnsi"/>
        </w:rPr>
        <w:t>2</w:t>
      </w:r>
      <w:r w:rsidR="00C04BEB" w:rsidRPr="00CB0CA8">
        <w:rPr>
          <w:rFonts w:asciiTheme="minorHAnsi" w:hAnsiTheme="minorHAnsi" w:cstheme="minorHAnsi"/>
          <w:lang w:val="en-US"/>
        </w:rPr>
        <w:t>–</w:t>
      </w:r>
      <w:r w:rsidR="005A04DD" w:rsidRPr="00CB0CA8">
        <w:rPr>
          <w:rFonts w:asciiTheme="minorHAnsi" w:hAnsiTheme="minorHAnsi" w:cstheme="minorHAnsi"/>
          <w:lang w:val="en-US"/>
        </w:rPr>
        <w:t>2</w:t>
      </w:r>
      <w:r w:rsidR="005A04DD" w:rsidRPr="00CB0CA8">
        <w:rPr>
          <w:rFonts w:asciiTheme="minorHAnsi" w:hAnsiTheme="minorHAnsi" w:cstheme="minorHAnsi"/>
        </w:rPr>
        <w:t>02</w:t>
      </w:r>
      <w:r w:rsidR="00F85DC2" w:rsidRPr="00CB0CA8">
        <w:rPr>
          <w:rFonts w:asciiTheme="minorHAnsi" w:hAnsiTheme="minorHAnsi" w:cstheme="minorHAnsi"/>
        </w:rPr>
        <w:t>5</w:t>
      </w:r>
      <w:r w:rsidR="00DF07FD">
        <w:rPr>
          <w:rFonts w:asciiTheme="minorHAnsi" w:hAnsiTheme="minorHAnsi" w:cstheme="minorHAnsi"/>
        </w:rPr>
        <w:t> г.</w:t>
      </w:r>
      <w:r w:rsidRPr="00CB0CA8">
        <w:rPr>
          <w:rFonts w:asciiTheme="minorHAnsi" w:hAnsiTheme="minorHAnsi" w:cstheme="minorHAnsi"/>
        </w:rPr>
        <w:t xml:space="preserve"> и се състои от седем части. </w:t>
      </w:r>
    </w:p>
    <w:p w14:paraId="7F52EE6F" w14:textId="77777777" w:rsidR="007148BD" w:rsidRPr="00CB0CA8" w:rsidRDefault="008E6512" w:rsidP="009A0FB9">
      <w:pPr>
        <w:rPr>
          <w:rFonts w:asciiTheme="minorHAnsi" w:hAnsiTheme="minorHAnsi" w:cstheme="minorHAnsi"/>
        </w:rPr>
      </w:pPr>
      <w:r w:rsidRPr="00CB0CA8">
        <w:rPr>
          <w:rFonts w:asciiTheme="minorHAnsi" w:hAnsiTheme="minorHAnsi" w:cstheme="minorHAnsi"/>
        </w:rPr>
        <w:t>Настоящата първа</w:t>
      </w:r>
      <w:r w:rsidR="007148BD" w:rsidRPr="00CB0CA8">
        <w:rPr>
          <w:rFonts w:asciiTheme="minorHAnsi" w:hAnsiTheme="minorHAnsi" w:cstheme="minorHAnsi"/>
        </w:rPr>
        <w:t xml:space="preserve"> част съдържа общата рамка на правителствените икономически политики и цели. </w:t>
      </w:r>
    </w:p>
    <w:p w14:paraId="2B9210E3" w14:textId="77777777" w:rsidR="007148BD" w:rsidRPr="00CB0CA8" w:rsidRDefault="007148BD" w:rsidP="009A0FB9">
      <w:pPr>
        <w:rPr>
          <w:rFonts w:asciiTheme="minorHAnsi" w:hAnsiTheme="minorHAnsi" w:cstheme="minorHAnsi"/>
        </w:rPr>
      </w:pPr>
      <w:r w:rsidRPr="00CB0CA8">
        <w:rPr>
          <w:rFonts w:asciiTheme="minorHAnsi" w:hAnsiTheme="minorHAnsi" w:cstheme="minorHAnsi"/>
        </w:rPr>
        <w:lastRenderedPageBreak/>
        <w:t xml:space="preserve">Във втората част е анализирано икономическото развитие на страната по отношение на ключовите макроикономически показатели, като е представена и прогноза за тяхното развитие в средносрочен план. </w:t>
      </w:r>
    </w:p>
    <w:p w14:paraId="1D9E91FC" w14:textId="77777777" w:rsidR="007148BD" w:rsidRPr="00CB0CA8" w:rsidRDefault="007148BD" w:rsidP="009A0FB9">
      <w:pPr>
        <w:rPr>
          <w:rFonts w:asciiTheme="minorHAnsi" w:hAnsiTheme="minorHAnsi" w:cstheme="minorHAnsi"/>
        </w:rPr>
      </w:pPr>
      <w:r w:rsidRPr="00CB0CA8">
        <w:rPr>
          <w:rFonts w:asciiTheme="minorHAnsi" w:hAnsiTheme="minorHAnsi" w:cstheme="minorHAnsi"/>
        </w:rPr>
        <w:t xml:space="preserve">Третата част представлява описание на стратегическите цели на фискалната политика по отношение на бюджетния баланс и правителствения дълг. Тук са изложени текущото състояние на бюджета и очакваното развитие през референтния период, с акцент върху структурния баланс. Очертани са основните насоки за развитие на дълговата позиция през програмния период. Представени са също така основните акценти на политиките и конкретните мерки за прилагането им, както и оценка за </w:t>
      </w:r>
      <w:r w:rsidR="00EB5E2C" w:rsidRPr="00CB0CA8">
        <w:rPr>
          <w:rFonts w:asciiTheme="minorHAnsi" w:hAnsiTheme="minorHAnsi" w:cstheme="minorHAnsi"/>
        </w:rPr>
        <w:t>очаквания</w:t>
      </w:r>
      <w:r w:rsidRPr="00CB0CA8">
        <w:rPr>
          <w:rFonts w:asciiTheme="minorHAnsi" w:hAnsiTheme="minorHAnsi" w:cstheme="minorHAnsi"/>
        </w:rPr>
        <w:t xml:space="preserve"> количествен ефект от изпълнението им.</w:t>
      </w:r>
    </w:p>
    <w:p w14:paraId="675328E4" w14:textId="77777777" w:rsidR="007148BD" w:rsidRPr="00CB0CA8" w:rsidRDefault="007148BD" w:rsidP="009A0FB9">
      <w:pPr>
        <w:rPr>
          <w:rFonts w:asciiTheme="minorHAnsi" w:hAnsiTheme="minorHAnsi" w:cstheme="minorHAnsi"/>
        </w:rPr>
      </w:pPr>
      <w:r w:rsidRPr="00CB0CA8">
        <w:rPr>
          <w:rFonts w:asciiTheme="minorHAnsi" w:hAnsiTheme="minorHAnsi" w:cstheme="minorHAnsi"/>
        </w:rPr>
        <w:t>В четвъртата част е направен анализ на чувствителността на прогнозните параметри, като e разработен алтернативен сценарий за икономическо развитие на страната в средносрочен план. Засегнат е и ефектът от реализирането на алтернативните сценарии върху бюджетните параметри. Представени са също ефектите върху държавния дълг от промени в допусканията по основния макроикономически сценарий.</w:t>
      </w:r>
    </w:p>
    <w:p w14:paraId="7C54A371" w14:textId="77777777" w:rsidR="007148BD" w:rsidRPr="00CB0CA8" w:rsidRDefault="007148BD" w:rsidP="009A0FB9">
      <w:pPr>
        <w:rPr>
          <w:rFonts w:asciiTheme="minorHAnsi" w:hAnsiTheme="minorHAnsi" w:cstheme="minorHAnsi"/>
        </w:rPr>
      </w:pPr>
      <w:r w:rsidRPr="00CB0CA8">
        <w:rPr>
          <w:rFonts w:asciiTheme="minorHAnsi" w:hAnsiTheme="minorHAnsi" w:cstheme="minorHAnsi"/>
        </w:rPr>
        <w:t>Част пета е посветена на устойчивостта на публичните финанси. Основният фокус е върху дългосрочната бюджетна перспектива с оглед на ефектите от застаряването на населението.</w:t>
      </w:r>
    </w:p>
    <w:p w14:paraId="560F267A" w14:textId="77777777" w:rsidR="007148BD" w:rsidRPr="00CB0CA8" w:rsidRDefault="007148BD" w:rsidP="009A0FB9">
      <w:pPr>
        <w:rPr>
          <w:rFonts w:asciiTheme="minorHAnsi" w:hAnsiTheme="minorHAnsi" w:cstheme="minorHAnsi"/>
        </w:rPr>
      </w:pPr>
      <w:r w:rsidRPr="00CB0CA8">
        <w:rPr>
          <w:rFonts w:asciiTheme="minorHAnsi" w:hAnsiTheme="minorHAnsi" w:cstheme="minorHAnsi"/>
        </w:rPr>
        <w:t xml:space="preserve">Шестата част разглежда качеството на публичните финанси. Тук са представени стратегията на правителствената политика в тази област, съставът на разходите, както и структурата и ефективността на приходните системи. </w:t>
      </w:r>
    </w:p>
    <w:p w14:paraId="11F92EC1" w14:textId="308CC7DB" w:rsidR="008764B6" w:rsidRPr="005B2032" w:rsidRDefault="007148BD" w:rsidP="009A0FB9">
      <w:pPr>
        <w:rPr>
          <w:rFonts w:asciiTheme="minorHAnsi" w:hAnsiTheme="minorHAnsi" w:cstheme="minorHAnsi"/>
        </w:rPr>
      </w:pPr>
      <w:r w:rsidRPr="00CB0CA8">
        <w:rPr>
          <w:rFonts w:asciiTheme="minorHAnsi" w:hAnsiTheme="minorHAnsi" w:cstheme="minorHAnsi"/>
        </w:rPr>
        <w:t>Седмата част прави преглед на институционалните характеристики на публичните финанси в България – бюджетни процедури и национални фискални правила. В тази част на програмата се акцентира и върху ключовите законодателни промени, свързани с публичните финанси.</w:t>
      </w:r>
    </w:p>
    <w:p w14:paraId="0D639AEC" w14:textId="19F56764" w:rsidR="008764B6" w:rsidRPr="008764B6" w:rsidRDefault="008764B6" w:rsidP="00F458CE">
      <w:pPr>
        <w:rPr>
          <w:rFonts w:asciiTheme="minorHAnsi" w:hAnsiTheme="minorHAnsi" w:cstheme="minorHAnsi"/>
        </w:rPr>
      </w:pPr>
      <w:r w:rsidRPr="008764B6">
        <w:rPr>
          <w:rFonts w:asciiTheme="minorHAnsi" w:hAnsiTheme="minorHAnsi" w:cstheme="minorHAnsi"/>
        </w:rPr>
        <w:t>Настоящата Конвергентна програма отчита мерки и развития в областта на фискалната политика, отразяващи препоръката на Съвета от юни 2021 г., съдържаща становище относно Конвергентната програма за 2021 г. на България</w:t>
      </w:r>
      <w:r>
        <w:rPr>
          <w:rFonts w:asciiTheme="minorHAnsi" w:hAnsiTheme="minorHAnsi" w:cstheme="minorHAnsi"/>
        </w:rPr>
        <w:t>:</w:t>
      </w:r>
      <w:r w:rsidRPr="008764B6">
        <w:rPr>
          <w:rFonts w:asciiTheme="minorHAnsi" w:hAnsiTheme="minorHAnsi" w:cstheme="minorHAnsi"/>
        </w:rPr>
        <w:t>,</w:t>
      </w:r>
      <w:r>
        <w:rPr>
          <w:rStyle w:val="FootnoteReference"/>
          <w:rFonts w:asciiTheme="minorHAnsi" w:hAnsiTheme="minorHAnsi" w:cstheme="minorHAnsi"/>
        </w:rPr>
        <w:footnoteReference w:id="3"/>
      </w:r>
      <w:r w:rsidRPr="008764B6">
        <w:rPr>
          <w:rFonts w:asciiTheme="minorHAnsi" w:hAnsiTheme="minorHAnsi" w:cstheme="minorHAnsi"/>
        </w:rPr>
        <w:t xml:space="preserve"> </w:t>
      </w:r>
    </w:p>
    <w:p w14:paraId="46296EB6" w14:textId="68985ED6" w:rsidR="008764B6" w:rsidRDefault="008764B6" w:rsidP="00F458CE">
      <w:pPr>
        <w:rPr>
          <w:rFonts w:asciiTheme="minorHAnsi" w:hAnsiTheme="minorHAnsi" w:cstheme="minorHAnsi"/>
          <w:i/>
        </w:rPr>
      </w:pPr>
      <w:r>
        <w:rPr>
          <w:rFonts w:asciiTheme="minorHAnsi" w:hAnsiTheme="minorHAnsi" w:cstheme="minorHAnsi"/>
          <w:i/>
        </w:rPr>
        <w:t>„П</w:t>
      </w:r>
      <w:r w:rsidRPr="008930B1">
        <w:rPr>
          <w:rFonts w:asciiTheme="minorHAnsi" w:hAnsiTheme="minorHAnsi" w:cstheme="minorHAnsi"/>
          <w:i/>
        </w:rPr>
        <w:t>рез 2022 г. правителството да поддържа подкрепяща фискална позиция, включително стимула от Механизма за възстановяване и устойчивост, и да поддържа инвестициите, финансирани на национално равнище. Да ограничи растежа на текущите разходи, финансирани на национално равнище. Когато икономическите условия го позволяват, да провежда фискална политика, насочена към постигане на разумни средносрочни фискални позиции и гарантиране на фискална устойчивост в средносрочен план. В същото време да увеличи инвестициите, за да стимулира потенциала за растеж. Да обърне специално внимание на състава на публичните финанси — от гледна точка както на приходите, така и на разходите в бюджета — и на качеството на бюджетните мерки, за да гарантира устойчиво и приобщаващо възстановяване. Да третира с приоритет устойчивите и увеличаващи растежа инвестиции, по-конкретно подкрепящи екологичния и цифровия преход. Да даде приоритет на фискалните структурни реформи, които ще помогнат да се осигури финансиране за приоритетите на публичната политика и ще допринесат за дългосрочната устойчивост на публичните финанси, включително чрез подобряване на обхвата, адекватността и устойчивостта на системите за здравеопазване и социална закрила за всички</w:t>
      </w:r>
      <w:r>
        <w:rPr>
          <w:rFonts w:asciiTheme="minorHAnsi" w:hAnsiTheme="minorHAnsi" w:cstheme="minorHAnsi"/>
          <w:i/>
        </w:rPr>
        <w:t>.“</w:t>
      </w:r>
    </w:p>
    <w:p w14:paraId="323DCE84" w14:textId="12C17603" w:rsidR="008764B6" w:rsidRDefault="008764B6" w:rsidP="00F458CE">
      <w:pPr>
        <w:rPr>
          <w:rFonts w:asciiTheme="minorHAnsi" w:hAnsiTheme="minorHAnsi" w:cstheme="minorHAnsi"/>
          <w:i/>
        </w:rPr>
      </w:pPr>
    </w:p>
    <w:p w14:paraId="22D8F9A1" w14:textId="77777777" w:rsidR="008764B6" w:rsidRPr="005B2032" w:rsidRDefault="008764B6" w:rsidP="00F458CE">
      <w:pPr>
        <w:rPr>
          <w:rFonts w:asciiTheme="minorHAnsi" w:hAnsiTheme="minorHAnsi" w:cstheme="minorHAnsi"/>
        </w:rPr>
        <w:sectPr w:rsidR="008764B6" w:rsidRPr="005B2032" w:rsidSect="0029149B">
          <w:headerReference w:type="even" r:id="rId41"/>
          <w:headerReference w:type="default" r:id="rId42"/>
          <w:footerReference w:type="even" r:id="rId43"/>
          <w:footerReference w:type="default" r:id="rId44"/>
          <w:pgSz w:w="11906" w:h="16838" w:code="9"/>
          <w:pgMar w:top="1276" w:right="1418" w:bottom="851" w:left="1418" w:header="680" w:footer="680" w:gutter="0"/>
          <w:pgNumType w:start="5"/>
          <w:cols w:space="708"/>
          <w:docGrid w:linePitch="360"/>
        </w:sectPr>
      </w:pPr>
    </w:p>
    <w:p w14:paraId="1631D748" w14:textId="6583425D" w:rsidR="00D359FF" w:rsidRPr="004018C2" w:rsidRDefault="00EF1041" w:rsidP="004018C2">
      <w:pPr>
        <w:pStyle w:val="Heading1"/>
      </w:pPr>
      <w:bookmarkStart w:id="37" w:name="_Toc352851580"/>
      <w:bookmarkStart w:id="38" w:name="_Toc448227259"/>
      <w:bookmarkStart w:id="39" w:name="_Toc479332408"/>
      <w:bookmarkStart w:id="40" w:name="_Toc100906062"/>
      <w:r w:rsidRPr="004018C2">
        <w:lastRenderedPageBreak/>
        <w:t xml:space="preserve">Икономически </w:t>
      </w:r>
      <w:r w:rsidR="00D359FF" w:rsidRPr="004018C2">
        <w:t>перспективи</w:t>
      </w:r>
      <w:bookmarkEnd w:id="37"/>
      <w:bookmarkEnd w:id="38"/>
      <w:bookmarkEnd w:id="39"/>
      <w:bookmarkEnd w:id="40"/>
    </w:p>
    <w:p w14:paraId="111C92A4" w14:textId="3C403ADA" w:rsidR="0004617A" w:rsidRPr="004018C2" w:rsidRDefault="0004617A" w:rsidP="004018C2">
      <w:pPr>
        <w:pStyle w:val="Heading2"/>
      </w:pPr>
      <w:bookmarkStart w:id="41" w:name="_Toc448227260"/>
      <w:bookmarkStart w:id="42" w:name="_Toc479332409"/>
      <w:bookmarkStart w:id="43" w:name="_Toc100906063"/>
      <w:r w:rsidRPr="004018C2">
        <w:t>Допускания за развитието на световната икономика</w:t>
      </w:r>
      <w:bookmarkEnd w:id="41"/>
      <w:bookmarkEnd w:id="42"/>
      <w:bookmarkEnd w:id="43"/>
    </w:p>
    <w:p w14:paraId="286AD3B5" w14:textId="74DB615D" w:rsidR="001473CD" w:rsidRPr="005B2032" w:rsidRDefault="001473CD" w:rsidP="001473CD">
      <w:pPr>
        <w:rPr>
          <w:szCs w:val="24"/>
        </w:rPr>
      </w:pPr>
      <w:bookmarkStart w:id="44" w:name="_Toc448227261"/>
      <w:bookmarkStart w:id="45" w:name="_Toc479332410"/>
      <w:r w:rsidRPr="005B2032">
        <w:rPr>
          <w:szCs w:val="24"/>
        </w:rPr>
        <w:t>Настоящата Конвергентна програма се базира на макроикономическата рамка за периода 2022-2025</w:t>
      </w:r>
      <w:r w:rsidR="00DF07FD">
        <w:rPr>
          <w:szCs w:val="24"/>
        </w:rPr>
        <w:t> г.</w:t>
      </w:r>
      <w:r w:rsidRPr="005B2032">
        <w:rPr>
          <w:szCs w:val="24"/>
        </w:rPr>
        <w:t>, която е разработена със средносрочния макроикономически модел на Министерството на финансите</w:t>
      </w:r>
      <w:r w:rsidR="008438DF">
        <w:rPr>
          <w:szCs w:val="24"/>
        </w:rPr>
        <w:t xml:space="preserve"> (МФ)</w:t>
      </w:r>
      <w:r w:rsidRPr="005B2032">
        <w:rPr>
          <w:szCs w:val="24"/>
        </w:rPr>
        <w:t>, с допускания за основни показатели на външната среда, актуални към края на месец март 2022</w:t>
      </w:r>
      <w:r w:rsidR="00DF07FD">
        <w:rPr>
          <w:szCs w:val="24"/>
        </w:rPr>
        <w:t> г.</w:t>
      </w:r>
    </w:p>
    <w:p w14:paraId="25489DE6" w14:textId="2E02A0FB" w:rsidR="001473CD" w:rsidRPr="005B2032" w:rsidRDefault="001473CD" w:rsidP="001473CD">
      <w:pPr>
        <w:rPr>
          <w:szCs w:val="24"/>
        </w:rPr>
      </w:pPr>
      <w:r w:rsidRPr="005B2032">
        <w:rPr>
          <w:szCs w:val="24"/>
        </w:rPr>
        <w:t>През 2021</w:t>
      </w:r>
      <w:r w:rsidR="00DF07FD">
        <w:rPr>
          <w:szCs w:val="24"/>
        </w:rPr>
        <w:t> г.</w:t>
      </w:r>
      <w:r w:rsidRPr="005B2032">
        <w:rPr>
          <w:szCs w:val="24"/>
        </w:rPr>
        <w:t xml:space="preserve"> се наблюдаваше нормализиране на икономическата активност в глобален план след началото на кризата, причинена от пандемията от COVID-19. Постепенното активизиране на ваксинационния процес се отрази в облекчаване на ограниченията в много от развитите държави от второто тримесечие на годината и, съответно, в съществено повишение на БВП. Нарастване бе отчетено в международната търговия, заетостта, доходите.</w:t>
      </w:r>
    </w:p>
    <w:p w14:paraId="6DDE3D8B" w14:textId="4956826A" w:rsidR="001473CD" w:rsidRPr="00CE1113" w:rsidRDefault="001473CD" w:rsidP="00CE1113">
      <w:pPr>
        <w:pStyle w:val="Caption"/>
      </w:pPr>
      <w:r w:rsidRPr="00CE1113">
        <w:t xml:space="preserve">Табл. </w:t>
      </w:r>
      <w:fldSimple w:instr=" STYLEREF 1 \s ">
        <w:r w:rsidR="004C3B04">
          <w:rPr>
            <w:noProof/>
          </w:rPr>
          <w:t>2</w:t>
        </w:r>
      </w:fldSimple>
      <w:r w:rsidRPr="00CE1113">
        <w:noBreakHyphen/>
      </w:r>
      <w:fldSimple w:instr=" SEQ Граф. \* ARABIC \s 1 ">
        <w:r w:rsidR="004C3B04">
          <w:rPr>
            <w:noProof/>
          </w:rPr>
          <w:t>1</w:t>
        </w:r>
      </w:fldSimple>
      <w:r w:rsidRPr="00CE1113">
        <w:t xml:space="preserve">: Допускания относно </w:t>
      </w:r>
      <w:r w:rsidR="00606F56" w:rsidRPr="00CE1113">
        <w:t>основни</w:t>
      </w:r>
      <w:r w:rsidRPr="00CE1113">
        <w:t xml:space="preserve"> макроикономически показатели</w:t>
      </w:r>
    </w:p>
    <w:tbl>
      <w:tblPr>
        <w:tblW w:w="4966"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70" w:type="dxa"/>
        </w:tblCellMar>
        <w:tblLook w:val="04A0" w:firstRow="1" w:lastRow="0" w:firstColumn="1" w:lastColumn="0" w:noHBand="0" w:noVBand="1"/>
      </w:tblPr>
      <w:tblGrid>
        <w:gridCol w:w="3683"/>
        <w:gridCol w:w="1134"/>
        <w:gridCol w:w="993"/>
        <w:gridCol w:w="1064"/>
        <w:gridCol w:w="1064"/>
        <w:gridCol w:w="1064"/>
      </w:tblGrid>
      <w:tr w:rsidR="005B2032" w:rsidRPr="005B2032" w14:paraId="36BD59FC" w14:textId="77777777" w:rsidTr="00E8359A">
        <w:trPr>
          <w:trHeight w:val="397"/>
          <w:jc w:val="center"/>
        </w:trPr>
        <w:tc>
          <w:tcPr>
            <w:tcW w:w="3683" w:type="dxa"/>
            <w:vMerge w:val="restart"/>
            <w:shd w:val="clear" w:color="auto" w:fill="D7D4F1"/>
            <w:vAlign w:val="bottom"/>
            <w:hideMark/>
          </w:tcPr>
          <w:p w14:paraId="01EBF828" w14:textId="77777777" w:rsidR="001473CD" w:rsidRPr="005B2032" w:rsidRDefault="001473CD" w:rsidP="00503A52">
            <w:pPr>
              <w:spacing w:before="40" w:after="40"/>
              <w:jc w:val="left"/>
              <w:rPr>
                <w:b/>
                <w:bCs/>
                <w:sz w:val="20"/>
                <w:szCs w:val="20"/>
              </w:rPr>
            </w:pPr>
            <w:r w:rsidRPr="005B2032">
              <w:rPr>
                <w:b/>
                <w:bCs/>
                <w:sz w:val="20"/>
                <w:szCs w:val="20"/>
              </w:rPr>
              <w:t>Международна среда</w:t>
            </w:r>
          </w:p>
        </w:tc>
        <w:tc>
          <w:tcPr>
            <w:tcW w:w="1134" w:type="dxa"/>
            <w:shd w:val="clear" w:color="auto" w:fill="D7D4F1"/>
            <w:noWrap/>
            <w:vAlign w:val="center"/>
            <w:hideMark/>
          </w:tcPr>
          <w:p w14:paraId="549BD758" w14:textId="77777777" w:rsidR="001473CD" w:rsidRPr="005B2032" w:rsidRDefault="001473CD">
            <w:pPr>
              <w:spacing w:before="40" w:after="40"/>
              <w:jc w:val="center"/>
              <w:rPr>
                <w:b/>
                <w:bCs/>
                <w:sz w:val="20"/>
                <w:szCs w:val="20"/>
              </w:rPr>
            </w:pPr>
            <w:r w:rsidRPr="005B2032">
              <w:rPr>
                <w:b/>
                <w:bCs/>
                <w:sz w:val="20"/>
                <w:szCs w:val="20"/>
              </w:rPr>
              <w:t>Отчетни данни</w:t>
            </w:r>
          </w:p>
        </w:tc>
        <w:tc>
          <w:tcPr>
            <w:tcW w:w="4185" w:type="dxa"/>
            <w:gridSpan w:val="4"/>
            <w:shd w:val="clear" w:color="auto" w:fill="D7D4F1"/>
            <w:vAlign w:val="center"/>
            <w:hideMark/>
          </w:tcPr>
          <w:p w14:paraId="79A12961" w14:textId="77777777" w:rsidR="001473CD" w:rsidRPr="005B2032" w:rsidRDefault="001473CD">
            <w:pPr>
              <w:spacing w:before="40" w:after="40"/>
              <w:jc w:val="center"/>
              <w:rPr>
                <w:b/>
                <w:bCs/>
                <w:sz w:val="20"/>
                <w:szCs w:val="20"/>
              </w:rPr>
            </w:pPr>
            <w:r w:rsidRPr="005B2032">
              <w:rPr>
                <w:b/>
                <w:bCs/>
                <w:sz w:val="20"/>
                <w:szCs w:val="20"/>
              </w:rPr>
              <w:t>Прогноза</w:t>
            </w:r>
          </w:p>
        </w:tc>
      </w:tr>
      <w:tr w:rsidR="00606F56" w:rsidRPr="005B2032" w14:paraId="088133FB" w14:textId="77777777" w:rsidTr="00E8359A">
        <w:trPr>
          <w:trHeight w:val="397"/>
          <w:jc w:val="center"/>
        </w:trPr>
        <w:tc>
          <w:tcPr>
            <w:tcW w:w="3683" w:type="dxa"/>
            <w:vMerge/>
            <w:shd w:val="clear" w:color="auto" w:fill="D7D4F1"/>
            <w:vAlign w:val="center"/>
            <w:hideMark/>
          </w:tcPr>
          <w:p w14:paraId="1931FA2E" w14:textId="77777777" w:rsidR="001473CD" w:rsidRPr="005B2032" w:rsidRDefault="001473CD">
            <w:pPr>
              <w:spacing w:after="0"/>
              <w:rPr>
                <w:b/>
                <w:bCs/>
                <w:sz w:val="20"/>
                <w:szCs w:val="20"/>
              </w:rPr>
            </w:pPr>
          </w:p>
        </w:tc>
        <w:tc>
          <w:tcPr>
            <w:tcW w:w="1134" w:type="dxa"/>
            <w:shd w:val="clear" w:color="auto" w:fill="D7D4F1"/>
            <w:noWrap/>
            <w:vAlign w:val="center"/>
            <w:hideMark/>
          </w:tcPr>
          <w:p w14:paraId="2D578430" w14:textId="77777777" w:rsidR="001473CD" w:rsidRPr="005B2032" w:rsidRDefault="001473CD" w:rsidP="00966236">
            <w:pPr>
              <w:spacing w:before="40" w:after="40"/>
              <w:jc w:val="center"/>
              <w:rPr>
                <w:b/>
                <w:bCs/>
                <w:sz w:val="20"/>
                <w:szCs w:val="20"/>
              </w:rPr>
            </w:pPr>
            <w:r w:rsidRPr="005B2032">
              <w:rPr>
                <w:b/>
                <w:bCs/>
                <w:sz w:val="20"/>
                <w:szCs w:val="20"/>
              </w:rPr>
              <w:t>2021</w:t>
            </w:r>
          </w:p>
        </w:tc>
        <w:tc>
          <w:tcPr>
            <w:tcW w:w="993" w:type="dxa"/>
            <w:shd w:val="clear" w:color="auto" w:fill="D7D4F1"/>
            <w:noWrap/>
            <w:vAlign w:val="center"/>
            <w:hideMark/>
          </w:tcPr>
          <w:p w14:paraId="1176F83D" w14:textId="77777777" w:rsidR="001473CD" w:rsidRPr="005B2032" w:rsidRDefault="001473CD" w:rsidP="00966236">
            <w:pPr>
              <w:spacing w:before="40" w:after="40"/>
              <w:jc w:val="center"/>
              <w:rPr>
                <w:b/>
                <w:bCs/>
                <w:sz w:val="20"/>
                <w:szCs w:val="20"/>
              </w:rPr>
            </w:pPr>
            <w:r w:rsidRPr="005B2032">
              <w:rPr>
                <w:b/>
                <w:bCs/>
                <w:sz w:val="20"/>
                <w:szCs w:val="20"/>
              </w:rPr>
              <w:t>2022</w:t>
            </w:r>
          </w:p>
        </w:tc>
        <w:tc>
          <w:tcPr>
            <w:tcW w:w="1064" w:type="dxa"/>
            <w:shd w:val="clear" w:color="auto" w:fill="D7D4F1"/>
            <w:vAlign w:val="center"/>
            <w:hideMark/>
          </w:tcPr>
          <w:p w14:paraId="1C1DE4A0" w14:textId="77777777" w:rsidR="001473CD" w:rsidRPr="005B2032" w:rsidRDefault="001473CD" w:rsidP="00966236">
            <w:pPr>
              <w:spacing w:before="40" w:after="40"/>
              <w:jc w:val="center"/>
              <w:rPr>
                <w:b/>
                <w:bCs/>
                <w:sz w:val="20"/>
                <w:szCs w:val="20"/>
              </w:rPr>
            </w:pPr>
            <w:r w:rsidRPr="005B2032">
              <w:rPr>
                <w:b/>
                <w:bCs/>
                <w:sz w:val="20"/>
                <w:szCs w:val="20"/>
              </w:rPr>
              <w:t>2023</w:t>
            </w:r>
          </w:p>
        </w:tc>
        <w:tc>
          <w:tcPr>
            <w:tcW w:w="1064" w:type="dxa"/>
            <w:shd w:val="clear" w:color="auto" w:fill="D7D4F1"/>
            <w:vAlign w:val="center"/>
            <w:hideMark/>
          </w:tcPr>
          <w:p w14:paraId="41D884E6" w14:textId="77777777" w:rsidR="001473CD" w:rsidRPr="005B2032" w:rsidRDefault="001473CD" w:rsidP="00966236">
            <w:pPr>
              <w:spacing w:before="40" w:after="40"/>
              <w:jc w:val="center"/>
              <w:rPr>
                <w:b/>
                <w:bCs/>
                <w:sz w:val="20"/>
                <w:szCs w:val="20"/>
              </w:rPr>
            </w:pPr>
            <w:r w:rsidRPr="005B2032">
              <w:rPr>
                <w:b/>
                <w:bCs/>
                <w:sz w:val="20"/>
                <w:szCs w:val="20"/>
              </w:rPr>
              <w:t>2024</w:t>
            </w:r>
          </w:p>
        </w:tc>
        <w:tc>
          <w:tcPr>
            <w:tcW w:w="1064" w:type="dxa"/>
            <w:shd w:val="clear" w:color="auto" w:fill="D7D4F1"/>
            <w:vAlign w:val="center"/>
            <w:hideMark/>
          </w:tcPr>
          <w:p w14:paraId="2A6F3CEE" w14:textId="77777777" w:rsidR="001473CD" w:rsidRPr="005B2032" w:rsidRDefault="001473CD" w:rsidP="00966236">
            <w:pPr>
              <w:spacing w:before="40" w:after="40"/>
              <w:jc w:val="center"/>
              <w:rPr>
                <w:b/>
                <w:bCs/>
                <w:sz w:val="20"/>
                <w:szCs w:val="20"/>
              </w:rPr>
            </w:pPr>
            <w:r w:rsidRPr="005B2032">
              <w:rPr>
                <w:b/>
                <w:bCs/>
                <w:sz w:val="20"/>
                <w:szCs w:val="20"/>
              </w:rPr>
              <w:t>2025</w:t>
            </w:r>
          </w:p>
        </w:tc>
      </w:tr>
      <w:tr w:rsidR="005B2032" w:rsidRPr="005B2032" w14:paraId="08F49BAF" w14:textId="77777777" w:rsidTr="00E8359A">
        <w:trPr>
          <w:trHeight w:val="397"/>
          <w:jc w:val="center"/>
        </w:trPr>
        <w:tc>
          <w:tcPr>
            <w:tcW w:w="3683" w:type="dxa"/>
            <w:vAlign w:val="center"/>
            <w:hideMark/>
          </w:tcPr>
          <w:p w14:paraId="5FB3DC87" w14:textId="77777777" w:rsidR="001473CD" w:rsidRPr="005B2032" w:rsidRDefault="001473CD" w:rsidP="00606F56">
            <w:pPr>
              <w:spacing w:before="40" w:after="40"/>
              <w:jc w:val="left"/>
              <w:rPr>
                <w:bCs/>
                <w:sz w:val="20"/>
                <w:szCs w:val="20"/>
              </w:rPr>
            </w:pPr>
            <w:r w:rsidRPr="005B2032">
              <w:rPr>
                <w:bCs/>
                <w:sz w:val="20"/>
                <w:szCs w:val="20"/>
              </w:rPr>
              <w:t>Световна икономика (реален растеж, %)</w:t>
            </w:r>
          </w:p>
        </w:tc>
        <w:tc>
          <w:tcPr>
            <w:tcW w:w="1134" w:type="dxa"/>
            <w:noWrap/>
            <w:vAlign w:val="center"/>
            <w:hideMark/>
          </w:tcPr>
          <w:p w14:paraId="122017AA" w14:textId="77777777" w:rsidR="001473CD" w:rsidRPr="004327D4" w:rsidRDefault="001473CD">
            <w:pPr>
              <w:spacing w:after="0"/>
              <w:ind w:firstLineChars="100" w:firstLine="200"/>
              <w:jc w:val="center"/>
              <w:rPr>
                <w:sz w:val="20"/>
                <w:szCs w:val="20"/>
              </w:rPr>
            </w:pPr>
            <w:r w:rsidRPr="005B2032">
              <w:rPr>
                <w:sz w:val="20"/>
                <w:szCs w:val="20"/>
              </w:rPr>
              <w:t>6.0</w:t>
            </w:r>
          </w:p>
        </w:tc>
        <w:tc>
          <w:tcPr>
            <w:tcW w:w="993" w:type="dxa"/>
            <w:noWrap/>
            <w:vAlign w:val="center"/>
            <w:hideMark/>
          </w:tcPr>
          <w:p w14:paraId="74388875" w14:textId="77777777" w:rsidR="001473CD" w:rsidRPr="004327D4" w:rsidRDefault="001473CD">
            <w:pPr>
              <w:spacing w:after="0"/>
              <w:ind w:firstLineChars="100" w:firstLine="200"/>
              <w:jc w:val="center"/>
              <w:rPr>
                <w:sz w:val="20"/>
                <w:szCs w:val="20"/>
              </w:rPr>
            </w:pPr>
            <w:r w:rsidRPr="005B2032">
              <w:rPr>
                <w:sz w:val="20"/>
                <w:szCs w:val="20"/>
              </w:rPr>
              <w:t>3.</w:t>
            </w:r>
            <w:r w:rsidRPr="004327D4">
              <w:rPr>
                <w:sz w:val="20"/>
                <w:szCs w:val="20"/>
              </w:rPr>
              <w:t>8</w:t>
            </w:r>
          </w:p>
        </w:tc>
        <w:tc>
          <w:tcPr>
            <w:tcW w:w="1064" w:type="dxa"/>
            <w:vAlign w:val="center"/>
            <w:hideMark/>
          </w:tcPr>
          <w:p w14:paraId="37D7D715" w14:textId="77777777" w:rsidR="001473CD" w:rsidRPr="005B2032" w:rsidRDefault="001473CD">
            <w:pPr>
              <w:spacing w:after="0"/>
              <w:ind w:firstLineChars="100" w:firstLine="200"/>
              <w:jc w:val="center"/>
              <w:rPr>
                <w:sz w:val="20"/>
                <w:szCs w:val="20"/>
              </w:rPr>
            </w:pPr>
            <w:r w:rsidRPr="005B2032">
              <w:rPr>
                <w:sz w:val="20"/>
                <w:szCs w:val="20"/>
              </w:rPr>
              <w:t>3.3</w:t>
            </w:r>
          </w:p>
        </w:tc>
        <w:tc>
          <w:tcPr>
            <w:tcW w:w="1064" w:type="dxa"/>
            <w:vAlign w:val="center"/>
            <w:hideMark/>
          </w:tcPr>
          <w:p w14:paraId="6E630DBA" w14:textId="77777777" w:rsidR="001473CD" w:rsidRPr="005B2032" w:rsidRDefault="001473CD">
            <w:pPr>
              <w:spacing w:after="0"/>
              <w:ind w:firstLineChars="100" w:firstLine="200"/>
              <w:jc w:val="center"/>
              <w:rPr>
                <w:sz w:val="20"/>
                <w:szCs w:val="20"/>
              </w:rPr>
            </w:pPr>
            <w:r w:rsidRPr="005B2032">
              <w:rPr>
                <w:sz w:val="20"/>
                <w:szCs w:val="20"/>
              </w:rPr>
              <w:t>3.4</w:t>
            </w:r>
          </w:p>
        </w:tc>
        <w:tc>
          <w:tcPr>
            <w:tcW w:w="1064" w:type="dxa"/>
            <w:vAlign w:val="center"/>
            <w:hideMark/>
          </w:tcPr>
          <w:p w14:paraId="69129540" w14:textId="77777777" w:rsidR="001473CD" w:rsidRPr="005B2032" w:rsidRDefault="001473CD">
            <w:pPr>
              <w:spacing w:after="0"/>
              <w:ind w:firstLineChars="100" w:firstLine="200"/>
              <w:jc w:val="center"/>
              <w:rPr>
                <w:sz w:val="20"/>
                <w:szCs w:val="20"/>
              </w:rPr>
            </w:pPr>
            <w:r w:rsidRPr="005B2032">
              <w:rPr>
                <w:sz w:val="20"/>
                <w:szCs w:val="20"/>
              </w:rPr>
              <w:t>3.3</w:t>
            </w:r>
          </w:p>
        </w:tc>
      </w:tr>
      <w:tr w:rsidR="005B2032" w:rsidRPr="005B2032" w14:paraId="0FDCB4E3" w14:textId="77777777" w:rsidTr="00E8359A">
        <w:trPr>
          <w:trHeight w:val="397"/>
          <w:jc w:val="center"/>
        </w:trPr>
        <w:tc>
          <w:tcPr>
            <w:tcW w:w="3683" w:type="dxa"/>
            <w:vAlign w:val="center"/>
            <w:hideMark/>
          </w:tcPr>
          <w:p w14:paraId="2B053D7A" w14:textId="65CF0735" w:rsidR="001473CD" w:rsidRPr="005B2032" w:rsidRDefault="001473CD" w:rsidP="00606F56">
            <w:pPr>
              <w:spacing w:before="40" w:after="40"/>
              <w:jc w:val="left"/>
              <w:rPr>
                <w:bCs/>
                <w:sz w:val="20"/>
                <w:szCs w:val="20"/>
              </w:rPr>
            </w:pPr>
            <w:r w:rsidRPr="005B2032">
              <w:rPr>
                <w:bCs/>
                <w:sz w:val="20"/>
                <w:szCs w:val="20"/>
              </w:rPr>
              <w:t xml:space="preserve">Европейска икономика – ЕС </w:t>
            </w:r>
            <w:r w:rsidR="00606F56">
              <w:rPr>
                <w:bCs/>
                <w:sz w:val="20"/>
                <w:szCs w:val="20"/>
              </w:rPr>
              <w:br/>
            </w:r>
            <w:r w:rsidRPr="005B2032">
              <w:rPr>
                <w:bCs/>
                <w:sz w:val="20"/>
                <w:szCs w:val="20"/>
              </w:rPr>
              <w:t>(реален растеж, %)</w:t>
            </w:r>
          </w:p>
        </w:tc>
        <w:tc>
          <w:tcPr>
            <w:tcW w:w="1134" w:type="dxa"/>
            <w:noWrap/>
            <w:vAlign w:val="center"/>
            <w:hideMark/>
          </w:tcPr>
          <w:p w14:paraId="03142DF1" w14:textId="77777777" w:rsidR="001473CD" w:rsidRPr="004327D4" w:rsidRDefault="001473CD">
            <w:pPr>
              <w:spacing w:after="0"/>
              <w:ind w:firstLineChars="100" w:firstLine="200"/>
              <w:jc w:val="center"/>
              <w:rPr>
                <w:sz w:val="20"/>
                <w:szCs w:val="20"/>
              </w:rPr>
            </w:pPr>
            <w:r w:rsidRPr="005B2032">
              <w:rPr>
                <w:sz w:val="20"/>
                <w:szCs w:val="20"/>
              </w:rPr>
              <w:t>5.</w:t>
            </w:r>
            <w:r w:rsidRPr="004327D4">
              <w:rPr>
                <w:sz w:val="20"/>
                <w:szCs w:val="20"/>
              </w:rPr>
              <w:t>3</w:t>
            </w:r>
          </w:p>
        </w:tc>
        <w:tc>
          <w:tcPr>
            <w:tcW w:w="993" w:type="dxa"/>
            <w:noWrap/>
            <w:vAlign w:val="center"/>
            <w:hideMark/>
          </w:tcPr>
          <w:p w14:paraId="38332801" w14:textId="77777777" w:rsidR="001473CD" w:rsidRPr="004327D4" w:rsidRDefault="001473CD">
            <w:pPr>
              <w:spacing w:after="0"/>
              <w:ind w:firstLineChars="100" w:firstLine="200"/>
              <w:jc w:val="center"/>
              <w:rPr>
                <w:sz w:val="20"/>
                <w:szCs w:val="20"/>
              </w:rPr>
            </w:pPr>
            <w:r w:rsidRPr="005B2032">
              <w:rPr>
                <w:sz w:val="20"/>
                <w:szCs w:val="20"/>
              </w:rPr>
              <w:t>3.</w:t>
            </w:r>
            <w:r w:rsidRPr="004327D4">
              <w:rPr>
                <w:sz w:val="20"/>
                <w:szCs w:val="20"/>
              </w:rPr>
              <w:t>1</w:t>
            </w:r>
          </w:p>
        </w:tc>
        <w:tc>
          <w:tcPr>
            <w:tcW w:w="1064" w:type="dxa"/>
            <w:vAlign w:val="center"/>
            <w:hideMark/>
          </w:tcPr>
          <w:p w14:paraId="1D9283B6" w14:textId="77777777" w:rsidR="001473CD" w:rsidRPr="005B2032" w:rsidRDefault="001473CD">
            <w:pPr>
              <w:spacing w:after="0"/>
              <w:ind w:firstLineChars="100" w:firstLine="200"/>
              <w:jc w:val="center"/>
              <w:rPr>
                <w:sz w:val="20"/>
                <w:szCs w:val="20"/>
              </w:rPr>
            </w:pPr>
            <w:r w:rsidRPr="005B2032">
              <w:rPr>
                <w:sz w:val="20"/>
                <w:szCs w:val="20"/>
              </w:rPr>
              <w:t>2.2</w:t>
            </w:r>
          </w:p>
        </w:tc>
        <w:tc>
          <w:tcPr>
            <w:tcW w:w="1064" w:type="dxa"/>
            <w:vAlign w:val="center"/>
            <w:hideMark/>
          </w:tcPr>
          <w:p w14:paraId="18D3A354" w14:textId="77777777" w:rsidR="001473CD" w:rsidRPr="005B2032" w:rsidRDefault="001473CD">
            <w:pPr>
              <w:spacing w:after="0"/>
              <w:ind w:firstLineChars="100" w:firstLine="200"/>
              <w:jc w:val="center"/>
              <w:rPr>
                <w:sz w:val="20"/>
                <w:szCs w:val="20"/>
              </w:rPr>
            </w:pPr>
            <w:r w:rsidRPr="005B2032">
              <w:rPr>
                <w:sz w:val="20"/>
                <w:szCs w:val="20"/>
              </w:rPr>
              <w:t>2.3</w:t>
            </w:r>
          </w:p>
        </w:tc>
        <w:tc>
          <w:tcPr>
            <w:tcW w:w="1064" w:type="dxa"/>
            <w:vAlign w:val="center"/>
            <w:hideMark/>
          </w:tcPr>
          <w:p w14:paraId="0A2D8890" w14:textId="77777777" w:rsidR="001473CD" w:rsidRPr="005B2032" w:rsidRDefault="001473CD">
            <w:pPr>
              <w:spacing w:after="0"/>
              <w:ind w:firstLineChars="100" w:firstLine="200"/>
              <w:jc w:val="center"/>
              <w:rPr>
                <w:sz w:val="20"/>
                <w:szCs w:val="20"/>
              </w:rPr>
            </w:pPr>
            <w:r w:rsidRPr="005B2032">
              <w:rPr>
                <w:sz w:val="20"/>
                <w:szCs w:val="20"/>
              </w:rPr>
              <w:t>1.9</w:t>
            </w:r>
          </w:p>
        </w:tc>
      </w:tr>
      <w:tr w:rsidR="005B2032" w:rsidRPr="005B2032" w14:paraId="70799D7C" w14:textId="77777777" w:rsidTr="00E8359A">
        <w:trPr>
          <w:trHeight w:val="397"/>
          <w:jc w:val="center"/>
        </w:trPr>
        <w:tc>
          <w:tcPr>
            <w:tcW w:w="3683" w:type="dxa"/>
            <w:vAlign w:val="center"/>
            <w:hideMark/>
          </w:tcPr>
          <w:p w14:paraId="21142143" w14:textId="77777777" w:rsidR="001473CD" w:rsidRPr="005B2032" w:rsidRDefault="001473CD" w:rsidP="00606F56">
            <w:pPr>
              <w:spacing w:before="40" w:after="40"/>
              <w:jc w:val="left"/>
              <w:rPr>
                <w:bCs/>
                <w:sz w:val="20"/>
                <w:szCs w:val="20"/>
              </w:rPr>
            </w:pPr>
            <w:r w:rsidRPr="005B2032">
              <w:rPr>
                <w:bCs/>
                <w:sz w:val="20"/>
                <w:szCs w:val="20"/>
              </w:rPr>
              <w:t xml:space="preserve">Средногодишен валутен курс щ.д./евро </w:t>
            </w:r>
          </w:p>
        </w:tc>
        <w:tc>
          <w:tcPr>
            <w:tcW w:w="1134" w:type="dxa"/>
            <w:noWrap/>
            <w:vAlign w:val="center"/>
            <w:hideMark/>
          </w:tcPr>
          <w:p w14:paraId="1C4CD50B" w14:textId="77777777" w:rsidR="001473CD" w:rsidRPr="004327D4" w:rsidRDefault="001473CD">
            <w:pPr>
              <w:spacing w:after="0"/>
              <w:ind w:firstLineChars="100" w:firstLine="200"/>
              <w:jc w:val="center"/>
              <w:rPr>
                <w:sz w:val="20"/>
                <w:szCs w:val="20"/>
              </w:rPr>
            </w:pPr>
            <w:r w:rsidRPr="005B2032">
              <w:rPr>
                <w:sz w:val="20"/>
                <w:szCs w:val="20"/>
              </w:rPr>
              <w:t>1.1</w:t>
            </w:r>
            <w:r w:rsidRPr="004327D4">
              <w:rPr>
                <w:sz w:val="20"/>
                <w:szCs w:val="20"/>
              </w:rPr>
              <w:t>8</w:t>
            </w:r>
          </w:p>
        </w:tc>
        <w:tc>
          <w:tcPr>
            <w:tcW w:w="993" w:type="dxa"/>
            <w:noWrap/>
            <w:vAlign w:val="center"/>
            <w:hideMark/>
          </w:tcPr>
          <w:p w14:paraId="4A95C855" w14:textId="77777777" w:rsidR="001473CD" w:rsidRPr="004327D4" w:rsidRDefault="001473CD">
            <w:pPr>
              <w:spacing w:after="0"/>
              <w:ind w:firstLineChars="100" w:firstLine="200"/>
              <w:jc w:val="center"/>
              <w:rPr>
                <w:sz w:val="20"/>
                <w:szCs w:val="20"/>
              </w:rPr>
            </w:pPr>
            <w:r w:rsidRPr="005B2032">
              <w:rPr>
                <w:sz w:val="20"/>
                <w:szCs w:val="20"/>
              </w:rPr>
              <w:t>1.1</w:t>
            </w:r>
            <w:r w:rsidRPr="004327D4">
              <w:rPr>
                <w:sz w:val="20"/>
                <w:szCs w:val="20"/>
              </w:rPr>
              <w:t>0</w:t>
            </w:r>
          </w:p>
        </w:tc>
        <w:tc>
          <w:tcPr>
            <w:tcW w:w="1064" w:type="dxa"/>
            <w:vAlign w:val="center"/>
            <w:hideMark/>
          </w:tcPr>
          <w:p w14:paraId="6F334DB3" w14:textId="77777777" w:rsidR="001473CD" w:rsidRPr="005B2032" w:rsidRDefault="001473CD">
            <w:pPr>
              <w:spacing w:after="0"/>
              <w:ind w:firstLineChars="100" w:firstLine="200"/>
              <w:jc w:val="center"/>
              <w:rPr>
                <w:sz w:val="20"/>
                <w:szCs w:val="20"/>
              </w:rPr>
            </w:pPr>
            <w:r w:rsidRPr="005B2032">
              <w:rPr>
                <w:sz w:val="20"/>
                <w:szCs w:val="20"/>
              </w:rPr>
              <w:t>1.10</w:t>
            </w:r>
          </w:p>
        </w:tc>
        <w:tc>
          <w:tcPr>
            <w:tcW w:w="1064" w:type="dxa"/>
            <w:vAlign w:val="center"/>
            <w:hideMark/>
          </w:tcPr>
          <w:p w14:paraId="1E38D0A7" w14:textId="77777777" w:rsidR="001473CD" w:rsidRPr="005B2032" w:rsidRDefault="001473CD">
            <w:pPr>
              <w:spacing w:after="0"/>
              <w:ind w:firstLineChars="100" w:firstLine="200"/>
              <w:jc w:val="center"/>
              <w:rPr>
                <w:sz w:val="20"/>
                <w:szCs w:val="20"/>
              </w:rPr>
            </w:pPr>
            <w:r w:rsidRPr="005B2032">
              <w:rPr>
                <w:sz w:val="20"/>
                <w:szCs w:val="20"/>
              </w:rPr>
              <w:t>1.10</w:t>
            </w:r>
          </w:p>
        </w:tc>
        <w:tc>
          <w:tcPr>
            <w:tcW w:w="1064" w:type="dxa"/>
            <w:vAlign w:val="center"/>
            <w:hideMark/>
          </w:tcPr>
          <w:p w14:paraId="04A95DA1" w14:textId="77777777" w:rsidR="001473CD" w:rsidRPr="005B2032" w:rsidRDefault="001473CD">
            <w:pPr>
              <w:spacing w:after="0"/>
              <w:ind w:firstLineChars="100" w:firstLine="200"/>
              <w:jc w:val="center"/>
              <w:rPr>
                <w:sz w:val="20"/>
                <w:szCs w:val="20"/>
              </w:rPr>
            </w:pPr>
            <w:r w:rsidRPr="005B2032">
              <w:rPr>
                <w:sz w:val="20"/>
                <w:szCs w:val="20"/>
              </w:rPr>
              <w:t>1.10</w:t>
            </w:r>
          </w:p>
        </w:tc>
      </w:tr>
      <w:tr w:rsidR="00503A52" w:rsidRPr="00503A52" w14:paraId="7BAE4408" w14:textId="77777777" w:rsidTr="00E8359A">
        <w:trPr>
          <w:trHeight w:val="397"/>
          <w:jc w:val="center"/>
        </w:trPr>
        <w:tc>
          <w:tcPr>
            <w:tcW w:w="9002" w:type="dxa"/>
            <w:gridSpan w:val="6"/>
            <w:vAlign w:val="center"/>
            <w:hideMark/>
          </w:tcPr>
          <w:p w14:paraId="3BC124D1" w14:textId="121F8BFC" w:rsidR="00503A52" w:rsidRPr="00503A52" w:rsidRDefault="00503A52" w:rsidP="00503A52">
            <w:pPr>
              <w:spacing w:after="0"/>
              <w:jc w:val="left"/>
              <w:rPr>
                <w:b/>
                <w:sz w:val="20"/>
                <w:szCs w:val="20"/>
              </w:rPr>
            </w:pPr>
            <w:r w:rsidRPr="00503A52">
              <w:rPr>
                <w:rFonts w:eastAsia="Times New Roman"/>
                <w:b/>
                <w:sz w:val="20"/>
                <w:szCs w:val="20"/>
              </w:rPr>
              <w:t>Международни цени на основни суровини (в доларово изражение, изменение в %)</w:t>
            </w:r>
          </w:p>
        </w:tc>
      </w:tr>
      <w:tr w:rsidR="005B2032" w:rsidRPr="005B2032" w14:paraId="09CCA803" w14:textId="77777777" w:rsidTr="00E8359A">
        <w:trPr>
          <w:trHeight w:val="397"/>
          <w:jc w:val="center"/>
        </w:trPr>
        <w:tc>
          <w:tcPr>
            <w:tcW w:w="3683" w:type="dxa"/>
            <w:vAlign w:val="center"/>
            <w:hideMark/>
          </w:tcPr>
          <w:p w14:paraId="6774EC80" w14:textId="77777777" w:rsidR="001473CD" w:rsidRPr="005B2032" w:rsidRDefault="001473CD" w:rsidP="00606F56">
            <w:pPr>
              <w:spacing w:before="40" w:after="40"/>
              <w:jc w:val="left"/>
              <w:rPr>
                <w:bCs/>
                <w:sz w:val="20"/>
                <w:szCs w:val="20"/>
              </w:rPr>
            </w:pPr>
            <w:r w:rsidRPr="005B2032">
              <w:rPr>
                <w:bCs/>
                <w:sz w:val="20"/>
                <w:szCs w:val="20"/>
              </w:rPr>
              <w:t>Петрол сорт „Брент“</w:t>
            </w:r>
          </w:p>
        </w:tc>
        <w:tc>
          <w:tcPr>
            <w:tcW w:w="1134" w:type="dxa"/>
            <w:noWrap/>
            <w:vAlign w:val="center"/>
            <w:hideMark/>
          </w:tcPr>
          <w:p w14:paraId="0BA1E59C" w14:textId="77777777" w:rsidR="001473CD" w:rsidRPr="004327D4" w:rsidRDefault="001473CD">
            <w:pPr>
              <w:spacing w:after="0"/>
              <w:ind w:firstLineChars="100" w:firstLine="200"/>
              <w:jc w:val="center"/>
              <w:rPr>
                <w:sz w:val="20"/>
                <w:szCs w:val="20"/>
              </w:rPr>
            </w:pPr>
            <w:r w:rsidRPr="005B2032">
              <w:rPr>
                <w:sz w:val="20"/>
                <w:szCs w:val="20"/>
              </w:rPr>
              <w:t>66.</w:t>
            </w:r>
            <w:r w:rsidRPr="004327D4">
              <w:rPr>
                <w:sz w:val="20"/>
                <w:szCs w:val="20"/>
              </w:rPr>
              <w:t>5</w:t>
            </w:r>
          </w:p>
        </w:tc>
        <w:tc>
          <w:tcPr>
            <w:tcW w:w="993" w:type="dxa"/>
            <w:noWrap/>
            <w:vAlign w:val="center"/>
            <w:hideMark/>
          </w:tcPr>
          <w:p w14:paraId="5CF255DB" w14:textId="77777777" w:rsidR="001473CD" w:rsidRPr="004327D4" w:rsidRDefault="001473CD">
            <w:pPr>
              <w:spacing w:after="0"/>
              <w:ind w:firstLineChars="100" w:firstLine="200"/>
              <w:jc w:val="center"/>
              <w:rPr>
                <w:sz w:val="20"/>
                <w:szCs w:val="20"/>
              </w:rPr>
            </w:pPr>
            <w:r w:rsidRPr="005B2032">
              <w:rPr>
                <w:sz w:val="20"/>
                <w:szCs w:val="20"/>
              </w:rPr>
              <w:t>42.</w:t>
            </w:r>
            <w:r w:rsidRPr="004327D4">
              <w:rPr>
                <w:sz w:val="20"/>
                <w:szCs w:val="20"/>
              </w:rPr>
              <w:t>0</w:t>
            </w:r>
          </w:p>
        </w:tc>
        <w:tc>
          <w:tcPr>
            <w:tcW w:w="1064" w:type="dxa"/>
            <w:vAlign w:val="center"/>
            <w:hideMark/>
          </w:tcPr>
          <w:p w14:paraId="57D497A3" w14:textId="77777777" w:rsidR="001473CD" w:rsidRPr="005B2032" w:rsidRDefault="001473CD">
            <w:pPr>
              <w:spacing w:after="0"/>
              <w:ind w:firstLineChars="100" w:firstLine="200"/>
              <w:jc w:val="center"/>
              <w:rPr>
                <w:sz w:val="20"/>
                <w:szCs w:val="20"/>
              </w:rPr>
            </w:pPr>
            <w:r w:rsidRPr="005B2032">
              <w:rPr>
                <w:sz w:val="20"/>
                <w:szCs w:val="20"/>
              </w:rPr>
              <w:t>-10.1</w:t>
            </w:r>
          </w:p>
        </w:tc>
        <w:tc>
          <w:tcPr>
            <w:tcW w:w="1064" w:type="dxa"/>
            <w:vAlign w:val="center"/>
            <w:hideMark/>
          </w:tcPr>
          <w:p w14:paraId="11CA2355" w14:textId="77777777" w:rsidR="001473CD" w:rsidRPr="005B2032" w:rsidRDefault="001473CD">
            <w:pPr>
              <w:spacing w:after="0"/>
              <w:ind w:firstLineChars="100" w:firstLine="200"/>
              <w:jc w:val="center"/>
              <w:rPr>
                <w:sz w:val="20"/>
                <w:szCs w:val="20"/>
              </w:rPr>
            </w:pPr>
            <w:r w:rsidRPr="005B2032">
              <w:rPr>
                <w:sz w:val="20"/>
                <w:szCs w:val="20"/>
              </w:rPr>
              <w:t>-7.8</w:t>
            </w:r>
          </w:p>
        </w:tc>
        <w:tc>
          <w:tcPr>
            <w:tcW w:w="1064" w:type="dxa"/>
            <w:vAlign w:val="center"/>
            <w:hideMark/>
          </w:tcPr>
          <w:p w14:paraId="12BA2290" w14:textId="77777777" w:rsidR="001473CD" w:rsidRPr="005B2032" w:rsidRDefault="001473CD">
            <w:pPr>
              <w:spacing w:after="0"/>
              <w:ind w:firstLineChars="100" w:firstLine="200"/>
              <w:jc w:val="center"/>
              <w:rPr>
                <w:sz w:val="20"/>
                <w:szCs w:val="20"/>
              </w:rPr>
            </w:pPr>
            <w:r w:rsidRPr="005B2032">
              <w:rPr>
                <w:sz w:val="20"/>
                <w:szCs w:val="20"/>
              </w:rPr>
              <w:t>-5.2</w:t>
            </w:r>
          </w:p>
        </w:tc>
      </w:tr>
      <w:tr w:rsidR="005B2032" w:rsidRPr="005B2032" w14:paraId="62BBD998" w14:textId="77777777" w:rsidTr="00E8359A">
        <w:trPr>
          <w:trHeight w:val="397"/>
          <w:jc w:val="center"/>
        </w:trPr>
        <w:tc>
          <w:tcPr>
            <w:tcW w:w="3683" w:type="dxa"/>
            <w:vAlign w:val="center"/>
            <w:hideMark/>
          </w:tcPr>
          <w:p w14:paraId="0B562953" w14:textId="77777777" w:rsidR="001473CD" w:rsidRPr="005B2032" w:rsidRDefault="001473CD" w:rsidP="00606F56">
            <w:pPr>
              <w:spacing w:before="40" w:after="40"/>
              <w:jc w:val="left"/>
              <w:rPr>
                <w:bCs/>
                <w:sz w:val="20"/>
                <w:szCs w:val="20"/>
              </w:rPr>
            </w:pPr>
            <w:r w:rsidRPr="005B2032">
              <w:rPr>
                <w:bCs/>
                <w:sz w:val="20"/>
                <w:szCs w:val="20"/>
              </w:rPr>
              <w:t xml:space="preserve">Неенергийни суровини </w:t>
            </w:r>
          </w:p>
        </w:tc>
        <w:tc>
          <w:tcPr>
            <w:tcW w:w="1134" w:type="dxa"/>
            <w:noWrap/>
            <w:vAlign w:val="center"/>
            <w:hideMark/>
          </w:tcPr>
          <w:p w14:paraId="037C0B68" w14:textId="77777777" w:rsidR="001473CD" w:rsidRPr="004327D4" w:rsidRDefault="001473CD">
            <w:pPr>
              <w:spacing w:after="0"/>
              <w:ind w:firstLineChars="100" w:firstLine="200"/>
              <w:jc w:val="center"/>
              <w:rPr>
                <w:sz w:val="20"/>
                <w:szCs w:val="20"/>
              </w:rPr>
            </w:pPr>
            <w:r w:rsidRPr="004327D4">
              <w:rPr>
                <w:sz w:val="20"/>
                <w:szCs w:val="20"/>
              </w:rPr>
              <w:t>32.7</w:t>
            </w:r>
          </w:p>
        </w:tc>
        <w:tc>
          <w:tcPr>
            <w:tcW w:w="993" w:type="dxa"/>
            <w:noWrap/>
            <w:vAlign w:val="center"/>
            <w:hideMark/>
          </w:tcPr>
          <w:p w14:paraId="48CE3560" w14:textId="77777777" w:rsidR="001473CD" w:rsidRPr="004327D4" w:rsidRDefault="001473CD">
            <w:pPr>
              <w:spacing w:after="0"/>
              <w:ind w:firstLineChars="100" w:firstLine="200"/>
              <w:jc w:val="center"/>
              <w:rPr>
                <w:sz w:val="20"/>
                <w:szCs w:val="20"/>
              </w:rPr>
            </w:pPr>
            <w:r w:rsidRPr="004327D4">
              <w:rPr>
                <w:sz w:val="20"/>
                <w:szCs w:val="20"/>
              </w:rPr>
              <w:t>18.9</w:t>
            </w:r>
          </w:p>
        </w:tc>
        <w:tc>
          <w:tcPr>
            <w:tcW w:w="1064" w:type="dxa"/>
            <w:vAlign w:val="center"/>
            <w:hideMark/>
          </w:tcPr>
          <w:p w14:paraId="29E27E3D" w14:textId="77777777" w:rsidR="001473CD" w:rsidRPr="005B2032" w:rsidRDefault="001473CD">
            <w:pPr>
              <w:spacing w:after="0"/>
              <w:ind w:firstLineChars="100" w:firstLine="200"/>
              <w:jc w:val="center"/>
              <w:rPr>
                <w:sz w:val="20"/>
                <w:szCs w:val="20"/>
              </w:rPr>
            </w:pPr>
            <w:r w:rsidRPr="005B2032">
              <w:rPr>
                <w:sz w:val="20"/>
                <w:szCs w:val="20"/>
              </w:rPr>
              <w:t>-6.3</w:t>
            </w:r>
          </w:p>
        </w:tc>
        <w:tc>
          <w:tcPr>
            <w:tcW w:w="1064" w:type="dxa"/>
            <w:vAlign w:val="center"/>
            <w:hideMark/>
          </w:tcPr>
          <w:p w14:paraId="7111C63F" w14:textId="77777777" w:rsidR="001473CD" w:rsidRPr="005B2032" w:rsidRDefault="001473CD">
            <w:pPr>
              <w:spacing w:after="0"/>
              <w:ind w:firstLineChars="100" w:firstLine="200"/>
              <w:jc w:val="center"/>
              <w:rPr>
                <w:sz w:val="20"/>
                <w:szCs w:val="20"/>
              </w:rPr>
            </w:pPr>
            <w:r w:rsidRPr="005B2032">
              <w:rPr>
                <w:sz w:val="20"/>
                <w:szCs w:val="20"/>
              </w:rPr>
              <w:t>-2.6</w:t>
            </w:r>
          </w:p>
        </w:tc>
        <w:tc>
          <w:tcPr>
            <w:tcW w:w="1064" w:type="dxa"/>
            <w:vAlign w:val="center"/>
            <w:hideMark/>
          </w:tcPr>
          <w:p w14:paraId="51EF41CB" w14:textId="77777777" w:rsidR="001473CD" w:rsidRPr="005B2032" w:rsidRDefault="001473CD">
            <w:pPr>
              <w:spacing w:after="0"/>
              <w:ind w:firstLineChars="100" w:firstLine="200"/>
              <w:jc w:val="center"/>
              <w:rPr>
                <w:sz w:val="20"/>
                <w:szCs w:val="20"/>
              </w:rPr>
            </w:pPr>
            <w:r w:rsidRPr="005B2032">
              <w:rPr>
                <w:sz w:val="20"/>
                <w:szCs w:val="20"/>
              </w:rPr>
              <w:t>-1.3</w:t>
            </w:r>
          </w:p>
        </w:tc>
      </w:tr>
      <w:tr w:rsidR="005B2032" w:rsidRPr="005B2032" w14:paraId="0FECFEF1" w14:textId="77777777" w:rsidTr="00E8359A">
        <w:trPr>
          <w:trHeight w:val="397"/>
          <w:jc w:val="center"/>
        </w:trPr>
        <w:tc>
          <w:tcPr>
            <w:tcW w:w="3683" w:type="dxa"/>
            <w:vAlign w:val="center"/>
            <w:hideMark/>
          </w:tcPr>
          <w:p w14:paraId="5B9775AF" w14:textId="77777777" w:rsidR="001473CD" w:rsidRPr="005B2032" w:rsidRDefault="001473CD" w:rsidP="00606F56">
            <w:pPr>
              <w:spacing w:before="40" w:after="40"/>
              <w:ind w:firstLine="505"/>
              <w:jc w:val="left"/>
              <w:rPr>
                <w:bCs/>
                <w:sz w:val="20"/>
                <w:szCs w:val="20"/>
              </w:rPr>
            </w:pPr>
            <w:r w:rsidRPr="005B2032">
              <w:rPr>
                <w:bCs/>
                <w:sz w:val="20"/>
                <w:szCs w:val="20"/>
              </w:rPr>
              <w:t>Храни</w:t>
            </w:r>
          </w:p>
        </w:tc>
        <w:tc>
          <w:tcPr>
            <w:tcW w:w="1134" w:type="dxa"/>
            <w:noWrap/>
            <w:vAlign w:val="center"/>
            <w:hideMark/>
          </w:tcPr>
          <w:p w14:paraId="5C8A8FC4" w14:textId="77777777" w:rsidR="001473CD" w:rsidRPr="004327D4" w:rsidRDefault="001473CD">
            <w:pPr>
              <w:spacing w:after="0"/>
              <w:ind w:firstLineChars="100" w:firstLine="200"/>
              <w:jc w:val="center"/>
              <w:rPr>
                <w:sz w:val="20"/>
                <w:szCs w:val="20"/>
              </w:rPr>
            </w:pPr>
            <w:r w:rsidRPr="004327D4">
              <w:rPr>
                <w:sz w:val="20"/>
                <w:szCs w:val="20"/>
              </w:rPr>
              <w:t>30.8</w:t>
            </w:r>
          </w:p>
        </w:tc>
        <w:tc>
          <w:tcPr>
            <w:tcW w:w="993" w:type="dxa"/>
            <w:noWrap/>
            <w:vAlign w:val="center"/>
            <w:hideMark/>
          </w:tcPr>
          <w:p w14:paraId="4ABA4033" w14:textId="77777777" w:rsidR="001473CD" w:rsidRPr="004327D4" w:rsidRDefault="001473CD">
            <w:pPr>
              <w:spacing w:after="0"/>
              <w:ind w:firstLineChars="100" w:firstLine="200"/>
              <w:jc w:val="center"/>
              <w:rPr>
                <w:sz w:val="20"/>
                <w:szCs w:val="20"/>
              </w:rPr>
            </w:pPr>
            <w:r w:rsidRPr="004327D4">
              <w:rPr>
                <w:sz w:val="20"/>
                <w:szCs w:val="20"/>
              </w:rPr>
              <w:t>15.0</w:t>
            </w:r>
          </w:p>
        </w:tc>
        <w:tc>
          <w:tcPr>
            <w:tcW w:w="1064" w:type="dxa"/>
            <w:vAlign w:val="center"/>
            <w:hideMark/>
          </w:tcPr>
          <w:p w14:paraId="663DB0E1" w14:textId="77777777" w:rsidR="001473CD" w:rsidRPr="005B2032" w:rsidRDefault="001473CD">
            <w:pPr>
              <w:spacing w:after="0"/>
              <w:ind w:firstLineChars="100" w:firstLine="200"/>
              <w:jc w:val="center"/>
              <w:rPr>
                <w:sz w:val="20"/>
                <w:szCs w:val="20"/>
              </w:rPr>
            </w:pPr>
            <w:r w:rsidRPr="005B2032">
              <w:rPr>
                <w:sz w:val="20"/>
                <w:szCs w:val="20"/>
              </w:rPr>
              <w:t>-8.3</w:t>
            </w:r>
          </w:p>
        </w:tc>
        <w:tc>
          <w:tcPr>
            <w:tcW w:w="1064" w:type="dxa"/>
            <w:vAlign w:val="center"/>
            <w:hideMark/>
          </w:tcPr>
          <w:p w14:paraId="67B78519" w14:textId="77777777" w:rsidR="001473CD" w:rsidRPr="005B2032" w:rsidRDefault="001473CD">
            <w:pPr>
              <w:spacing w:after="0"/>
              <w:ind w:firstLineChars="100" w:firstLine="200"/>
              <w:jc w:val="center"/>
              <w:rPr>
                <w:sz w:val="20"/>
                <w:szCs w:val="20"/>
              </w:rPr>
            </w:pPr>
            <w:r w:rsidRPr="005B2032">
              <w:rPr>
                <w:sz w:val="20"/>
                <w:szCs w:val="20"/>
              </w:rPr>
              <w:t>-3.7</w:t>
            </w:r>
          </w:p>
        </w:tc>
        <w:tc>
          <w:tcPr>
            <w:tcW w:w="1064" w:type="dxa"/>
            <w:vAlign w:val="center"/>
            <w:hideMark/>
          </w:tcPr>
          <w:p w14:paraId="0679F65D" w14:textId="77777777" w:rsidR="001473CD" w:rsidRPr="005B2032" w:rsidRDefault="001473CD">
            <w:pPr>
              <w:spacing w:after="0"/>
              <w:ind w:firstLineChars="100" w:firstLine="200"/>
              <w:jc w:val="center"/>
              <w:rPr>
                <w:sz w:val="20"/>
                <w:szCs w:val="20"/>
              </w:rPr>
            </w:pPr>
            <w:r w:rsidRPr="005B2032">
              <w:rPr>
                <w:sz w:val="20"/>
                <w:szCs w:val="20"/>
              </w:rPr>
              <w:t>-0.6</w:t>
            </w:r>
          </w:p>
        </w:tc>
      </w:tr>
      <w:tr w:rsidR="005B2032" w:rsidRPr="005B2032" w14:paraId="115F044A" w14:textId="77777777" w:rsidTr="00E8359A">
        <w:trPr>
          <w:trHeight w:val="397"/>
          <w:jc w:val="center"/>
        </w:trPr>
        <w:tc>
          <w:tcPr>
            <w:tcW w:w="3683" w:type="dxa"/>
            <w:vAlign w:val="center"/>
            <w:hideMark/>
          </w:tcPr>
          <w:p w14:paraId="11FD1D06" w14:textId="77777777" w:rsidR="001473CD" w:rsidRPr="005B2032" w:rsidRDefault="001473CD" w:rsidP="00606F56">
            <w:pPr>
              <w:spacing w:before="40" w:after="40"/>
              <w:ind w:firstLine="505"/>
              <w:jc w:val="left"/>
              <w:rPr>
                <w:bCs/>
                <w:sz w:val="20"/>
                <w:szCs w:val="20"/>
              </w:rPr>
            </w:pPr>
            <w:r w:rsidRPr="005B2032">
              <w:rPr>
                <w:bCs/>
                <w:sz w:val="20"/>
                <w:szCs w:val="20"/>
              </w:rPr>
              <w:t>Напитки</w:t>
            </w:r>
          </w:p>
        </w:tc>
        <w:tc>
          <w:tcPr>
            <w:tcW w:w="1134" w:type="dxa"/>
            <w:noWrap/>
            <w:vAlign w:val="center"/>
            <w:hideMark/>
          </w:tcPr>
          <w:p w14:paraId="364F2EDF" w14:textId="77777777" w:rsidR="001473CD" w:rsidRPr="005B2032" w:rsidRDefault="001473CD">
            <w:pPr>
              <w:spacing w:after="0"/>
              <w:ind w:firstLineChars="100" w:firstLine="200"/>
              <w:jc w:val="center"/>
              <w:rPr>
                <w:sz w:val="20"/>
                <w:szCs w:val="20"/>
              </w:rPr>
            </w:pPr>
            <w:r w:rsidRPr="005B2032">
              <w:rPr>
                <w:sz w:val="20"/>
                <w:szCs w:val="20"/>
              </w:rPr>
              <w:t>16.3</w:t>
            </w:r>
          </w:p>
        </w:tc>
        <w:tc>
          <w:tcPr>
            <w:tcW w:w="993" w:type="dxa"/>
            <w:noWrap/>
            <w:vAlign w:val="center"/>
            <w:hideMark/>
          </w:tcPr>
          <w:p w14:paraId="16C5E3A0" w14:textId="77777777" w:rsidR="001473CD" w:rsidRPr="005B2032" w:rsidRDefault="001473CD">
            <w:pPr>
              <w:spacing w:after="0"/>
              <w:ind w:firstLineChars="100" w:firstLine="200"/>
              <w:jc w:val="center"/>
              <w:rPr>
                <w:sz w:val="20"/>
                <w:szCs w:val="20"/>
              </w:rPr>
            </w:pPr>
            <w:r w:rsidRPr="005B2032">
              <w:rPr>
                <w:sz w:val="20"/>
                <w:szCs w:val="20"/>
              </w:rPr>
              <w:t>8.5</w:t>
            </w:r>
          </w:p>
        </w:tc>
        <w:tc>
          <w:tcPr>
            <w:tcW w:w="1064" w:type="dxa"/>
            <w:vAlign w:val="center"/>
            <w:hideMark/>
          </w:tcPr>
          <w:p w14:paraId="40BA36F5" w14:textId="77777777" w:rsidR="001473CD" w:rsidRPr="005B2032" w:rsidRDefault="001473CD">
            <w:pPr>
              <w:spacing w:after="0"/>
              <w:ind w:firstLineChars="100" w:firstLine="200"/>
              <w:jc w:val="center"/>
              <w:rPr>
                <w:sz w:val="20"/>
                <w:szCs w:val="20"/>
              </w:rPr>
            </w:pPr>
            <w:r w:rsidRPr="005B2032">
              <w:rPr>
                <w:sz w:val="20"/>
                <w:szCs w:val="20"/>
              </w:rPr>
              <w:t>-2.4</w:t>
            </w:r>
          </w:p>
        </w:tc>
        <w:tc>
          <w:tcPr>
            <w:tcW w:w="1064" w:type="dxa"/>
            <w:vAlign w:val="center"/>
            <w:hideMark/>
          </w:tcPr>
          <w:p w14:paraId="42DB39EF" w14:textId="77777777" w:rsidR="001473CD" w:rsidRPr="005B2032" w:rsidRDefault="001473CD">
            <w:pPr>
              <w:spacing w:after="0"/>
              <w:ind w:firstLineChars="100" w:firstLine="200"/>
              <w:jc w:val="center"/>
              <w:rPr>
                <w:sz w:val="20"/>
                <w:szCs w:val="20"/>
              </w:rPr>
            </w:pPr>
            <w:r w:rsidRPr="005B2032">
              <w:rPr>
                <w:sz w:val="20"/>
                <w:szCs w:val="20"/>
              </w:rPr>
              <w:t>-0.5</w:t>
            </w:r>
          </w:p>
        </w:tc>
        <w:tc>
          <w:tcPr>
            <w:tcW w:w="1064" w:type="dxa"/>
            <w:vAlign w:val="center"/>
            <w:hideMark/>
          </w:tcPr>
          <w:p w14:paraId="6F4A52FF" w14:textId="77777777" w:rsidR="001473CD" w:rsidRPr="005B2032" w:rsidRDefault="001473CD">
            <w:pPr>
              <w:spacing w:after="0"/>
              <w:ind w:firstLineChars="100" w:firstLine="200"/>
              <w:jc w:val="center"/>
              <w:rPr>
                <w:sz w:val="20"/>
                <w:szCs w:val="20"/>
              </w:rPr>
            </w:pPr>
            <w:r w:rsidRPr="005B2032">
              <w:rPr>
                <w:sz w:val="20"/>
                <w:szCs w:val="20"/>
              </w:rPr>
              <w:t>-0.5</w:t>
            </w:r>
          </w:p>
        </w:tc>
      </w:tr>
      <w:tr w:rsidR="005B2032" w:rsidRPr="005B2032" w14:paraId="6A664A87" w14:textId="77777777" w:rsidTr="00E8359A">
        <w:trPr>
          <w:trHeight w:val="397"/>
          <w:jc w:val="center"/>
        </w:trPr>
        <w:tc>
          <w:tcPr>
            <w:tcW w:w="3683" w:type="dxa"/>
            <w:vAlign w:val="center"/>
            <w:hideMark/>
          </w:tcPr>
          <w:p w14:paraId="053443E8" w14:textId="77777777" w:rsidR="001473CD" w:rsidRPr="005B2032" w:rsidRDefault="001473CD" w:rsidP="00606F56">
            <w:pPr>
              <w:spacing w:before="40" w:after="40"/>
              <w:ind w:firstLine="505"/>
              <w:jc w:val="left"/>
              <w:rPr>
                <w:bCs/>
                <w:sz w:val="20"/>
                <w:szCs w:val="20"/>
              </w:rPr>
            </w:pPr>
            <w:r w:rsidRPr="005B2032">
              <w:rPr>
                <w:bCs/>
                <w:sz w:val="20"/>
                <w:szCs w:val="20"/>
              </w:rPr>
              <w:t>Селскостопански суровини</w:t>
            </w:r>
          </w:p>
        </w:tc>
        <w:tc>
          <w:tcPr>
            <w:tcW w:w="1134" w:type="dxa"/>
            <w:noWrap/>
            <w:vAlign w:val="center"/>
            <w:hideMark/>
          </w:tcPr>
          <w:p w14:paraId="411DD786" w14:textId="77777777" w:rsidR="001473CD" w:rsidRPr="005B2032" w:rsidRDefault="001473CD">
            <w:pPr>
              <w:spacing w:after="0"/>
              <w:ind w:firstLineChars="100" w:firstLine="200"/>
              <w:jc w:val="center"/>
              <w:rPr>
                <w:sz w:val="20"/>
                <w:szCs w:val="20"/>
              </w:rPr>
            </w:pPr>
            <w:r w:rsidRPr="005B2032">
              <w:rPr>
                <w:sz w:val="20"/>
                <w:szCs w:val="20"/>
              </w:rPr>
              <w:t>9.0</w:t>
            </w:r>
          </w:p>
        </w:tc>
        <w:tc>
          <w:tcPr>
            <w:tcW w:w="993" w:type="dxa"/>
            <w:noWrap/>
            <w:vAlign w:val="center"/>
            <w:hideMark/>
          </w:tcPr>
          <w:p w14:paraId="30E20B05" w14:textId="77777777" w:rsidR="001473CD" w:rsidRPr="005B2032" w:rsidRDefault="001473CD">
            <w:pPr>
              <w:spacing w:after="0"/>
              <w:ind w:firstLineChars="100" w:firstLine="200"/>
              <w:jc w:val="center"/>
              <w:rPr>
                <w:sz w:val="20"/>
                <w:szCs w:val="20"/>
              </w:rPr>
            </w:pPr>
            <w:r w:rsidRPr="005B2032">
              <w:rPr>
                <w:sz w:val="20"/>
                <w:szCs w:val="20"/>
              </w:rPr>
              <w:t>24.6</w:t>
            </w:r>
          </w:p>
        </w:tc>
        <w:tc>
          <w:tcPr>
            <w:tcW w:w="1064" w:type="dxa"/>
            <w:vAlign w:val="center"/>
            <w:hideMark/>
          </w:tcPr>
          <w:p w14:paraId="6ACD8266" w14:textId="77777777" w:rsidR="001473CD" w:rsidRPr="005B2032" w:rsidRDefault="001473CD">
            <w:pPr>
              <w:spacing w:after="0"/>
              <w:ind w:firstLineChars="100" w:firstLine="200"/>
              <w:jc w:val="center"/>
              <w:rPr>
                <w:sz w:val="20"/>
                <w:szCs w:val="20"/>
              </w:rPr>
            </w:pPr>
            <w:r w:rsidRPr="005B2032">
              <w:rPr>
                <w:sz w:val="20"/>
                <w:szCs w:val="20"/>
              </w:rPr>
              <w:t>-12.0</w:t>
            </w:r>
          </w:p>
        </w:tc>
        <w:tc>
          <w:tcPr>
            <w:tcW w:w="1064" w:type="dxa"/>
            <w:vAlign w:val="center"/>
            <w:hideMark/>
          </w:tcPr>
          <w:p w14:paraId="69107D1C" w14:textId="77777777" w:rsidR="001473CD" w:rsidRPr="005B2032" w:rsidRDefault="001473CD">
            <w:pPr>
              <w:spacing w:after="0"/>
              <w:ind w:firstLineChars="100" w:firstLine="200"/>
              <w:jc w:val="center"/>
              <w:rPr>
                <w:sz w:val="20"/>
                <w:szCs w:val="20"/>
              </w:rPr>
            </w:pPr>
            <w:r w:rsidRPr="005B2032">
              <w:rPr>
                <w:sz w:val="20"/>
                <w:szCs w:val="20"/>
              </w:rPr>
              <w:t>-1.1</w:t>
            </w:r>
          </w:p>
        </w:tc>
        <w:tc>
          <w:tcPr>
            <w:tcW w:w="1064" w:type="dxa"/>
            <w:vAlign w:val="center"/>
            <w:hideMark/>
          </w:tcPr>
          <w:p w14:paraId="389C9754" w14:textId="77777777" w:rsidR="001473CD" w:rsidRPr="005B2032" w:rsidRDefault="001473CD">
            <w:pPr>
              <w:spacing w:after="0"/>
              <w:ind w:firstLineChars="100" w:firstLine="200"/>
              <w:jc w:val="center"/>
              <w:rPr>
                <w:sz w:val="20"/>
                <w:szCs w:val="20"/>
              </w:rPr>
            </w:pPr>
            <w:r w:rsidRPr="005B2032">
              <w:rPr>
                <w:sz w:val="20"/>
                <w:szCs w:val="20"/>
              </w:rPr>
              <w:t>0.0</w:t>
            </w:r>
          </w:p>
        </w:tc>
      </w:tr>
      <w:tr w:rsidR="005B2032" w:rsidRPr="005B2032" w14:paraId="39AD9153" w14:textId="77777777" w:rsidTr="00E8359A">
        <w:trPr>
          <w:trHeight w:val="397"/>
          <w:jc w:val="center"/>
        </w:trPr>
        <w:tc>
          <w:tcPr>
            <w:tcW w:w="3683" w:type="dxa"/>
            <w:vAlign w:val="center"/>
            <w:hideMark/>
          </w:tcPr>
          <w:p w14:paraId="71461526" w14:textId="77777777" w:rsidR="001473CD" w:rsidRPr="005B2032" w:rsidRDefault="001473CD" w:rsidP="00606F56">
            <w:pPr>
              <w:spacing w:before="40" w:after="40"/>
              <w:ind w:firstLine="505"/>
              <w:jc w:val="left"/>
              <w:rPr>
                <w:bCs/>
                <w:sz w:val="20"/>
                <w:szCs w:val="20"/>
              </w:rPr>
            </w:pPr>
            <w:r w:rsidRPr="005B2032">
              <w:rPr>
                <w:bCs/>
                <w:sz w:val="20"/>
                <w:szCs w:val="20"/>
              </w:rPr>
              <w:t>Метали</w:t>
            </w:r>
          </w:p>
        </w:tc>
        <w:tc>
          <w:tcPr>
            <w:tcW w:w="1134" w:type="dxa"/>
            <w:noWrap/>
            <w:vAlign w:val="center"/>
            <w:hideMark/>
          </w:tcPr>
          <w:p w14:paraId="28A65987" w14:textId="77777777" w:rsidR="001473CD" w:rsidRPr="005B2032" w:rsidRDefault="001473CD">
            <w:pPr>
              <w:spacing w:after="0"/>
              <w:ind w:firstLineChars="100" w:firstLine="200"/>
              <w:jc w:val="center"/>
              <w:rPr>
                <w:sz w:val="20"/>
                <w:szCs w:val="20"/>
              </w:rPr>
            </w:pPr>
            <w:r w:rsidRPr="005B2032">
              <w:rPr>
                <w:sz w:val="20"/>
                <w:szCs w:val="20"/>
              </w:rPr>
              <w:t>47.1</w:t>
            </w:r>
          </w:p>
        </w:tc>
        <w:tc>
          <w:tcPr>
            <w:tcW w:w="993" w:type="dxa"/>
            <w:noWrap/>
            <w:vAlign w:val="center"/>
            <w:hideMark/>
          </w:tcPr>
          <w:p w14:paraId="10C55A4D" w14:textId="77777777" w:rsidR="001473CD" w:rsidRPr="005B2032" w:rsidRDefault="001473CD">
            <w:pPr>
              <w:spacing w:after="0"/>
              <w:ind w:firstLineChars="100" w:firstLine="200"/>
              <w:jc w:val="center"/>
              <w:rPr>
                <w:sz w:val="20"/>
                <w:szCs w:val="20"/>
              </w:rPr>
            </w:pPr>
            <w:r w:rsidRPr="005B2032">
              <w:rPr>
                <w:sz w:val="20"/>
                <w:szCs w:val="20"/>
              </w:rPr>
              <w:t>21.3</w:t>
            </w:r>
          </w:p>
        </w:tc>
        <w:tc>
          <w:tcPr>
            <w:tcW w:w="1064" w:type="dxa"/>
            <w:vAlign w:val="center"/>
            <w:hideMark/>
          </w:tcPr>
          <w:p w14:paraId="7E25EFAB" w14:textId="77777777" w:rsidR="001473CD" w:rsidRPr="005B2032" w:rsidRDefault="001473CD">
            <w:pPr>
              <w:spacing w:after="0"/>
              <w:ind w:firstLineChars="100" w:firstLine="200"/>
              <w:jc w:val="center"/>
              <w:rPr>
                <w:sz w:val="20"/>
                <w:szCs w:val="20"/>
              </w:rPr>
            </w:pPr>
            <w:r w:rsidRPr="005B2032">
              <w:rPr>
                <w:sz w:val="20"/>
                <w:szCs w:val="20"/>
              </w:rPr>
              <w:t>-1.7</w:t>
            </w:r>
          </w:p>
        </w:tc>
        <w:tc>
          <w:tcPr>
            <w:tcW w:w="1064" w:type="dxa"/>
            <w:vAlign w:val="center"/>
            <w:hideMark/>
          </w:tcPr>
          <w:p w14:paraId="10688010" w14:textId="77777777" w:rsidR="001473CD" w:rsidRPr="005B2032" w:rsidRDefault="001473CD">
            <w:pPr>
              <w:spacing w:after="0"/>
              <w:ind w:firstLineChars="100" w:firstLine="200"/>
              <w:jc w:val="center"/>
              <w:rPr>
                <w:sz w:val="20"/>
                <w:szCs w:val="20"/>
              </w:rPr>
            </w:pPr>
            <w:r w:rsidRPr="005B2032">
              <w:rPr>
                <w:sz w:val="20"/>
                <w:szCs w:val="20"/>
              </w:rPr>
              <w:t>-2.1</w:t>
            </w:r>
          </w:p>
        </w:tc>
        <w:tc>
          <w:tcPr>
            <w:tcW w:w="1064" w:type="dxa"/>
            <w:vAlign w:val="center"/>
            <w:hideMark/>
          </w:tcPr>
          <w:p w14:paraId="1405B2EB" w14:textId="77777777" w:rsidR="001473CD" w:rsidRPr="005B2032" w:rsidRDefault="001473CD">
            <w:pPr>
              <w:spacing w:after="0"/>
              <w:ind w:firstLineChars="100" w:firstLine="200"/>
              <w:jc w:val="center"/>
              <w:rPr>
                <w:sz w:val="20"/>
                <w:szCs w:val="20"/>
              </w:rPr>
            </w:pPr>
            <w:r w:rsidRPr="005B2032">
              <w:rPr>
                <w:sz w:val="20"/>
                <w:szCs w:val="20"/>
              </w:rPr>
              <w:t>-2.7</w:t>
            </w:r>
          </w:p>
        </w:tc>
      </w:tr>
      <w:tr w:rsidR="005B2032" w:rsidRPr="005B2032" w14:paraId="0BBB9AD3" w14:textId="77777777" w:rsidTr="00E8359A">
        <w:trPr>
          <w:trHeight w:val="397"/>
          <w:jc w:val="center"/>
        </w:trPr>
        <w:tc>
          <w:tcPr>
            <w:tcW w:w="3683" w:type="dxa"/>
            <w:vAlign w:val="center"/>
            <w:hideMark/>
          </w:tcPr>
          <w:p w14:paraId="52AD0095" w14:textId="77777777" w:rsidR="001473CD" w:rsidRPr="005B2032" w:rsidRDefault="001473CD" w:rsidP="00606F56">
            <w:pPr>
              <w:spacing w:before="40" w:after="40"/>
              <w:jc w:val="left"/>
              <w:rPr>
                <w:bCs/>
                <w:sz w:val="20"/>
                <w:szCs w:val="20"/>
              </w:rPr>
            </w:pPr>
            <w:r w:rsidRPr="005B2032">
              <w:rPr>
                <w:rFonts w:eastAsia="Times New Roman"/>
                <w:sz w:val="20"/>
                <w:szCs w:val="20"/>
              </w:rPr>
              <w:t>EURIBOR 3м.</w:t>
            </w:r>
          </w:p>
        </w:tc>
        <w:tc>
          <w:tcPr>
            <w:tcW w:w="1134" w:type="dxa"/>
            <w:noWrap/>
            <w:vAlign w:val="center"/>
            <w:hideMark/>
          </w:tcPr>
          <w:p w14:paraId="51FC2F64" w14:textId="77777777" w:rsidR="001473CD" w:rsidRPr="005B2032" w:rsidRDefault="001473CD">
            <w:pPr>
              <w:spacing w:after="0"/>
              <w:ind w:firstLineChars="100" w:firstLine="200"/>
              <w:jc w:val="center"/>
              <w:rPr>
                <w:sz w:val="20"/>
                <w:szCs w:val="20"/>
              </w:rPr>
            </w:pPr>
            <w:r w:rsidRPr="005B2032">
              <w:rPr>
                <w:sz w:val="20"/>
                <w:szCs w:val="20"/>
              </w:rPr>
              <w:t>-0.5</w:t>
            </w:r>
          </w:p>
        </w:tc>
        <w:tc>
          <w:tcPr>
            <w:tcW w:w="993" w:type="dxa"/>
            <w:noWrap/>
            <w:vAlign w:val="center"/>
            <w:hideMark/>
          </w:tcPr>
          <w:p w14:paraId="52B2F24F" w14:textId="77777777" w:rsidR="001473CD" w:rsidRPr="005B2032" w:rsidRDefault="001473CD">
            <w:pPr>
              <w:spacing w:after="0"/>
              <w:ind w:firstLineChars="100" w:firstLine="200"/>
              <w:jc w:val="center"/>
              <w:rPr>
                <w:sz w:val="20"/>
                <w:szCs w:val="20"/>
              </w:rPr>
            </w:pPr>
            <w:r w:rsidRPr="005B2032">
              <w:rPr>
                <w:sz w:val="20"/>
                <w:szCs w:val="20"/>
              </w:rPr>
              <w:t>-0.2</w:t>
            </w:r>
          </w:p>
        </w:tc>
        <w:tc>
          <w:tcPr>
            <w:tcW w:w="1064" w:type="dxa"/>
            <w:vAlign w:val="center"/>
            <w:hideMark/>
          </w:tcPr>
          <w:p w14:paraId="36069884" w14:textId="77777777" w:rsidR="001473CD" w:rsidRPr="005B2032" w:rsidRDefault="001473CD">
            <w:pPr>
              <w:spacing w:after="0"/>
              <w:ind w:firstLineChars="100" w:firstLine="200"/>
              <w:jc w:val="center"/>
              <w:rPr>
                <w:sz w:val="20"/>
                <w:szCs w:val="20"/>
              </w:rPr>
            </w:pPr>
            <w:r w:rsidRPr="005B2032">
              <w:rPr>
                <w:sz w:val="20"/>
                <w:szCs w:val="20"/>
              </w:rPr>
              <w:t>0.8</w:t>
            </w:r>
          </w:p>
        </w:tc>
        <w:tc>
          <w:tcPr>
            <w:tcW w:w="1064" w:type="dxa"/>
            <w:vAlign w:val="center"/>
            <w:hideMark/>
          </w:tcPr>
          <w:p w14:paraId="3615D54C" w14:textId="77777777" w:rsidR="001473CD" w:rsidRPr="005B2032" w:rsidRDefault="001473CD">
            <w:pPr>
              <w:spacing w:after="0"/>
              <w:ind w:firstLineChars="100" w:firstLine="200"/>
              <w:jc w:val="center"/>
              <w:rPr>
                <w:sz w:val="20"/>
                <w:szCs w:val="20"/>
              </w:rPr>
            </w:pPr>
            <w:r w:rsidRPr="005B2032">
              <w:rPr>
                <w:sz w:val="20"/>
                <w:szCs w:val="20"/>
              </w:rPr>
              <w:t>1.1</w:t>
            </w:r>
          </w:p>
        </w:tc>
        <w:tc>
          <w:tcPr>
            <w:tcW w:w="1064" w:type="dxa"/>
            <w:vAlign w:val="center"/>
            <w:hideMark/>
          </w:tcPr>
          <w:p w14:paraId="7EA49A2D" w14:textId="77777777" w:rsidR="001473CD" w:rsidRPr="005B2032" w:rsidRDefault="001473CD">
            <w:pPr>
              <w:spacing w:after="0"/>
              <w:ind w:firstLineChars="100" w:firstLine="200"/>
              <w:jc w:val="center"/>
              <w:rPr>
                <w:sz w:val="20"/>
                <w:szCs w:val="20"/>
              </w:rPr>
            </w:pPr>
            <w:r w:rsidRPr="005B2032">
              <w:rPr>
                <w:sz w:val="20"/>
                <w:szCs w:val="20"/>
              </w:rPr>
              <w:t>1.1</w:t>
            </w:r>
          </w:p>
        </w:tc>
      </w:tr>
    </w:tbl>
    <w:p w14:paraId="372F487A" w14:textId="77777777" w:rsidR="001473CD" w:rsidRPr="005B2032" w:rsidRDefault="001473CD" w:rsidP="00CE1113">
      <w:pPr>
        <w:pStyle w:val="a"/>
      </w:pPr>
      <w:r w:rsidRPr="005B2032">
        <w:t>Източник: СБ, Евростат, Bloomberg, собствени изчисления</w:t>
      </w:r>
    </w:p>
    <w:p w14:paraId="2BFC3029" w14:textId="77777777" w:rsidR="001473CD" w:rsidRPr="005B2032" w:rsidRDefault="001473CD" w:rsidP="001473CD">
      <w:pPr>
        <w:rPr>
          <w:szCs w:val="24"/>
        </w:rPr>
      </w:pPr>
      <w:r w:rsidRPr="005B2032">
        <w:rPr>
          <w:szCs w:val="24"/>
        </w:rPr>
        <w:t xml:space="preserve">Въпреки положителните сигнали за развитието на европейската и световната икономика в началото на годината, инвазията на Руската федерация в Украйна влоши очакванията за икономическия растеж. </w:t>
      </w:r>
    </w:p>
    <w:p w14:paraId="0387B9A4" w14:textId="665CDF78" w:rsidR="00F85DC2" w:rsidRPr="005B2032" w:rsidRDefault="001473CD" w:rsidP="009A0FB9">
      <w:pPr>
        <w:rPr>
          <w:rFonts w:asciiTheme="minorHAnsi" w:eastAsiaTheme="minorHAnsi" w:hAnsiTheme="minorHAnsi" w:cstheme="minorHAnsi"/>
        </w:rPr>
      </w:pPr>
      <w:r w:rsidRPr="005B2032">
        <w:rPr>
          <w:szCs w:val="24"/>
        </w:rPr>
        <w:t xml:space="preserve">Представената макроикономическа прогноза е основана на допускането, че високата несигурност ще се запази през цялата година, като се очакват нарушения в международната търговия, но няма да се стига до съществено блокиране на дейността на икономически </w:t>
      </w:r>
      <w:r w:rsidRPr="005B2032">
        <w:rPr>
          <w:szCs w:val="24"/>
        </w:rPr>
        <w:lastRenderedPageBreak/>
        <w:t>сектори. В Европейския съюз ще се проявят преки ефекти, породени от по-ниското търсене и съответно износ към двете държави, и косвени, поради затруднения във вноса, които ще се отразят отрицателно на производствения процес. В допълнение, пониженото доверие на бизнеса и увеличената несигурност сред инвеститорите ще се отрази в цените на активите, ще ограничи финансовите потоци и инвестиционната дейност. Очаква се икономическият растеж в ЕС и света да се забави през 2022-2023</w:t>
      </w:r>
      <w:r w:rsidR="00DF07FD">
        <w:rPr>
          <w:szCs w:val="24"/>
        </w:rPr>
        <w:t> г.</w:t>
      </w:r>
      <w:r w:rsidR="006414F9" w:rsidRPr="005B2032">
        <w:rPr>
          <w:szCs w:val="24"/>
        </w:rPr>
        <w:t xml:space="preserve"> </w:t>
      </w:r>
      <w:r w:rsidRPr="005B2032">
        <w:rPr>
          <w:szCs w:val="24"/>
        </w:rPr>
        <w:t>и да клони към дългосрочните средни темпове в края на прогнозния хоризонт.</w:t>
      </w:r>
    </w:p>
    <w:p w14:paraId="059DA7ED" w14:textId="77777777" w:rsidR="00E07694" w:rsidRPr="004018C2" w:rsidRDefault="0004617A" w:rsidP="004018C2">
      <w:pPr>
        <w:pStyle w:val="Heading2"/>
      </w:pPr>
      <w:bookmarkStart w:id="46" w:name="_Toc100906064"/>
      <w:r w:rsidRPr="004018C2">
        <w:t>Икономически перспективи и циклично развитие</w:t>
      </w:r>
      <w:bookmarkEnd w:id="44"/>
      <w:bookmarkEnd w:id="45"/>
      <w:bookmarkEnd w:id="46"/>
    </w:p>
    <w:p w14:paraId="0C3FD6BD" w14:textId="77777777" w:rsidR="00013BCD" w:rsidRPr="004018C2" w:rsidRDefault="00013BCD" w:rsidP="004018C2">
      <w:pPr>
        <w:pStyle w:val="Heading3"/>
      </w:pPr>
      <w:r w:rsidRPr="004018C2">
        <w:t>Икономически растеж</w:t>
      </w:r>
    </w:p>
    <w:p w14:paraId="52052230" w14:textId="313962CB" w:rsidR="001473CD" w:rsidRPr="009548AE" w:rsidRDefault="001473CD" w:rsidP="009548AE">
      <w:pPr>
        <w:rPr>
          <w:szCs w:val="24"/>
        </w:rPr>
      </w:pPr>
      <w:r w:rsidRPr="009548AE">
        <w:rPr>
          <w:szCs w:val="24"/>
        </w:rPr>
        <w:t>През 202</w:t>
      </w:r>
      <w:r w:rsidRPr="009548AE">
        <w:rPr>
          <w:szCs w:val="24"/>
          <w:lang w:val="en-US"/>
        </w:rPr>
        <w:t>1</w:t>
      </w:r>
      <w:r w:rsidR="00DF07FD">
        <w:rPr>
          <w:szCs w:val="24"/>
        </w:rPr>
        <w:t> г.</w:t>
      </w:r>
      <w:r w:rsidRPr="009548AE">
        <w:rPr>
          <w:szCs w:val="24"/>
        </w:rPr>
        <w:t xml:space="preserve"> беше в ход икономическо възстановяване</w:t>
      </w:r>
      <w:r w:rsidRPr="009548AE">
        <w:rPr>
          <w:szCs w:val="24"/>
          <w:lang w:val="en-US"/>
        </w:rPr>
        <w:t xml:space="preserve"> </w:t>
      </w:r>
      <w:r w:rsidRPr="009548AE">
        <w:rPr>
          <w:szCs w:val="24"/>
        </w:rPr>
        <w:t>от кризата</w:t>
      </w:r>
      <w:r w:rsidR="006414F9" w:rsidRPr="009548AE">
        <w:rPr>
          <w:szCs w:val="24"/>
        </w:rPr>
        <w:t>,</w:t>
      </w:r>
      <w:r w:rsidRPr="009548AE">
        <w:rPr>
          <w:szCs w:val="24"/>
        </w:rPr>
        <w:t xml:space="preserve"> породена от COVID-19. Брутният вътрешен продукт на България отбеляза растеж от 4.2% и нивото му по постоянни цени достигна 99.6% от това от 2019</w:t>
      </w:r>
      <w:r w:rsidR="00DF07FD">
        <w:rPr>
          <w:szCs w:val="24"/>
        </w:rPr>
        <w:t> г.</w:t>
      </w:r>
      <w:r w:rsidRPr="009548AE">
        <w:rPr>
          <w:szCs w:val="24"/>
        </w:rPr>
        <w:t>, като и</w:t>
      </w:r>
      <w:r w:rsidR="006414F9" w:rsidRPr="009548AE">
        <w:rPr>
          <w:szCs w:val="24"/>
        </w:rPr>
        <w:t>нвестициите и износът</w:t>
      </w:r>
      <w:r w:rsidRPr="009548AE">
        <w:rPr>
          <w:szCs w:val="24"/>
        </w:rPr>
        <w:t xml:space="preserve"> на услуги бяха компонентите, които не достигнаха предкризисните си нива.</w:t>
      </w:r>
    </w:p>
    <w:p w14:paraId="29FD6C52" w14:textId="058D25AC" w:rsidR="001473CD" w:rsidRPr="009548AE" w:rsidRDefault="001473CD" w:rsidP="009548AE">
      <w:pPr>
        <w:rPr>
          <w:szCs w:val="24"/>
        </w:rPr>
      </w:pPr>
      <w:r w:rsidRPr="009548AE">
        <w:rPr>
          <w:szCs w:val="24"/>
        </w:rPr>
        <w:t>С основен принос за нарастването на БВП през годината бе крайното потребление. Растежът на частното потребление достигна 8%</w:t>
      </w:r>
      <w:r w:rsidR="006414F9" w:rsidRPr="009548AE">
        <w:rPr>
          <w:szCs w:val="24"/>
        </w:rPr>
        <w:t>,</w:t>
      </w:r>
      <w:r w:rsidRPr="009548AE">
        <w:rPr>
          <w:szCs w:val="24"/>
        </w:rPr>
        <w:t xml:space="preserve"> като бе подкрепен от по-високия </w:t>
      </w:r>
      <w:r w:rsidR="006414F9" w:rsidRPr="009548AE">
        <w:rPr>
          <w:szCs w:val="24"/>
        </w:rPr>
        <w:t>разполагаем</w:t>
      </w:r>
      <w:r w:rsidRPr="009548AE">
        <w:rPr>
          <w:szCs w:val="24"/>
        </w:rPr>
        <w:t xml:space="preserve"> доход на домакинствата, най-вече по линия на компенсация на наетите и пенсии. Правителственото потребление също допринесе за растежа на икономиката с нарастване от 4%. В същото време инвестициите в основен капитал намаляха с 11% като за този спад допринесоха както капиталовите разходи на правителството, така и слабата частна инвестиционна активност. Външният сектор имаше отрицателен принос за динамиката на БВП през 2021</w:t>
      </w:r>
      <w:r w:rsidR="00DF07FD">
        <w:rPr>
          <w:szCs w:val="24"/>
        </w:rPr>
        <w:t> г.</w:t>
      </w:r>
      <w:r w:rsidRPr="009548AE">
        <w:rPr>
          <w:szCs w:val="24"/>
        </w:rPr>
        <w:t xml:space="preserve"> Растежът на износа на стоки и услуги достигна 9.9%, но бе надминат от нарастването на вноса, което бе 12.2%.</w:t>
      </w:r>
    </w:p>
    <w:p w14:paraId="7A315A4E" w14:textId="576D51BF" w:rsidR="001473CD" w:rsidRPr="009548AE" w:rsidRDefault="001473CD" w:rsidP="009548AE">
      <w:pPr>
        <w:rPr>
          <w:szCs w:val="24"/>
        </w:rPr>
      </w:pPr>
      <w:r w:rsidRPr="009548AE">
        <w:rPr>
          <w:szCs w:val="24"/>
        </w:rPr>
        <w:t>От страна на предлагането брутната добавена стойност се повиши с 3.6% и остана с 1% под нивото от 2019</w:t>
      </w:r>
      <w:r w:rsidR="00DF07FD">
        <w:rPr>
          <w:szCs w:val="24"/>
        </w:rPr>
        <w:t> г.</w:t>
      </w:r>
      <w:r w:rsidRPr="009548AE">
        <w:rPr>
          <w:szCs w:val="24"/>
        </w:rPr>
        <w:t xml:space="preserve"> като както услугите, така и индустрията не се възстановиха до предкризисните си нива. Растежът през годината бе движен от секторите индустрия без строителство</w:t>
      </w:r>
      <w:r w:rsidRPr="009548AE">
        <w:rPr>
          <w:szCs w:val="24"/>
          <w:lang w:val="en-US"/>
        </w:rPr>
        <w:t xml:space="preserve"> (9</w:t>
      </w:r>
      <w:r w:rsidRPr="009548AE">
        <w:rPr>
          <w:szCs w:val="24"/>
        </w:rPr>
        <w:t>.4%</w:t>
      </w:r>
      <w:r w:rsidRPr="009548AE">
        <w:rPr>
          <w:szCs w:val="24"/>
          <w:lang w:val="en-US"/>
        </w:rPr>
        <w:t>)</w:t>
      </w:r>
      <w:r w:rsidRPr="009548AE">
        <w:rPr>
          <w:szCs w:val="24"/>
        </w:rPr>
        <w:t xml:space="preserve"> и услуги </w:t>
      </w:r>
      <w:r w:rsidRPr="009548AE">
        <w:rPr>
          <w:szCs w:val="24"/>
          <w:lang w:val="en-US"/>
        </w:rPr>
        <w:t>(2</w:t>
      </w:r>
      <w:r w:rsidRPr="009548AE">
        <w:rPr>
          <w:szCs w:val="24"/>
        </w:rPr>
        <w:t>.6%</w:t>
      </w:r>
      <w:r w:rsidRPr="009548AE">
        <w:rPr>
          <w:szCs w:val="24"/>
          <w:lang w:val="en-US"/>
        </w:rPr>
        <w:t>)</w:t>
      </w:r>
      <w:r w:rsidRPr="009548AE">
        <w:rPr>
          <w:szCs w:val="24"/>
        </w:rPr>
        <w:t xml:space="preserve"> и по-конкретно </w:t>
      </w:r>
      <w:r w:rsidRPr="009548AE">
        <w:rPr>
          <w:i/>
          <w:szCs w:val="24"/>
        </w:rPr>
        <w:t>държавно управление</w:t>
      </w:r>
      <w:r w:rsidRPr="009548AE">
        <w:rPr>
          <w:szCs w:val="24"/>
          <w:lang w:val="en-US"/>
        </w:rPr>
        <w:t>,</w:t>
      </w:r>
      <w:r w:rsidR="00BD2C3E">
        <w:rPr>
          <w:szCs w:val="24"/>
          <w:lang w:val="en-US"/>
        </w:rPr>
        <w:t xml:space="preserve"> </w:t>
      </w:r>
      <w:r w:rsidRPr="009548AE">
        <w:rPr>
          <w:i/>
          <w:szCs w:val="24"/>
        </w:rPr>
        <w:t>операции с недвижими имоти</w:t>
      </w:r>
      <w:r w:rsidRPr="009548AE">
        <w:rPr>
          <w:szCs w:val="24"/>
        </w:rPr>
        <w:t>,</w:t>
      </w:r>
      <w:r w:rsidR="00BD2C3E">
        <w:rPr>
          <w:szCs w:val="24"/>
        </w:rPr>
        <w:t xml:space="preserve"> </w:t>
      </w:r>
      <w:r w:rsidRPr="009548AE">
        <w:rPr>
          <w:i/>
          <w:szCs w:val="24"/>
        </w:rPr>
        <w:t>създаване и разпространение на информация</w:t>
      </w:r>
      <w:r w:rsidRPr="009548AE">
        <w:rPr>
          <w:szCs w:val="24"/>
        </w:rPr>
        <w:t>.</w:t>
      </w:r>
      <w:r w:rsidR="00BD2C3E">
        <w:rPr>
          <w:szCs w:val="24"/>
        </w:rPr>
        <w:t xml:space="preserve"> </w:t>
      </w:r>
      <w:r w:rsidRPr="009548AE">
        <w:rPr>
          <w:szCs w:val="24"/>
        </w:rPr>
        <w:t>В същото време при строителството бе отчетен спад на добавената стойност от 7.8%.</w:t>
      </w:r>
    </w:p>
    <w:p w14:paraId="0644D3FB" w14:textId="77777777" w:rsidR="00013BCD" w:rsidRPr="004018C2" w:rsidRDefault="00013BCD" w:rsidP="004018C2">
      <w:pPr>
        <w:pStyle w:val="Heading3"/>
      </w:pPr>
      <w:r w:rsidRPr="004018C2">
        <w:t>Циклично развитие</w:t>
      </w:r>
      <w:r w:rsidRPr="004018C2">
        <w:rPr>
          <w:vertAlign w:val="superscript"/>
        </w:rPr>
        <w:footnoteReference w:id="4"/>
      </w:r>
    </w:p>
    <w:p w14:paraId="4960CF6D" w14:textId="7D4A19BA" w:rsidR="001473CD" w:rsidRPr="009548AE" w:rsidRDefault="001473CD" w:rsidP="009548AE">
      <w:pPr>
        <w:rPr>
          <w:szCs w:val="24"/>
          <w:lang w:val="en-US"/>
        </w:rPr>
      </w:pPr>
      <w:r w:rsidRPr="009548AE">
        <w:rPr>
          <w:szCs w:val="24"/>
        </w:rPr>
        <w:t>Растежът на потенциалния БВП през 2021</w:t>
      </w:r>
      <w:r w:rsidR="00DF07FD">
        <w:rPr>
          <w:szCs w:val="24"/>
        </w:rPr>
        <w:t> г.</w:t>
      </w:r>
      <w:r w:rsidRPr="009548AE">
        <w:rPr>
          <w:szCs w:val="24"/>
        </w:rPr>
        <w:t xml:space="preserve"> е бил 1.8%, а отклонението от потенциала отрицателно в размер на 1%. </w:t>
      </w:r>
      <w:r w:rsidRPr="009548AE">
        <w:rPr>
          <w:rFonts w:eastAsia="Batang"/>
          <w:szCs w:val="24"/>
          <w:lang w:eastAsia="en-US"/>
        </w:rPr>
        <w:t>Очаква се нарастване на заетостта и повишение на инвестициите в средносрочен период, което ще доведе до ускорен растеж на потенциалния БВП и той ще достигне 2.8% в периода 2024</w:t>
      </w:r>
      <w:r w:rsidR="00966236">
        <w:rPr>
          <w:rFonts w:eastAsia="Batang"/>
          <w:szCs w:val="24"/>
          <w:lang w:eastAsia="en-US"/>
        </w:rPr>
        <w:t>–</w:t>
      </w:r>
      <w:r w:rsidRPr="009548AE">
        <w:rPr>
          <w:rFonts w:eastAsia="Batang"/>
          <w:szCs w:val="24"/>
          <w:lang w:eastAsia="en-US"/>
        </w:rPr>
        <w:t>2025</w:t>
      </w:r>
      <w:r w:rsidR="00DF07FD">
        <w:rPr>
          <w:rFonts w:eastAsia="Batang"/>
          <w:szCs w:val="24"/>
          <w:lang w:eastAsia="en-US"/>
        </w:rPr>
        <w:t> г.</w:t>
      </w:r>
      <w:r w:rsidRPr="009548AE">
        <w:rPr>
          <w:rFonts w:eastAsia="Batang"/>
          <w:szCs w:val="24"/>
          <w:lang w:eastAsia="en-US"/>
        </w:rPr>
        <w:t xml:space="preserve"> Общата факторна производителност (ОФП) ще бъде с най-голям принос за растежа следвана от капитала, докато положителният принос на труда ще намалее в края на периода поради неблагоприятното демографско развитие, което се явява и основен ограничител за увеличаване на трудовия ресурс</w:t>
      </w:r>
      <w:r w:rsidRPr="009548AE">
        <w:rPr>
          <w:rFonts w:eastAsia="Batang"/>
          <w:szCs w:val="24"/>
          <w:lang w:val="en-US" w:eastAsia="en-US"/>
        </w:rPr>
        <w:t>.</w:t>
      </w:r>
    </w:p>
    <w:p w14:paraId="2202728C" w14:textId="6785A594" w:rsidR="001473CD" w:rsidRPr="009548AE" w:rsidRDefault="001473CD" w:rsidP="009548AE">
      <w:pPr>
        <w:rPr>
          <w:szCs w:val="24"/>
        </w:rPr>
      </w:pPr>
      <w:r w:rsidRPr="009548AE">
        <w:rPr>
          <w:szCs w:val="24"/>
        </w:rPr>
        <w:t>Отклонението от потенциала ще се свие до -</w:t>
      </w:r>
      <w:r w:rsidRPr="009548AE">
        <w:rPr>
          <w:szCs w:val="24"/>
          <w:lang w:val="en-US"/>
        </w:rPr>
        <w:t>0.5</w:t>
      </w:r>
      <w:r w:rsidRPr="009548AE">
        <w:rPr>
          <w:szCs w:val="24"/>
        </w:rPr>
        <w:t>% през 202</w:t>
      </w:r>
      <w:r w:rsidRPr="009548AE">
        <w:rPr>
          <w:szCs w:val="24"/>
          <w:lang w:val="en-US"/>
        </w:rPr>
        <w:t>2</w:t>
      </w:r>
      <w:r w:rsidR="00DF07FD">
        <w:rPr>
          <w:szCs w:val="24"/>
        </w:rPr>
        <w:t> г.</w:t>
      </w:r>
      <w:r w:rsidRPr="009548AE">
        <w:rPr>
          <w:szCs w:val="24"/>
        </w:rPr>
        <w:t xml:space="preserve"> и -0.</w:t>
      </w:r>
      <w:r w:rsidRPr="009548AE">
        <w:rPr>
          <w:szCs w:val="24"/>
          <w:lang w:val="en-US"/>
        </w:rPr>
        <w:t>3</w:t>
      </w:r>
      <w:r w:rsidRPr="009548AE">
        <w:rPr>
          <w:szCs w:val="24"/>
        </w:rPr>
        <w:t>% през 202</w:t>
      </w:r>
      <w:r w:rsidRPr="009548AE">
        <w:rPr>
          <w:szCs w:val="24"/>
          <w:lang w:val="en-US"/>
        </w:rPr>
        <w:t>3</w:t>
      </w:r>
      <w:r w:rsidR="00DF07FD">
        <w:rPr>
          <w:szCs w:val="24"/>
        </w:rPr>
        <w:t> г.</w:t>
      </w:r>
      <w:r w:rsidRPr="009548AE">
        <w:rPr>
          <w:szCs w:val="24"/>
        </w:rPr>
        <w:t xml:space="preserve"> В края на прогнозния период 2024</w:t>
      </w:r>
      <w:r w:rsidR="00966236" w:rsidRPr="00CB0CA8">
        <w:rPr>
          <w:rFonts w:asciiTheme="minorHAnsi" w:hAnsiTheme="minorHAnsi" w:cstheme="minorHAnsi"/>
          <w:lang w:val="en-US"/>
        </w:rPr>
        <w:t>–</w:t>
      </w:r>
      <w:r w:rsidRPr="009548AE">
        <w:rPr>
          <w:szCs w:val="24"/>
        </w:rPr>
        <w:t>2025</w:t>
      </w:r>
      <w:r w:rsidR="00DF07FD">
        <w:rPr>
          <w:szCs w:val="24"/>
        </w:rPr>
        <w:t> г.</w:t>
      </w:r>
      <w:r w:rsidRPr="009548AE">
        <w:rPr>
          <w:szCs w:val="24"/>
        </w:rPr>
        <w:t xml:space="preserve"> отклонението ще бъде положително.</w:t>
      </w:r>
      <w:r w:rsidR="00BD2C3E">
        <w:rPr>
          <w:szCs w:val="24"/>
        </w:rPr>
        <w:t xml:space="preserve"> </w:t>
      </w:r>
    </w:p>
    <w:p w14:paraId="6C8C9126" w14:textId="77777777" w:rsidR="0004617A" w:rsidRPr="004018C2" w:rsidRDefault="0004617A" w:rsidP="004018C2">
      <w:pPr>
        <w:pStyle w:val="Heading2"/>
      </w:pPr>
      <w:bookmarkStart w:id="47" w:name="_Toc448227264"/>
      <w:bookmarkStart w:id="48" w:name="_Toc479332412"/>
      <w:bookmarkStart w:id="49" w:name="_Toc100906065"/>
      <w:r w:rsidRPr="004018C2">
        <w:lastRenderedPageBreak/>
        <w:t>Средносрочен сценарий</w:t>
      </w:r>
      <w:bookmarkEnd w:id="47"/>
      <w:bookmarkEnd w:id="48"/>
      <w:bookmarkEnd w:id="49"/>
    </w:p>
    <w:p w14:paraId="06CA021C" w14:textId="7D4962EB" w:rsidR="001473CD" w:rsidRPr="009548AE" w:rsidRDefault="001473CD" w:rsidP="009548AE">
      <w:pPr>
        <w:tabs>
          <w:tab w:val="left" w:pos="0"/>
        </w:tabs>
        <w:rPr>
          <w:szCs w:val="24"/>
        </w:rPr>
      </w:pPr>
      <w:bookmarkStart w:id="50" w:name="_Toc448227265"/>
      <w:bookmarkStart w:id="51" w:name="_Toc479332413"/>
      <w:r w:rsidRPr="009548AE">
        <w:rPr>
          <w:szCs w:val="24"/>
        </w:rPr>
        <w:t>Очаква се през 2022</w:t>
      </w:r>
      <w:r w:rsidR="00DF07FD">
        <w:rPr>
          <w:szCs w:val="24"/>
        </w:rPr>
        <w:t> г.</w:t>
      </w:r>
      <w:r w:rsidRPr="009548AE">
        <w:rPr>
          <w:szCs w:val="24"/>
        </w:rPr>
        <w:t xml:space="preserve"> растежът на БВП на България да възлезе на 2.6%. Повишението на инфлацията ограничава реалния разполагаем доход на домакинствата и покупателната им способност, в резултат се очаква забавяне на растежа на потреблението на домакинствата до 2.4%. Повишената несигурност, по-високите производствени разходи, нарушените доставки и по-слабото външно търсене се очаква да се отразят и в отлагане на инвестиционни планове. В същото време се очаква публичните капиталови разходи да подкрепят нарастването на инвестициите в основен капитал, което се прогнозира да достигне 7.6%. От страна на публичното потребление също се прогнозира положителен принос за растежа на БВП. По-умереното търсене от основни търговски партньори на България, съчетано със силно ограничения износ към Руската федерация и Украйна</w:t>
      </w:r>
      <w:r w:rsidR="006414F9" w:rsidRPr="009548AE">
        <w:rPr>
          <w:szCs w:val="24"/>
        </w:rPr>
        <w:t>,</w:t>
      </w:r>
      <w:r w:rsidRPr="009548AE">
        <w:rPr>
          <w:szCs w:val="24"/>
        </w:rPr>
        <w:t xml:space="preserve"> ще се отрази в забавяне на темпа на износа на стоки от България през 2022</w:t>
      </w:r>
      <w:r w:rsidR="00DF07FD">
        <w:rPr>
          <w:szCs w:val="24"/>
        </w:rPr>
        <w:t> г.</w:t>
      </w:r>
      <w:r w:rsidRPr="009548AE">
        <w:rPr>
          <w:szCs w:val="24"/>
        </w:rPr>
        <w:t xml:space="preserve"> (3.1%).</w:t>
      </w:r>
      <w:r w:rsidR="00BD2C3E">
        <w:rPr>
          <w:szCs w:val="24"/>
        </w:rPr>
        <w:t xml:space="preserve"> </w:t>
      </w:r>
      <w:r w:rsidRPr="009548AE">
        <w:rPr>
          <w:szCs w:val="24"/>
        </w:rPr>
        <w:t>Приносът на нетния износ към растежа на БВП ще е отрицателен.</w:t>
      </w:r>
    </w:p>
    <w:p w14:paraId="0EBF904A" w14:textId="0DD7DDE7" w:rsidR="001473CD" w:rsidRPr="00CE1113" w:rsidRDefault="001473CD" w:rsidP="00CE1113">
      <w:pPr>
        <w:pStyle w:val="Caption"/>
      </w:pPr>
      <w:r w:rsidRPr="00CE1113">
        <w:t xml:space="preserve">Граф. </w:t>
      </w:r>
      <w:fldSimple w:instr=" STYLEREF 1 \s ">
        <w:r w:rsidR="004C3B04">
          <w:rPr>
            <w:noProof/>
          </w:rPr>
          <w:t>2</w:t>
        </w:r>
      </w:fldSimple>
      <w:r w:rsidRPr="00CE1113">
        <w:noBreakHyphen/>
        <w:t>1: Приноси по компоненти към растежа на БВП (пр.п.)</w:t>
      </w:r>
      <w:r w:rsidR="003530F4" w:rsidRPr="003530F4">
        <w:rPr>
          <w:b w:val="0"/>
          <w:bCs w:val="0"/>
          <w:noProof/>
          <w:color w:val="auto"/>
          <w:sz w:val="24"/>
          <w:szCs w:val="22"/>
        </w:rPr>
        <w:t xml:space="preserve"> </w:t>
      </w:r>
    </w:p>
    <w:p w14:paraId="660F2F7D" w14:textId="356F3997" w:rsidR="001473CD" w:rsidRPr="005B2032" w:rsidRDefault="00E8359A" w:rsidP="00AA5561">
      <w:pPr>
        <w:spacing w:after="0"/>
      </w:pPr>
      <w:r>
        <w:rPr>
          <w:noProof/>
        </w:rPr>
        <mc:AlternateContent>
          <mc:Choice Requires="wps">
            <w:drawing>
              <wp:anchor distT="0" distB="0" distL="114300" distR="114300" simplePos="0" relativeHeight="251678720" behindDoc="0" locked="0" layoutInCell="1" allowOverlap="1" wp14:anchorId="30519692" wp14:editId="3A3420ED">
                <wp:simplePos x="0" y="0"/>
                <wp:positionH relativeFrom="column">
                  <wp:posOffset>4258739</wp:posOffset>
                </wp:positionH>
                <wp:positionV relativeFrom="paragraph">
                  <wp:posOffset>1967865</wp:posOffset>
                </wp:positionV>
                <wp:extent cx="93345" cy="71755"/>
                <wp:effectExtent l="0" t="0" r="1905" b="4445"/>
                <wp:wrapNone/>
                <wp:docPr id="24" name="Oval 24"/>
                <wp:cNvGraphicFramePr/>
                <a:graphic xmlns:a="http://schemas.openxmlformats.org/drawingml/2006/main">
                  <a:graphicData uri="http://schemas.microsoft.com/office/word/2010/wordprocessingShape">
                    <wps:wsp>
                      <wps:cNvSpPr/>
                      <wps:spPr>
                        <a:xfrm>
                          <a:off x="0" y="0"/>
                          <a:ext cx="93345" cy="71755"/>
                        </a:xfrm>
                        <a:prstGeom prst="ellipse">
                          <a:avLst/>
                        </a:prstGeom>
                        <a:solidFill>
                          <a:sysClr val="window" lastClr="FFFFFF"/>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336638" id="Oval 24" o:spid="_x0000_s1026" style="position:absolute;margin-left:335.35pt;margin-top:154.95pt;width:7.35pt;height:5.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" fillcolor="window" stroked="f" strokeweight="1.25pt"/>
            </w:pict>
          </mc:Fallback>
        </mc:AlternateContent>
      </w:r>
      <w:r w:rsidR="009A3730">
        <w:rPr>
          <w:noProof/>
        </w:rPr>
        <mc:AlternateContent>
          <mc:Choice Requires="wps">
            <w:drawing>
              <wp:anchor distT="0" distB="0" distL="114300" distR="114300" simplePos="0" relativeHeight="251672576" behindDoc="0" locked="0" layoutInCell="1" allowOverlap="1" wp14:anchorId="60F1FA8C" wp14:editId="07012150">
                <wp:simplePos x="0" y="0"/>
                <wp:positionH relativeFrom="column">
                  <wp:posOffset>3667760</wp:posOffset>
                </wp:positionH>
                <wp:positionV relativeFrom="paragraph">
                  <wp:posOffset>1957705</wp:posOffset>
                </wp:positionV>
                <wp:extent cx="93345" cy="71755"/>
                <wp:effectExtent l="0" t="0" r="1905" b="4445"/>
                <wp:wrapNone/>
                <wp:docPr id="2" name="Oval 2"/>
                <wp:cNvGraphicFramePr/>
                <a:graphic xmlns:a="http://schemas.openxmlformats.org/drawingml/2006/main">
                  <a:graphicData uri="http://schemas.microsoft.com/office/word/2010/wordprocessingShape">
                    <wps:wsp>
                      <wps:cNvSpPr/>
                      <wps:spPr>
                        <a:xfrm>
                          <a:off x="0" y="0"/>
                          <a:ext cx="93345" cy="7175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D0AFC3" id="Oval 2" o:spid="_x0000_s1026" style="position:absolute;margin-left:288.8pt;margin-top:154.15pt;width:7.35pt;height:5.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" fillcolor="white [3212]" stroked="f" strokeweight="1.25pt"/>
            </w:pict>
          </mc:Fallback>
        </mc:AlternateContent>
      </w:r>
      <w:r w:rsidR="009A3730">
        <w:rPr>
          <w:noProof/>
        </w:rPr>
        <mc:AlternateContent>
          <mc:Choice Requires="wps">
            <w:drawing>
              <wp:anchor distT="0" distB="0" distL="114300" distR="114300" simplePos="0" relativeHeight="251676672" behindDoc="0" locked="0" layoutInCell="1" allowOverlap="1" wp14:anchorId="4109B303" wp14:editId="52502BE5">
                <wp:simplePos x="0" y="0"/>
                <wp:positionH relativeFrom="column">
                  <wp:posOffset>4862599</wp:posOffset>
                </wp:positionH>
                <wp:positionV relativeFrom="paragraph">
                  <wp:posOffset>1956435</wp:posOffset>
                </wp:positionV>
                <wp:extent cx="93785" cy="72190"/>
                <wp:effectExtent l="0" t="0" r="1905" b="4445"/>
                <wp:wrapNone/>
                <wp:docPr id="19" name="Oval 19"/>
                <wp:cNvGraphicFramePr/>
                <a:graphic xmlns:a="http://schemas.openxmlformats.org/drawingml/2006/main">
                  <a:graphicData uri="http://schemas.microsoft.com/office/word/2010/wordprocessingShape">
                    <wps:wsp>
                      <wps:cNvSpPr/>
                      <wps:spPr>
                        <a:xfrm>
                          <a:off x="0" y="0"/>
                          <a:ext cx="93785" cy="72190"/>
                        </a:xfrm>
                        <a:prstGeom prst="ellipse">
                          <a:avLst/>
                        </a:prstGeom>
                        <a:solidFill>
                          <a:sysClr val="window" lastClr="FFFFFF"/>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A51B7E" id="Oval 19" o:spid="_x0000_s1026" style="position:absolute;margin-left:382.9pt;margin-top:154.05pt;width:7.4pt;height:5.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" fillcolor="window" stroked="f" strokeweight="1.25pt"/>
            </w:pict>
          </mc:Fallback>
        </mc:AlternateContent>
      </w:r>
      <w:r w:rsidR="009A3730">
        <w:rPr>
          <w:noProof/>
        </w:rPr>
        <mc:AlternateContent>
          <mc:Choice Requires="wps">
            <w:drawing>
              <wp:anchor distT="0" distB="0" distL="114300" distR="114300" simplePos="0" relativeHeight="251674624" behindDoc="0" locked="0" layoutInCell="1" allowOverlap="1" wp14:anchorId="1A7058CC" wp14:editId="679E5B23">
                <wp:simplePos x="0" y="0"/>
                <wp:positionH relativeFrom="column">
                  <wp:posOffset>5454015</wp:posOffset>
                </wp:positionH>
                <wp:positionV relativeFrom="paragraph">
                  <wp:posOffset>1958340</wp:posOffset>
                </wp:positionV>
                <wp:extent cx="93345" cy="71755"/>
                <wp:effectExtent l="0" t="0" r="1905" b="4445"/>
                <wp:wrapNone/>
                <wp:docPr id="13" name="Oval 13"/>
                <wp:cNvGraphicFramePr/>
                <a:graphic xmlns:a="http://schemas.openxmlformats.org/drawingml/2006/main">
                  <a:graphicData uri="http://schemas.microsoft.com/office/word/2010/wordprocessingShape">
                    <wps:wsp>
                      <wps:cNvSpPr/>
                      <wps:spPr>
                        <a:xfrm>
                          <a:off x="0" y="0"/>
                          <a:ext cx="93345" cy="71755"/>
                        </a:xfrm>
                        <a:prstGeom prst="ellipse">
                          <a:avLst/>
                        </a:prstGeom>
                        <a:solidFill>
                          <a:sysClr val="window" lastClr="FFFFFF"/>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EF83C0" id="Oval 13" o:spid="_x0000_s1026" style="position:absolute;margin-left:429.45pt;margin-top:154.2pt;width:7.35pt;height:5.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" fillcolor="window" stroked="f" strokeweight="1.25pt"/>
            </w:pict>
          </mc:Fallback>
        </mc:AlternateContent>
      </w:r>
      <w:r w:rsidR="008C5AB1" w:rsidRPr="002E7603">
        <w:rPr>
          <w:noProof/>
        </w:rPr>
        <mc:AlternateContent>
          <mc:Choice Requires="wps">
            <w:drawing>
              <wp:anchor distT="0" distB="0" distL="114300" distR="114300" simplePos="0" relativeHeight="251665408" behindDoc="1" locked="0" layoutInCell="1" allowOverlap="1" wp14:anchorId="57E5E4C5" wp14:editId="5B4501F2">
                <wp:simplePos x="0" y="0"/>
                <wp:positionH relativeFrom="column">
                  <wp:posOffset>3265170</wp:posOffset>
                </wp:positionH>
                <wp:positionV relativeFrom="paragraph">
                  <wp:posOffset>64135</wp:posOffset>
                </wp:positionV>
                <wp:extent cx="2407285" cy="1807029"/>
                <wp:effectExtent l="0" t="0" r="0" b="3175"/>
                <wp:wrapNone/>
                <wp:docPr id="18" name="Rectangle 1"/>
                <wp:cNvGraphicFramePr/>
                <a:graphic xmlns:a="http://schemas.openxmlformats.org/drawingml/2006/main">
                  <a:graphicData uri="http://schemas.microsoft.com/office/word/2010/wordprocessingShape">
                    <wps:wsp>
                      <wps:cNvSpPr/>
                      <wps:spPr>
                        <a:xfrm>
                          <a:off x="0" y="0"/>
                          <a:ext cx="2407285" cy="1807029"/>
                        </a:xfrm>
                        <a:prstGeom prst="rect">
                          <a:avLst/>
                        </a:prstGeom>
                        <a:solidFill>
                          <a:srgbClr val="D7D4F1">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9627F8" w14:textId="77777777" w:rsidR="00C47B43" w:rsidRPr="002E7603" w:rsidRDefault="00C47B43" w:rsidP="003530F4">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wps:txbx>
                      <wps:bodyPr wrap="square" lIns="0" tIns="36000" rIns="0">
                        <a:noAutofit/>
                      </wps:bodyPr>
                    </wps:wsp>
                  </a:graphicData>
                </a:graphic>
                <wp14:sizeRelH relativeFrom="margin">
                  <wp14:pctWidth>0</wp14:pctWidth>
                </wp14:sizeRelH>
                <wp14:sizeRelV relativeFrom="margin">
                  <wp14:pctHeight>0</wp14:pctHeight>
                </wp14:sizeRelV>
              </wp:anchor>
            </w:drawing>
          </mc:Choice>
          <mc:Fallback>
            <w:pict>
              <v:rect w14:anchorId="57E5E4C5" id="Rectangle 1" o:spid="_x0000_s1028" style="position:absolute;left:0;text-align:left;margin-left:257.1pt;margin-top:5.05pt;width:189.55pt;height:142.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" fillcolor="#d7d4f1" stroked="f" strokeweight="1.25pt">
                <v:fill opacity="32896f"/>
                <v:textbox inset="0,1mm,0">
                  <w:txbxContent>
                    <w:p w14:paraId="719627F8" w14:textId="77777777" w:rsidR="00C47B43" w:rsidRPr="002E7603" w:rsidRDefault="00C47B43" w:rsidP="003530F4">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v:textbox>
              </v:rect>
            </w:pict>
          </mc:Fallback>
        </mc:AlternateContent>
      </w:r>
      <w:r w:rsidR="001473CD" w:rsidRPr="005B2032">
        <w:rPr>
          <w:noProof/>
        </w:rPr>
        <w:drawing>
          <wp:inline distT="0" distB="0" distL="0" distR="0" wp14:anchorId="27D3E377" wp14:editId="0F1C0759">
            <wp:extent cx="5760000" cy="25200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F9DA89F" w14:textId="77777777" w:rsidR="001473CD" w:rsidRPr="005B2032" w:rsidRDefault="001473CD" w:rsidP="00CE1113">
      <w:pPr>
        <w:pStyle w:val="a"/>
      </w:pPr>
      <w:r w:rsidRPr="005B2032">
        <w:t>Източник: НСИ, МФ</w:t>
      </w:r>
    </w:p>
    <w:p w14:paraId="0E5AD047" w14:textId="11300C72" w:rsidR="001473CD" w:rsidRPr="005B2032" w:rsidRDefault="001473CD" w:rsidP="004018C2">
      <w:r w:rsidRPr="005B2032">
        <w:t>През 2023</w:t>
      </w:r>
      <w:r w:rsidR="00DF07FD">
        <w:t> г.</w:t>
      </w:r>
      <w:r w:rsidRPr="005B2032">
        <w:t xml:space="preserve"> се очаква по-високо нарастване на вътрешното търсене</w:t>
      </w:r>
      <w:r w:rsidR="00BD2C3E">
        <w:t xml:space="preserve"> </w:t>
      </w:r>
      <w:r w:rsidRPr="005B2032">
        <w:t>и, съответно, растеж на БВП от 2.8%. Повишението на доходите в съчетание с отслабването на инфлационния натиск ще стимулира нарастването на потреблението. Очаква се леко ускорение на износа на стоки, но темпът ще остане умерен в условия на все още слабо нарастване на външното търсене. Износът на услуги ще е повлиян в по-голяма степен от изчерпването на еднократния положителен ефект по линия на влезлите в страната бежанци, и в по-малка</w:t>
      </w:r>
      <w:r w:rsidR="00DF07FD">
        <w:t xml:space="preserve"> – </w:t>
      </w:r>
      <w:r w:rsidRPr="005B2032">
        <w:t>от постепенно възстановяване на международните пътувания. Това ще се отрази в по-нисък растеж на износа на услуги. Приносът на нетния износ към БВП ще остане отрицателен (1.5 </w:t>
      </w:r>
      <w:r w:rsidR="00935A2F">
        <w:rPr>
          <w:szCs w:val="24"/>
        </w:rPr>
        <w:t>процентни пункта (</w:t>
      </w:r>
      <w:r w:rsidRPr="005B2032">
        <w:t>пр.п.</w:t>
      </w:r>
      <w:r w:rsidR="00935A2F">
        <w:rPr>
          <w:lang w:val="en-US"/>
        </w:rPr>
        <w:t>)</w:t>
      </w:r>
      <w:r w:rsidRPr="005B2032">
        <w:t xml:space="preserve">). </w:t>
      </w:r>
    </w:p>
    <w:p w14:paraId="4566F9A2" w14:textId="2440D99C" w:rsidR="00013BCD" w:rsidRPr="005B2032" w:rsidRDefault="001473CD" w:rsidP="007B1D84">
      <w:pPr>
        <w:rPr>
          <w:rFonts w:asciiTheme="minorHAnsi" w:hAnsiTheme="minorHAnsi" w:cstheme="minorHAnsi"/>
          <w:lang w:val="en-US"/>
        </w:rPr>
      </w:pPr>
      <w:r w:rsidRPr="005B2032">
        <w:rPr>
          <w:szCs w:val="24"/>
        </w:rPr>
        <w:t>През 2024 и 2025</w:t>
      </w:r>
      <w:r w:rsidR="00DF07FD">
        <w:rPr>
          <w:szCs w:val="24"/>
        </w:rPr>
        <w:t> г.</w:t>
      </w:r>
      <w:r w:rsidRPr="005B2032">
        <w:rPr>
          <w:szCs w:val="24"/>
        </w:rPr>
        <w:t xml:space="preserve"> растежът на БВП ще бъде съответно 3.6 и 3.4%. Потреблението на домакинствата ще нараства, подкрепено от намалението на безработицата и стабилния растеж на доходите. Повишението на търсенето ще се отрази положително и на инвестиционната активност.</w:t>
      </w:r>
      <w:r w:rsidRPr="005B2032">
        <w:t xml:space="preserve"> </w:t>
      </w:r>
      <w:r w:rsidRPr="005B2032">
        <w:rPr>
          <w:szCs w:val="24"/>
        </w:rPr>
        <w:t>С постепенното преодоляване на последиците от военния конфликт и възстановяването на външната среда общият растеж на износа ще нараства в края на прогнозния период. Отразявайки възстановяването на вътрешното търсене, темпът на вноса ще продължи да изпреварва износа и приносът на нетния износ към БВП ще е отрицателен.</w:t>
      </w:r>
      <w:r w:rsidR="00013BCD" w:rsidRPr="005B2032">
        <w:rPr>
          <w:rFonts w:asciiTheme="minorHAnsi" w:hAnsiTheme="minorHAnsi" w:cstheme="minorHAnsi"/>
        </w:rPr>
        <w:t xml:space="preserve"> </w:t>
      </w:r>
    </w:p>
    <w:p w14:paraId="1A839AA3" w14:textId="77777777" w:rsidR="0004617A" w:rsidRPr="004018C2" w:rsidRDefault="0004617A" w:rsidP="004018C2">
      <w:pPr>
        <w:pStyle w:val="Heading2"/>
      </w:pPr>
      <w:bookmarkStart w:id="52" w:name="_Toc100906066"/>
      <w:r w:rsidRPr="004018C2">
        <w:lastRenderedPageBreak/>
        <w:t>Секторни баланси</w:t>
      </w:r>
      <w:bookmarkEnd w:id="50"/>
      <w:bookmarkEnd w:id="51"/>
      <w:bookmarkEnd w:id="52"/>
    </w:p>
    <w:p w14:paraId="45D03070" w14:textId="77777777" w:rsidR="00B01F8E" w:rsidRPr="004018C2" w:rsidRDefault="002F3E21" w:rsidP="004018C2">
      <w:pPr>
        <w:pStyle w:val="Heading3"/>
      </w:pPr>
      <w:r w:rsidRPr="004018C2">
        <w:t>Пазар на труда, доходи и производителност</w:t>
      </w:r>
    </w:p>
    <w:p w14:paraId="6D406971" w14:textId="7B3AE032" w:rsidR="001473CD" w:rsidRPr="005B2032" w:rsidRDefault="001473CD" w:rsidP="009548AE">
      <w:pPr>
        <w:rPr>
          <w:szCs w:val="24"/>
        </w:rPr>
      </w:pPr>
      <w:r w:rsidRPr="005B2032">
        <w:rPr>
          <w:szCs w:val="24"/>
        </w:rPr>
        <w:t>През 2021</w:t>
      </w:r>
      <w:r w:rsidR="00DF07FD">
        <w:rPr>
          <w:szCs w:val="24"/>
        </w:rPr>
        <w:t> г.</w:t>
      </w:r>
      <w:r w:rsidRPr="005B2032">
        <w:rPr>
          <w:szCs w:val="24"/>
        </w:rPr>
        <w:t xml:space="preserve"> заетостта в българската икономика преустанови процеса на намаление, регистриран през 2020</w:t>
      </w:r>
      <w:r w:rsidR="00DF07FD">
        <w:rPr>
          <w:szCs w:val="24"/>
        </w:rPr>
        <w:t> г.</w:t>
      </w:r>
      <w:r w:rsidRPr="005B2032">
        <w:rPr>
          <w:szCs w:val="24"/>
        </w:rPr>
        <w:t xml:space="preserve"> в резултат от ограниченията на някои икономически сектори с цел ограничаване разпространението на COVID-19. Средногодишният брой заети за 2021</w:t>
      </w:r>
      <w:r w:rsidR="00DF07FD">
        <w:rPr>
          <w:szCs w:val="24"/>
        </w:rPr>
        <w:t> г.</w:t>
      </w:r>
      <w:r w:rsidRPr="005B2032">
        <w:rPr>
          <w:szCs w:val="24"/>
        </w:rPr>
        <w:t xml:space="preserve"> е 3458,4 хил. души и практически се запазва на рав</w:t>
      </w:r>
      <w:r w:rsidR="009B1D27" w:rsidRPr="005B2032">
        <w:rPr>
          <w:szCs w:val="24"/>
        </w:rPr>
        <w:t>нището си от 2020</w:t>
      </w:r>
      <w:r w:rsidR="00DF07FD">
        <w:rPr>
          <w:szCs w:val="24"/>
        </w:rPr>
        <w:t> г.</w:t>
      </w:r>
      <w:r w:rsidR="009B1D27" w:rsidRPr="005B2032">
        <w:rPr>
          <w:szCs w:val="24"/>
        </w:rPr>
        <w:t xml:space="preserve"> (ръст от 0.</w:t>
      </w:r>
      <w:r w:rsidRPr="005B2032">
        <w:rPr>
          <w:szCs w:val="24"/>
        </w:rPr>
        <w:t>2%). Почти всички икономически сектори регистрират ръст на заетите лица с изключение на аграрния сектор и „Операции с недвижимо имущество“, въпреки че и в двата случая се отбелязват високи ръстове на реалната БДС. Най-висок ръст се наблюдава в сектора „Създаване и разпространение на информация и творческ</w:t>
      </w:r>
      <w:r w:rsidR="009B1D27" w:rsidRPr="005B2032">
        <w:rPr>
          <w:szCs w:val="24"/>
        </w:rPr>
        <w:t>и продукти; далекосъобщения“ (8.</w:t>
      </w:r>
      <w:r w:rsidRPr="005B2032">
        <w:rPr>
          <w:szCs w:val="24"/>
        </w:rPr>
        <w:t xml:space="preserve">8%), като това е икономическият сектор, където динамиката на заетостта не бе повлияна негативно от влошената епидемиологична обстановка през последните две години. </w:t>
      </w:r>
    </w:p>
    <w:p w14:paraId="5B19F2AF" w14:textId="5647FB15" w:rsidR="001473CD" w:rsidRDefault="001473CD" w:rsidP="009548AE">
      <w:pPr>
        <w:rPr>
          <w:szCs w:val="24"/>
        </w:rPr>
      </w:pPr>
      <w:r w:rsidRPr="005B2032">
        <w:rPr>
          <w:szCs w:val="24"/>
        </w:rPr>
        <w:t>Друг фактор, който повлия върху динамиката на заетостта в страната през 2021</w:t>
      </w:r>
      <w:r w:rsidR="00DF07FD">
        <w:rPr>
          <w:szCs w:val="24"/>
        </w:rPr>
        <w:t> г.</w:t>
      </w:r>
      <w:r w:rsidRPr="005B2032">
        <w:rPr>
          <w:szCs w:val="24"/>
        </w:rPr>
        <w:t xml:space="preserve"> бяха краткосрочните правителствени мерки за запазване на заетостта и особено най-мащабната от тях, т.н. програма „60/40“. Програмата бе активна през цялата 2021</w:t>
      </w:r>
      <w:r w:rsidR="00DF07FD">
        <w:rPr>
          <w:szCs w:val="24"/>
        </w:rPr>
        <w:t> г.</w:t>
      </w:r>
      <w:r w:rsidRPr="005B2032">
        <w:rPr>
          <w:szCs w:val="24"/>
        </w:rPr>
        <w:t xml:space="preserve"> (нейното действие е продължено до средата на 2022</w:t>
      </w:r>
      <w:r w:rsidR="00DF07FD">
        <w:rPr>
          <w:szCs w:val="24"/>
        </w:rPr>
        <w:t> г.</w:t>
      </w:r>
      <w:r w:rsidRPr="005B2032">
        <w:rPr>
          <w:szCs w:val="24"/>
        </w:rPr>
        <w:t xml:space="preserve">) и по нея са изплатени около </w:t>
      </w:r>
      <w:r w:rsidR="00304828">
        <w:rPr>
          <w:szCs w:val="24"/>
        </w:rPr>
        <w:t>823</w:t>
      </w:r>
      <w:r w:rsidRPr="005B2032">
        <w:rPr>
          <w:szCs w:val="24"/>
        </w:rPr>
        <w:t xml:space="preserve"> млн.</w:t>
      </w:r>
      <w:r w:rsidR="00304828">
        <w:rPr>
          <w:szCs w:val="24"/>
        </w:rPr>
        <w:t xml:space="preserve"> </w:t>
      </w:r>
      <w:r w:rsidRPr="005B2032">
        <w:rPr>
          <w:szCs w:val="24"/>
        </w:rPr>
        <w:t>лв. за 2021</w:t>
      </w:r>
      <w:r w:rsidR="00DF07FD">
        <w:rPr>
          <w:szCs w:val="24"/>
        </w:rPr>
        <w:t> г.</w:t>
      </w:r>
      <w:r w:rsidRPr="005B2032">
        <w:rPr>
          <w:szCs w:val="24"/>
        </w:rPr>
        <w:t>, като средногодишният брой на наетите лица, участвали в нея е около 97 хиляди. В сравнение с 2020</w:t>
      </w:r>
      <w:r w:rsidR="00DF07FD">
        <w:rPr>
          <w:szCs w:val="24"/>
        </w:rPr>
        <w:t> г.</w:t>
      </w:r>
      <w:r w:rsidRPr="005B2032">
        <w:rPr>
          <w:szCs w:val="24"/>
        </w:rPr>
        <w:t xml:space="preserve"> се наблюдава известно намаление на средномесечния брой на участвалите в програмата (с около 22%), което се дължи на летните месеци (юли-октомври), когато броят работни места, участвали в програмата</w:t>
      </w:r>
      <w:r w:rsidR="009B1D27" w:rsidRPr="005B2032">
        <w:rPr>
          <w:szCs w:val="24"/>
        </w:rPr>
        <w:t>,</w:t>
      </w:r>
      <w:r w:rsidRPr="005B2032">
        <w:rPr>
          <w:szCs w:val="24"/>
        </w:rPr>
        <w:t xml:space="preserve"> намаля повече от два пъти спрямо предходните десет месеца.</w:t>
      </w:r>
      <w:r w:rsidRPr="005B2032">
        <w:t xml:space="preserve"> </w:t>
      </w:r>
      <w:r w:rsidRPr="005B2032">
        <w:rPr>
          <w:szCs w:val="24"/>
        </w:rPr>
        <w:t>Намаление на участниците в програмата се наблюдава във всички икономически сектори. В секторите, които имат най-голям относителен дял в общия брой работни места, защитени от програмата, това намаление съответно е</w:t>
      </w:r>
      <w:r w:rsidRPr="005B2032">
        <w:rPr>
          <w:szCs w:val="24"/>
          <w:lang w:val="en-US"/>
        </w:rPr>
        <w:t>:</w:t>
      </w:r>
      <w:r w:rsidR="00BD2C3E">
        <w:rPr>
          <w:szCs w:val="24"/>
          <w:lang w:val="en-US"/>
        </w:rPr>
        <w:t xml:space="preserve"> </w:t>
      </w:r>
      <w:r w:rsidRPr="005B2032">
        <w:rPr>
          <w:szCs w:val="24"/>
        </w:rPr>
        <w:t>„Търговия“ (с около 45%), „Преработваща промишленост“ (с около 25%), „Транспорт“ и „Хотелиерство и ресторантьорство“</w:t>
      </w:r>
      <w:r w:rsidR="00DF07FD">
        <w:rPr>
          <w:szCs w:val="24"/>
        </w:rPr>
        <w:t xml:space="preserve"> – </w:t>
      </w:r>
      <w:r w:rsidRPr="005B2032">
        <w:rPr>
          <w:szCs w:val="24"/>
        </w:rPr>
        <w:t xml:space="preserve">между 10 и 12%. </w:t>
      </w:r>
    </w:p>
    <w:p w14:paraId="32DC0C9D" w14:textId="1B2AFA03" w:rsidR="008317F9" w:rsidRPr="00CE1113" w:rsidRDefault="008317F9" w:rsidP="008317F9">
      <w:pPr>
        <w:pStyle w:val="Caption"/>
      </w:pPr>
      <w:r w:rsidRPr="00CE1113">
        <w:t xml:space="preserve">Граф. </w:t>
      </w:r>
      <w:fldSimple w:instr=" STYLEREF 1 \s ">
        <w:r w:rsidR="004C3B04">
          <w:rPr>
            <w:noProof/>
          </w:rPr>
          <w:t>2</w:t>
        </w:r>
      </w:fldSimple>
      <w:r w:rsidRPr="00CE1113">
        <w:noBreakHyphen/>
      </w:r>
      <w:fldSimple w:instr=" SEQ Граф. \* ARABIC \s 1 ">
        <w:r w:rsidR="004C3B04">
          <w:rPr>
            <w:noProof/>
          </w:rPr>
          <w:t>2</w:t>
        </w:r>
      </w:fldSimple>
      <w:r w:rsidRPr="00CE1113">
        <w:t>: Динамика на заетостта и ниво на безработица, %</w:t>
      </w:r>
    </w:p>
    <w:p w14:paraId="3EDCC471" w14:textId="76B02EA2" w:rsidR="008317F9" w:rsidRPr="005B2032" w:rsidRDefault="00F32679" w:rsidP="008317F9">
      <w:pPr>
        <w:spacing w:after="0"/>
      </w:pPr>
      <w:r w:rsidRPr="002E7603">
        <w:rPr>
          <w:noProof/>
        </w:rPr>
        <mc:AlternateContent>
          <mc:Choice Requires="wps">
            <w:drawing>
              <wp:anchor distT="0" distB="0" distL="114300" distR="114300" simplePos="0" relativeHeight="251669504" behindDoc="1" locked="0" layoutInCell="1" allowOverlap="1" wp14:anchorId="16546D6F" wp14:editId="2E7CE939">
                <wp:simplePos x="0" y="0"/>
                <wp:positionH relativeFrom="column">
                  <wp:posOffset>3702050</wp:posOffset>
                </wp:positionH>
                <wp:positionV relativeFrom="paragraph">
                  <wp:posOffset>74930</wp:posOffset>
                </wp:positionV>
                <wp:extent cx="1719852" cy="1760220"/>
                <wp:effectExtent l="0" t="0" r="0" b="0"/>
                <wp:wrapNone/>
                <wp:docPr id="20" name="Rectangle 1"/>
                <wp:cNvGraphicFramePr/>
                <a:graphic xmlns:a="http://schemas.openxmlformats.org/drawingml/2006/main">
                  <a:graphicData uri="http://schemas.microsoft.com/office/word/2010/wordprocessingShape">
                    <wps:wsp>
                      <wps:cNvSpPr/>
                      <wps:spPr>
                        <a:xfrm>
                          <a:off x="0" y="0"/>
                          <a:ext cx="1719852" cy="1760220"/>
                        </a:xfrm>
                        <a:prstGeom prst="rect">
                          <a:avLst/>
                        </a:prstGeom>
                        <a:solidFill>
                          <a:srgbClr val="D7D4F1">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C14ACF" w14:textId="77777777" w:rsidR="00C47B43" w:rsidRPr="002E7603" w:rsidRDefault="00C47B43" w:rsidP="00F32679">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wps:txbx>
                      <wps:bodyPr wrap="square" lIns="0" tIns="36000" rIns="0">
                        <a:noAutofit/>
                      </wps:bodyPr>
                    </wps:wsp>
                  </a:graphicData>
                </a:graphic>
                <wp14:sizeRelH relativeFrom="margin">
                  <wp14:pctWidth>0</wp14:pctWidth>
                </wp14:sizeRelH>
                <wp14:sizeRelV relativeFrom="margin">
                  <wp14:pctHeight>0</wp14:pctHeight>
                </wp14:sizeRelV>
              </wp:anchor>
            </w:drawing>
          </mc:Choice>
          <mc:Fallback>
            <w:pict>
              <v:rect w14:anchorId="16546D6F" id="_x0000_s1029" style="position:absolute;left:0;text-align:left;margin-left:291.5pt;margin-top:5.9pt;width:135.4pt;height:138.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" fillcolor="#d7d4f1" stroked="f" strokeweight="1.25pt">
                <v:fill opacity="32896f"/>
                <v:textbox inset="0,1mm,0">
                  <w:txbxContent>
                    <w:p w14:paraId="73C14ACF" w14:textId="77777777" w:rsidR="00C47B43" w:rsidRPr="002E7603" w:rsidRDefault="00C47B43" w:rsidP="00F32679">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v:textbox>
              </v:rect>
            </w:pict>
          </mc:Fallback>
        </mc:AlternateContent>
      </w:r>
      <w:r w:rsidR="008317F9" w:rsidRPr="005B2032">
        <w:rPr>
          <w:noProof/>
        </w:rPr>
        <w:drawing>
          <wp:inline distT="0" distB="0" distL="0" distR="0" wp14:anchorId="757DFFB4" wp14:editId="06BC0DF9">
            <wp:extent cx="5724000" cy="23400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66901FC" w14:textId="77777777" w:rsidR="008317F9" w:rsidRPr="005B2032" w:rsidRDefault="008317F9" w:rsidP="008317F9">
      <w:pPr>
        <w:pStyle w:val="a"/>
      </w:pPr>
      <w:r w:rsidRPr="005B2032">
        <w:t>Източник: НСИ, МФ</w:t>
      </w:r>
    </w:p>
    <w:p w14:paraId="0D800D4D" w14:textId="3ABCA534" w:rsidR="001473CD" w:rsidRPr="005B2032" w:rsidRDefault="001473CD" w:rsidP="009548AE">
      <w:pPr>
        <w:rPr>
          <w:szCs w:val="24"/>
        </w:rPr>
      </w:pPr>
      <w:r w:rsidRPr="005B2032">
        <w:rPr>
          <w:szCs w:val="24"/>
        </w:rPr>
        <w:t xml:space="preserve">Коефициентът на безработица в страната </w:t>
      </w:r>
      <w:r w:rsidR="009B1D27" w:rsidRPr="005B2032">
        <w:rPr>
          <w:szCs w:val="24"/>
        </w:rPr>
        <w:t>се запази нисък през 2021</w:t>
      </w:r>
      <w:r w:rsidR="00DF07FD">
        <w:rPr>
          <w:szCs w:val="24"/>
        </w:rPr>
        <w:t> г.</w:t>
      </w:r>
      <w:r w:rsidR="009B1D27" w:rsidRPr="005B2032">
        <w:rPr>
          <w:szCs w:val="24"/>
        </w:rPr>
        <w:t xml:space="preserve"> (5.</w:t>
      </w:r>
      <w:r w:rsidRPr="005B2032">
        <w:rPr>
          <w:szCs w:val="24"/>
        </w:rPr>
        <w:t>3%), като България остава сред десетте страни от ЕС 27 с най-ниски стойности на този показател за страните от общността</w:t>
      </w:r>
      <w:r w:rsidRPr="005B2032">
        <w:rPr>
          <w:rStyle w:val="FootnoteReference"/>
          <w:szCs w:val="24"/>
        </w:rPr>
        <w:footnoteReference w:id="5"/>
      </w:r>
      <w:r w:rsidRPr="005B2032">
        <w:rPr>
          <w:szCs w:val="24"/>
        </w:rPr>
        <w:t xml:space="preserve">. Броят на регистрираните безработни в АЗ съществено намаля, </w:t>
      </w:r>
      <w:r w:rsidRPr="005B2032">
        <w:rPr>
          <w:szCs w:val="24"/>
        </w:rPr>
        <w:lastRenderedPageBreak/>
        <w:t>като през някои от летните месеци на 2021</w:t>
      </w:r>
      <w:r w:rsidR="00DF07FD">
        <w:rPr>
          <w:szCs w:val="24"/>
        </w:rPr>
        <w:t> г.</w:t>
      </w:r>
      <w:r w:rsidRPr="005B2032">
        <w:rPr>
          <w:szCs w:val="24"/>
        </w:rPr>
        <w:t xml:space="preserve"> бяха регистрирани исторически най-ниски стойности в серията на показателя до този момент.</w:t>
      </w:r>
    </w:p>
    <w:p w14:paraId="743A3276" w14:textId="4DA2D724" w:rsidR="001473CD" w:rsidRPr="005B2032" w:rsidRDefault="001473CD" w:rsidP="009548AE">
      <w:pPr>
        <w:rPr>
          <w:szCs w:val="24"/>
        </w:rPr>
      </w:pPr>
      <w:r w:rsidRPr="005B2032">
        <w:rPr>
          <w:szCs w:val="24"/>
        </w:rPr>
        <w:t>С наблюдаваното съживяване в търсенето на труд в страната през 2021</w:t>
      </w:r>
      <w:r w:rsidR="00DF07FD">
        <w:rPr>
          <w:szCs w:val="24"/>
        </w:rPr>
        <w:t> г.</w:t>
      </w:r>
      <w:r w:rsidRPr="005B2032">
        <w:rPr>
          <w:szCs w:val="24"/>
        </w:rPr>
        <w:t xml:space="preserve"> растежът на производителността на труда премина на положителна територия (4% в реално изражение), а този на компенсацията на един нает се ускори до 9.5%. Най-съществено нарастване на производителността на труда беше отчетено в аграрния сектор (13.2%) и преработващата промишленост (9.4%), докато динамиката на показателя остана </w:t>
      </w:r>
      <w:r w:rsidR="00E8359A">
        <w:rPr>
          <w:szCs w:val="24"/>
        </w:rPr>
        <w:t>отрицателна в строителството (-</w:t>
      </w:r>
      <w:r w:rsidRPr="005B2032">
        <w:rPr>
          <w:szCs w:val="24"/>
        </w:rPr>
        <w:t>9.5%) и част от дейностите от сектор услуги, в т.ч. търговия; транспорт; хотелиерство и ресторантьорство (-3.5%). Положителният ефект от възстановяването на пазара на труда върху доходите от труд също беше по-силно изразен в сектор индустрия. Компенсацията на един нает в него се повиши номинално с 12.6%. Публичният сектор също се характеризираше с двуцифрен темп на нарастване на показателя (12.6%), но като цяло в услугите беше отчетен значително по-нисък растеж от 8.3%. Развитието на доходите и производителността на труда през годината доведоха до отслабване на натиска върху разходите за труд на единица продукция. Последните нараснаха номинално с 5.4% (почти два пъти по-ниско от отчетената стойност през 2020</w:t>
      </w:r>
      <w:r w:rsidR="00DF07FD">
        <w:rPr>
          <w:szCs w:val="24"/>
        </w:rPr>
        <w:t> г.</w:t>
      </w:r>
      <w:r w:rsidRPr="005B2032">
        <w:rPr>
          <w:szCs w:val="24"/>
        </w:rPr>
        <w:t>) и дори се понижиха с 0.8% в реално изражение. В преработващата промишленост, която е в най-висока степен изложена на конкуренция от външната среда, бе наблюдавано намаление на разглеждания показател в реално изражение от 7.4% и минимално повишение от 0.9% в номинално изражение.</w:t>
      </w:r>
    </w:p>
    <w:p w14:paraId="77AED04D" w14:textId="2D3E0C81" w:rsidR="001473CD" w:rsidRPr="00CE1113" w:rsidRDefault="001473CD" w:rsidP="00CE1113">
      <w:pPr>
        <w:pStyle w:val="Caption"/>
      </w:pPr>
      <w:r w:rsidRPr="00CE1113">
        <w:t xml:space="preserve">Граф. </w:t>
      </w:r>
      <w:fldSimple w:instr=" STYLEREF 1 \s ">
        <w:r w:rsidR="004C3B04">
          <w:rPr>
            <w:noProof/>
          </w:rPr>
          <w:t>2</w:t>
        </w:r>
      </w:fldSimple>
      <w:r w:rsidRPr="00CE1113">
        <w:noBreakHyphen/>
      </w:r>
      <w:fldSimple w:instr=" SEQ Граф. \* ARABIC \s 1 ">
        <w:r w:rsidR="004C3B04">
          <w:rPr>
            <w:noProof/>
          </w:rPr>
          <w:t>3</w:t>
        </w:r>
      </w:fldSimple>
      <w:r w:rsidRPr="00CE1113">
        <w:t>: Динамика на номиналните РТЕП и компоненти, %</w:t>
      </w:r>
    </w:p>
    <w:p w14:paraId="087A087F" w14:textId="432D0E66" w:rsidR="001473CD" w:rsidRPr="005B2032" w:rsidRDefault="008F79AF" w:rsidP="00D24A82">
      <w:pPr>
        <w:spacing w:after="0"/>
      </w:pPr>
      <w:r w:rsidRPr="002E7603">
        <w:rPr>
          <w:noProof/>
        </w:rPr>
        <mc:AlternateContent>
          <mc:Choice Requires="wps">
            <w:drawing>
              <wp:anchor distT="0" distB="0" distL="114300" distR="114300" simplePos="0" relativeHeight="251671552" behindDoc="1" locked="0" layoutInCell="1" allowOverlap="1" wp14:anchorId="0CABE764" wp14:editId="09CFC5F0">
                <wp:simplePos x="0" y="0"/>
                <wp:positionH relativeFrom="column">
                  <wp:posOffset>3235152</wp:posOffset>
                </wp:positionH>
                <wp:positionV relativeFrom="paragraph">
                  <wp:posOffset>60440</wp:posOffset>
                </wp:positionV>
                <wp:extent cx="2354695" cy="1745673"/>
                <wp:effectExtent l="0" t="0" r="7620" b="6985"/>
                <wp:wrapNone/>
                <wp:docPr id="21" name="Rectangle 1"/>
                <wp:cNvGraphicFramePr/>
                <a:graphic xmlns:a="http://schemas.openxmlformats.org/drawingml/2006/main">
                  <a:graphicData uri="http://schemas.microsoft.com/office/word/2010/wordprocessingShape">
                    <wps:wsp>
                      <wps:cNvSpPr/>
                      <wps:spPr>
                        <a:xfrm>
                          <a:off x="0" y="0"/>
                          <a:ext cx="2354695" cy="1745673"/>
                        </a:xfrm>
                        <a:prstGeom prst="rect">
                          <a:avLst/>
                        </a:prstGeom>
                        <a:solidFill>
                          <a:srgbClr val="D7D4F1">
                            <a:alpha val="50196"/>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5CED2E" w14:textId="77777777" w:rsidR="00C47B43" w:rsidRPr="002E7603" w:rsidRDefault="00C47B43" w:rsidP="008F79AF">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wps:txbx>
                      <wps:bodyPr wrap="square" lIns="0" tIns="36000" rIns="0">
                        <a:noAutofit/>
                      </wps:bodyPr>
                    </wps:wsp>
                  </a:graphicData>
                </a:graphic>
                <wp14:sizeRelH relativeFrom="margin">
                  <wp14:pctWidth>0</wp14:pctWidth>
                </wp14:sizeRelH>
                <wp14:sizeRelV relativeFrom="margin">
                  <wp14:pctHeight>0</wp14:pctHeight>
                </wp14:sizeRelV>
              </wp:anchor>
            </w:drawing>
          </mc:Choice>
          <mc:Fallback>
            <w:pict>
              <v:rect w14:anchorId="0CABE764" id="_x0000_s1030" style="position:absolute;left:0;text-align:left;margin-left:254.75pt;margin-top:4.75pt;width:185.4pt;height:137.4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" fillcolor="#d7d4f1" stroked="f" strokeweight="1.25pt">
                <v:fill opacity="32896f"/>
                <v:textbox inset="0,1mm,0">
                  <w:txbxContent>
                    <w:p w14:paraId="0E5CED2E" w14:textId="77777777" w:rsidR="00C47B43" w:rsidRPr="002E7603" w:rsidRDefault="00C47B43" w:rsidP="008F79AF">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v:textbox>
              </v:rect>
            </w:pict>
          </mc:Fallback>
        </mc:AlternateContent>
      </w:r>
      <w:r w:rsidR="001473CD" w:rsidRPr="005B2032">
        <w:rPr>
          <w:noProof/>
        </w:rPr>
        <w:drawing>
          <wp:inline distT="0" distB="0" distL="0" distR="0" wp14:anchorId="72D840F2" wp14:editId="687D4928">
            <wp:extent cx="5724000" cy="2340000"/>
            <wp:effectExtent l="0" t="0" r="0" b="317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CA4A09D" w14:textId="77777777" w:rsidR="001473CD" w:rsidRPr="005B2032" w:rsidRDefault="001473CD" w:rsidP="00CE1113">
      <w:pPr>
        <w:pStyle w:val="a"/>
      </w:pPr>
      <w:r w:rsidRPr="005B2032">
        <w:t>Източник: НСИ, МФ</w:t>
      </w:r>
    </w:p>
    <w:p w14:paraId="62B294E1" w14:textId="6A0B0137" w:rsidR="001473CD" w:rsidRPr="005B2032" w:rsidRDefault="001473CD" w:rsidP="009548AE">
      <w:r w:rsidRPr="005B2032">
        <w:t>Прогнозата за динамиката на заетостта през 2022</w:t>
      </w:r>
      <w:r w:rsidR="00DF07FD">
        <w:t> г.</w:t>
      </w:r>
      <w:r w:rsidRPr="005B2032">
        <w:t xml:space="preserve"> е повлияна основно от очакваното положително развитие на икономиката, както и от потока украински граждани, потърсили временна или международна закрила на територията на България. Използваните допускания при разработване на настоящата прогноза за броя на заетите през 2022</w:t>
      </w:r>
      <w:r w:rsidR="00DF07FD">
        <w:t> г.</w:t>
      </w:r>
      <w:r w:rsidRPr="005B2032">
        <w:t xml:space="preserve"> са, че на територията на страната ще останат около 135 хиляди украинци, от които започналите работа ще са около 55 хиляди души. Последните ще са били заети средногодишно около 6 месеца. Този поток от нови заети, както и увеличеният брой заети сред резидентите обуславя</w:t>
      </w:r>
      <w:r w:rsidR="009B1D27" w:rsidRPr="005B2032">
        <w:t>т</w:t>
      </w:r>
      <w:r w:rsidRPr="005B2032">
        <w:t xml:space="preserve"> и прогнозата за ръст на заетите през 2022</w:t>
      </w:r>
      <w:r w:rsidR="00DF07FD">
        <w:t> г.</w:t>
      </w:r>
      <w:r w:rsidRPr="005B2032">
        <w:t xml:space="preserve"> от 1</w:t>
      </w:r>
      <w:r w:rsidR="009B1D27" w:rsidRPr="005B2032">
        <w:t>.</w:t>
      </w:r>
      <w:r w:rsidRPr="005B2032">
        <w:t>7%.</w:t>
      </w:r>
    </w:p>
    <w:p w14:paraId="78066084" w14:textId="439E3AB5" w:rsidR="001473CD" w:rsidRPr="005B2032" w:rsidRDefault="001473CD" w:rsidP="009548AE">
      <w:r w:rsidRPr="005B2032">
        <w:t>През периода 2023</w:t>
      </w:r>
      <w:r w:rsidR="004B5A09">
        <w:rPr>
          <w:lang w:val="en-US"/>
        </w:rPr>
        <w:t>–</w:t>
      </w:r>
      <w:r w:rsidRPr="005B2032">
        <w:t>2025</w:t>
      </w:r>
      <w:r w:rsidR="00DF07FD">
        <w:t> г.</w:t>
      </w:r>
      <w:r w:rsidRPr="005B2032">
        <w:t xml:space="preserve"> основният </w:t>
      </w:r>
      <w:r w:rsidR="009B1D27" w:rsidRPr="005B2032">
        <w:t>фактор, който ще обуславя ръста</w:t>
      </w:r>
      <w:r w:rsidRPr="005B2032">
        <w:t xml:space="preserve"> на заетостта в страната ще продължи да бъде икономическия</w:t>
      </w:r>
      <w:r w:rsidR="009B1D27" w:rsidRPr="005B2032">
        <w:t>т</w:t>
      </w:r>
      <w:r w:rsidRPr="005B2032">
        <w:t xml:space="preserve"> ръст, който се очаква да се ускори и оттук да увеличи търсенето на работна сила. В същото време, в допусканията, използвани при разработването на прогнозата, е заложено известно намаление на броя на украинските граждани, потърсили закрила в страната, като броят на заетите от този контингент </w:t>
      </w:r>
      <w:r w:rsidRPr="005B2032">
        <w:lastRenderedPageBreak/>
        <w:t>лица е заложен да бъде 40 хиляди през 2023</w:t>
      </w:r>
      <w:r w:rsidR="00DF07FD">
        <w:t> г.</w:t>
      </w:r>
      <w:r w:rsidRPr="005B2032">
        <w:t xml:space="preserve"> и да намалее до около 22 хиляди през 2025</w:t>
      </w:r>
      <w:r w:rsidR="00DF07FD">
        <w:t> г.</w:t>
      </w:r>
      <w:r w:rsidRPr="005B2032">
        <w:t xml:space="preserve"> Трябва да се има пред вид, че през 2025</w:t>
      </w:r>
      <w:r w:rsidR="00DF07FD">
        <w:t> г.</w:t>
      </w:r>
      <w:r w:rsidRPr="005B2032">
        <w:t xml:space="preserve"> и следващите години повишеното търсене на труд все по-трудно ще бъде посрещано от привличането на допълнителни хора от тези, които са безработни или са извън работната сила. Поради това, през 2025</w:t>
      </w:r>
      <w:r w:rsidR="00DF07FD">
        <w:t> г.</w:t>
      </w:r>
      <w:r w:rsidRPr="005B2032">
        <w:t xml:space="preserve"> и след това във все по-голяма степен ръстът на икономиката ще бъде осъществяван посредством увеличаване на производителността на труда и на общата факторна производителност.</w:t>
      </w:r>
    </w:p>
    <w:p w14:paraId="27B18D8F" w14:textId="43486B41" w:rsidR="001473CD" w:rsidRPr="005B2032" w:rsidRDefault="001473CD" w:rsidP="009548AE">
      <w:pPr>
        <w:rPr>
          <w:lang w:val="en-US"/>
        </w:rPr>
      </w:pPr>
      <w:r w:rsidRPr="005B2032">
        <w:t>Очакванията за коефициента на безработица са той да следва постоянна тенденция на намаление през целия 2022</w:t>
      </w:r>
      <w:r w:rsidR="004B5A09">
        <w:rPr>
          <w:lang w:val="en-US"/>
        </w:rPr>
        <w:t>–</w:t>
      </w:r>
      <w:r w:rsidRPr="005B2032">
        <w:t>2025</w:t>
      </w:r>
      <w:r w:rsidR="00DF07FD">
        <w:t> г.</w:t>
      </w:r>
      <w:r w:rsidRPr="005B2032">
        <w:t xml:space="preserve"> период. Предвиждането за 2022</w:t>
      </w:r>
      <w:r w:rsidR="00DF07FD">
        <w:t> г.</w:t>
      </w:r>
      <w:r w:rsidR="00383EB0" w:rsidRPr="005B2032">
        <w:t xml:space="preserve"> е той да е на стойност от 5.0% и да намалее до 4.</w:t>
      </w:r>
      <w:r w:rsidRPr="005B2032">
        <w:t>2% през 2025</w:t>
      </w:r>
      <w:r w:rsidR="00DF07FD">
        <w:t> г.</w:t>
      </w:r>
    </w:p>
    <w:p w14:paraId="6190661D" w14:textId="6AABE350" w:rsidR="001473CD" w:rsidRPr="005B2032" w:rsidRDefault="001473CD" w:rsidP="009548AE">
      <w:r w:rsidRPr="005B2032">
        <w:t>Очакванията за динамиката на доходите от труд в средносрочен хоризонт ще останат високи, но оценките за тяхното реално нарастване са ревизирани в низходяща посока. През 2022</w:t>
      </w:r>
      <w:r w:rsidR="00DF07FD">
        <w:t> г.</w:t>
      </w:r>
      <w:r w:rsidRPr="005B2032">
        <w:t xml:space="preserve"> номиналният растеж на компенсацията на един нает е оценен на 8.1% и отразява очакваното търсене на труд, повишаването на минималната работна заплата и осигурителни прагове, както и</w:t>
      </w:r>
      <w:r w:rsidR="00BD2C3E">
        <w:t xml:space="preserve"> </w:t>
      </w:r>
      <w:r w:rsidRPr="005B2032">
        <w:t>някои вторични ефекти от високите темпове на инфлация в страната. Влиянието на инфлационните процеси върху номиналното нарастване на доходите се очаква да се реализира с известен лаг и да се осъществи в по-голяма степен през 2023</w:t>
      </w:r>
      <w:r w:rsidR="00DF07FD">
        <w:t> г.</w:t>
      </w:r>
      <w:r w:rsidRPr="005B2032">
        <w:t xml:space="preserve"> Забавянето на растежа на компенсацията на един нает през 2022</w:t>
      </w:r>
      <w:r w:rsidR="00DF07FD">
        <w:t> г.</w:t>
      </w:r>
      <w:r w:rsidRPr="005B2032">
        <w:t xml:space="preserve">, спрямо предходната година, ще е резултат основно от по-ниския принос на публичния сектор. Друг фактор, който се очаква да има ограничаващо влияние е включването на бежанците от Украйна в пазара </w:t>
      </w:r>
      <w:r w:rsidR="00383EB0" w:rsidRPr="005B2032">
        <w:t xml:space="preserve">на труда, тъй като е направено </w:t>
      </w:r>
      <w:r w:rsidRPr="005B2032">
        <w:t xml:space="preserve">допускане, че те ще са заети в дейности с относително по-ниски от средните за икономиката производителност на труда и заплащане. </w:t>
      </w:r>
    </w:p>
    <w:p w14:paraId="7BAA4517" w14:textId="28E494B2" w:rsidR="001473CD" w:rsidRPr="005B2032" w:rsidRDefault="001473CD" w:rsidP="009548AE">
      <w:r w:rsidRPr="005B2032">
        <w:t>С постепенното ускоряване на динамиката на производителността на труда през 2023</w:t>
      </w:r>
      <w:r w:rsidR="00DF07FD">
        <w:t> г.</w:t>
      </w:r>
      <w:r w:rsidRPr="005B2032">
        <w:t>, търсенето на труд и очакваният ефект от нарастването на цените, компенсацията на един нает ще се повишава с ускорен темп от 9.2%. В периода 2024</w:t>
      </w:r>
      <w:r w:rsidR="004B5A09">
        <w:rPr>
          <w:lang w:val="en-US"/>
        </w:rPr>
        <w:t>–</w:t>
      </w:r>
      <w:r w:rsidRPr="005B2032">
        <w:t>2025</w:t>
      </w:r>
      <w:r w:rsidR="00DF07FD">
        <w:t> г.</w:t>
      </w:r>
      <w:r w:rsidRPr="005B2032">
        <w:t xml:space="preserve"> този темп ще остане висок, съответно 8.2 и 7.6%, но ще започне да се забавя. Реалното нарастване на доходите от труд е оценено да се възстанови частично през 2023</w:t>
      </w:r>
      <w:r w:rsidR="00DF07FD">
        <w:t> г.</w:t>
      </w:r>
      <w:r w:rsidRPr="005B2032">
        <w:t>, като едва през 2024</w:t>
      </w:r>
      <w:r w:rsidR="004B5A09">
        <w:rPr>
          <w:lang w:val="en-US"/>
        </w:rPr>
        <w:t>–</w:t>
      </w:r>
      <w:r w:rsidRPr="005B2032">
        <w:t>2025</w:t>
      </w:r>
      <w:r w:rsidR="00DF07FD">
        <w:t> г.</w:t>
      </w:r>
      <w:r w:rsidRPr="005B2032">
        <w:t xml:space="preserve"> може да се очаква то да е съпоставимо с темповете в периода преди 2021</w:t>
      </w:r>
      <w:r w:rsidR="00DF07FD">
        <w:t> г.</w:t>
      </w:r>
      <w:r w:rsidRPr="005B2032">
        <w:t xml:space="preserve"> </w:t>
      </w:r>
    </w:p>
    <w:p w14:paraId="6D7A0014" w14:textId="3C70C169" w:rsidR="00013BCD" w:rsidRPr="005B2032" w:rsidRDefault="001473CD" w:rsidP="009548AE">
      <w:pPr>
        <w:rPr>
          <w:rFonts w:asciiTheme="minorHAnsi" w:hAnsiTheme="minorHAnsi" w:cstheme="minorHAnsi"/>
          <w:b/>
          <w:bCs/>
          <w:sz w:val="26"/>
          <w:szCs w:val="26"/>
        </w:rPr>
      </w:pPr>
      <w:r w:rsidRPr="005B2032">
        <w:t>Забавянето на икономическата активност през 2022 и 2023</w:t>
      </w:r>
      <w:r w:rsidR="00DF07FD">
        <w:t> г.</w:t>
      </w:r>
      <w:r w:rsidRPr="005B2032">
        <w:t xml:space="preserve"> ще отразява по-ниския темп на нарастване на производителността на труда. Последният е оценен средно на 2.1% през 2022</w:t>
      </w:r>
      <w:r w:rsidR="004B5A09">
        <w:rPr>
          <w:lang w:val="en-US"/>
        </w:rPr>
        <w:t>–</w:t>
      </w:r>
      <w:r w:rsidRPr="005B2032">
        <w:t>2025</w:t>
      </w:r>
      <w:r w:rsidR="00DF07FD">
        <w:t> г.</w:t>
      </w:r>
      <w:r w:rsidRPr="005B2032">
        <w:t>, което заедно с очакваното нарастване на доходите от труд ще доведе до 6.1% средногодишен растеж на номиналните разходи за труд на единица продукция. Реалните разходи за труд на единица продукция ще се повишават с минимален средногодишен темп от 0.9%.</w:t>
      </w:r>
    </w:p>
    <w:p w14:paraId="7C6202E9" w14:textId="77777777" w:rsidR="002F3E21" w:rsidRPr="004018C2" w:rsidRDefault="002F3E21" w:rsidP="004018C2">
      <w:pPr>
        <w:pStyle w:val="Heading3"/>
      </w:pPr>
      <w:r w:rsidRPr="004018C2">
        <w:t>Инфлация</w:t>
      </w:r>
    </w:p>
    <w:p w14:paraId="310BFA4E" w14:textId="7CA25118" w:rsidR="001473CD" w:rsidRPr="005B2032" w:rsidRDefault="001473CD" w:rsidP="004018C2">
      <w:bookmarkStart w:id="53" w:name="_Toc448227268"/>
      <w:bookmarkStart w:id="54" w:name="_Toc479332416"/>
      <w:r w:rsidRPr="005B2032">
        <w:t>След ясно изразен период на дезинфлация през 2020</w:t>
      </w:r>
      <w:r w:rsidR="00DF07FD">
        <w:t> г.</w:t>
      </w:r>
      <w:r w:rsidRPr="005B2032">
        <w:t>, годишният темп на инфлация в страната следваше тенденция на ускорение още от началото на 2021</w:t>
      </w:r>
      <w:r w:rsidR="00DF07FD">
        <w:t> г.</w:t>
      </w:r>
      <w:r w:rsidRPr="005B2032">
        <w:t xml:space="preserve"> Натрупаното повишение на потребителските цени в края на годината достигна 6.6%, измерено с </w:t>
      </w:r>
      <w:r w:rsidR="00935A2F">
        <w:t>хармонизирания индекс на потребителските цени (</w:t>
      </w:r>
      <w:r w:rsidRPr="005B2032">
        <w:t>ХИПЦ</w:t>
      </w:r>
      <w:r w:rsidR="00935A2F">
        <w:rPr>
          <w:lang w:val="en-US"/>
        </w:rPr>
        <w:t>)</w:t>
      </w:r>
      <w:r w:rsidRPr="005B2032">
        <w:t>, а средногодишната инфлация бе 2.8%. През първите два месеца на 2022</w:t>
      </w:r>
      <w:r w:rsidR="00DF07FD">
        <w:t> г.</w:t>
      </w:r>
      <w:r w:rsidRPr="005B2032">
        <w:t xml:space="preserve"> инфлацията продължи да се ускорява до 8.4% на годишна база през февруари с положителен принос от всички основни компоненти на общия индекс.</w:t>
      </w:r>
    </w:p>
    <w:p w14:paraId="338E41F3" w14:textId="05D749C9" w:rsidR="001473CD" w:rsidRPr="005B2032" w:rsidRDefault="001473CD" w:rsidP="009548AE">
      <w:r w:rsidRPr="005B2032">
        <w:t>Основният фактор с проинфлационно влияние бе ускореното поскъпване на суровините на световните пазари и най-вече на енергоносителите. Индексът на цени на производител на вътрешния пазар се повиши, с 40.5% на годишна база през февруари 2022</w:t>
      </w:r>
      <w:r w:rsidR="00DF07FD">
        <w:t> г.</w:t>
      </w:r>
      <w:r w:rsidR="00383EB0" w:rsidRPr="005B2032">
        <w:t>,</w:t>
      </w:r>
      <w:r w:rsidRPr="005B2032">
        <w:t xml:space="preserve"> като вли</w:t>
      </w:r>
      <w:r w:rsidRPr="005B2032">
        <w:lastRenderedPageBreak/>
        <w:t>янието от страна на енергийните стоки и тези за междинно потребление беше значително. По лин</w:t>
      </w:r>
      <w:r w:rsidR="00383EB0" w:rsidRPr="005B2032">
        <w:t xml:space="preserve">ия на производствените разходи </w:t>
      </w:r>
      <w:r w:rsidRPr="005B2032">
        <w:t xml:space="preserve">това сравнително бързо бе пренесено в крайните цени на редица потребителски стоки. </w:t>
      </w:r>
    </w:p>
    <w:p w14:paraId="7384E948" w14:textId="7D78A271" w:rsidR="001473CD" w:rsidRPr="005B2032" w:rsidRDefault="001473CD" w:rsidP="009548AE">
      <w:r w:rsidRPr="005B2032">
        <w:t>Енергийните стоки имаха водещ принос за повишението на общия ХИПЦ, във връзка с ускореното поскъпване на петрол, природен газ и въглища на международните пазари. Инфлацията при транспортните горива достигна 33.7% на годишна база през февруари, при централно газоснабдяване – 135.3%, а при твърди горива – 27.7%. Мораториумът върху цените на електроенергията, ВиК услугите и топлинната енергия, от средата на декември 2021</w:t>
      </w:r>
      <w:r w:rsidR="00DF07FD">
        <w:t> г.</w:t>
      </w:r>
      <w:r w:rsidRPr="005B2032">
        <w:t xml:space="preserve"> със срок на действие до края на март 2022</w:t>
      </w:r>
      <w:r w:rsidR="00DF07FD">
        <w:t> г.</w:t>
      </w:r>
      <w:r w:rsidRPr="005B2032">
        <w:t>, ограничи поскъпването на електрическата и топлинната енергия. Последните повишения в цените на двете стоки бяха от 1 юли 2021</w:t>
      </w:r>
      <w:r w:rsidR="00DF07FD">
        <w:t> г.</w:t>
      </w:r>
      <w:r w:rsidRPr="005B2032">
        <w:t>, съответно с 4.4% и 19%.</w:t>
      </w:r>
    </w:p>
    <w:p w14:paraId="4CF65F79" w14:textId="4AB8FBE6" w:rsidR="001473CD" w:rsidRPr="005B2032" w:rsidRDefault="004B1825" w:rsidP="009548AE">
      <w:r w:rsidRPr="004B1825">
        <w:t xml:space="preserve">Годишна инфлация, измерена с ХИПЦ, на група „Хранителни продукти и безалкохолни напитки“ за февруари 2022 г. </w:t>
      </w:r>
      <w:r>
        <w:t xml:space="preserve">се повиши с </w:t>
      </w:r>
      <w:r w:rsidRPr="004B1825">
        <w:t>13.1%</w:t>
      </w:r>
      <w:r w:rsidR="001473CD" w:rsidRPr="005B2032">
        <w:t>, като принос за това имаха в по-голяма степен преработените храни. При тях влияние имаше най-вече по линия на поскъпване на съответните суровини, търгувани на международните пазари, но също така и на разходите за тяхното производство. В групата на непреработените храни също беше отчетено ускорение, като съществено значение за поскъпването им имаше нарастването на цените за междинно потребление в селското стопанство, в т.ч. енергоносители, торове и др. В групата</w:t>
      </w:r>
      <w:r w:rsidR="001473CD" w:rsidRPr="005B2032">
        <w:rPr>
          <w:lang w:val="en-US"/>
        </w:rPr>
        <w:t xml:space="preserve"> </w:t>
      </w:r>
      <w:r w:rsidR="001473CD" w:rsidRPr="005B2032">
        <w:t>алкохол и цигари бе отчетено поскъпване от 1.9% за съответния период.</w:t>
      </w:r>
    </w:p>
    <w:p w14:paraId="22B98996" w14:textId="3090127B" w:rsidR="001473CD" w:rsidRPr="00CE1113" w:rsidRDefault="001473CD" w:rsidP="00CE1113">
      <w:pPr>
        <w:pStyle w:val="Caption"/>
      </w:pPr>
      <w:r w:rsidRPr="00CE1113">
        <w:t>Граф. 2-4: Годишен темп на инфлация (%) и приноси по основни компоненти (</w:t>
      </w:r>
      <w:r w:rsidR="008438DF">
        <w:t>пр.п.</w:t>
      </w:r>
      <w:r w:rsidRPr="00CE1113">
        <w:t>)</w:t>
      </w:r>
    </w:p>
    <w:p w14:paraId="42E01729" w14:textId="6D74D8D6" w:rsidR="001473CD" w:rsidRPr="005B2032" w:rsidRDefault="001473CD" w:rsidP="001473CD">
      <w:r w:rsidRPr="005B2032">
        <w:rPr>
          <w:noProof/>
        </w:rPr>
        <w:drawing>
          <wp:inline distT="0" distB="0" distL="0" distR="0" wp14:anchorId="4F4BFBE9" wp14:editId="4C522B34">
            <wp:extent cx="5760000" cy="2700000"/>
            <wp:effectExtent l="0" t="0" r="0" b="571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2B1AB4A" w14:textId="77777777" w:rsidR="004B1825" w:rsidRDefault="004B1825" w:rsidP="00E8359A">
      <w:pPr>
        <w:pStyle w:val="a"/>
        <w:jc w:val="left"/>
      </w:pPr>
      <w:r w:rsidRPr="004B1825">
        <w:t>* вкл. алкохол и цигари</w:t>
      </w:r>
    </w:p>
    <w:p w14:paraId="29E5474E" w14:textId="2E0AE2F5" w:rsidR="001473CD" w:rsidRPr="005B2032" w:rsidRDefault="001473CD" w:rsidP="00CE1113">
      <w:pPr>
        <w:pStyle w:val="a"/>
      </w:pPr>
      <w:r w:rsidRPr="005B2032">
        <w:t>Източник: Евростат, собств. изчисления</w:t>
      </w:r>
    </w:p>
    <w:p w14:paraId="5BED32C8" w14:textId="6CF756EB" w:rsidR="001473CD" w:rsidRPr="005B2032" w:rsidRDefault="001473CD" w:rsidP="009548AE">
      <w:r w:rsidRPr="005B2032">
        <w:t>С оглед разгръщането не само на директните, но и на косвените ефекти от по-високите цени на енергийните и хранителните стоки, базисната</w:t>
      </w:r>
      <w:r w:rsidRPr="005B2032">
        <w:rPr>
          <w:vertAlign w:val="superscript"/>
        </w:rPr>
        <w:footnoteReference w:id="6"/>
      </w:r>
      <w:r w:rsidRPr="005B2032">
        <w:t xml:space="preserve"> инфлация също се повиши</w:t>
      </w:r>
      <w:r w:rsidR="00DF07FD">
        <w:t xml:space="preserve"> – </w:t>
      </w:r>
      <w:r w:rsidRPr="005B2032">
        <w:t xml:space="preserve">до 5.7% на годишна база. Ускорение имаше и в двата основни подкомпонента. Поскъпването на нехранителните стоки бе 4.3% на годишна база, а по-високи цени бяха отчетени при стоките с дълготраен, както и при тези с недълготраен характер. Сред факторите за това могат да се посочат не само разгледаните вече по-високи разходи за тяхното производство, но също така и по-високото им потребление в сравнение с услугите в условията </w:t>
      </w:r>
      <w:r w:rsidRPr="005B2032">
        <w:lastRenderedPageBreak/>
        <w:t>на пандемия. Инфлацията при услугите се ускори до 3.9%, като почти всички основни подгрупи имаха положителен принос във връзка със споменатите вторични ефекти. Единствено комуникационните услуги продължиха да отчитат поевтиняване на годишна база, което достигна 4.1% през февруари.</w:t>
      </w:r>
    </w:p>
    <w:p w14:paraId="35C20C62" w14:textId="7B378EE2" w:rsidR="001473CD" w:rsidRPr="005B2032" w:rsidRDefault="001473CD" w:rsidP="009548AE">
      <w:r w:rsidRPr="005B2032">
        <w:t>Към настоящия момент очакванията са за продължаващо поскъпване на петрола и неенергийните суровини през 2022</w:t>
      </w:r>
      <w:r w:rsidR="00DF07FD">
        <w:t> г.</w:t>
      </w:r>
      <w:r w:rsidRPr="005B2032">
        <w:t>, което да започне да се забавя през втората половина на годината. В съответствие с това, нарастването на общото равнище на потребителските цени ще продължи да се ускорява до третото тримесечие на годината, след което ще започне да се забавя, а инфлацията в края на 2022</w:t>
      </w:r>
      <w:r w:rsidR="00DF07FD">
        <w:t> г.</w:t>
      </w:r>
      <w:r w:rsidRPr="005B2032">
        <w:t xml:space="preserve"> ще достигне 10%. Водещ принос за това ще имат храните, чието поскъпване ще се ускори до 16.4% на годишна база през декември. Енергийните стоки също ще допринесат положително, като повишението в цените на транспортните горива се очаква да достигне 25.1% в края на годината. Съществен принос ще имат и ком</w:t>
      </w:r>
      <w:r w:rsidR="00383EB0" w:rsidRPr="005B2032">
        <w:t xml:space="preserve">понентите на базисната инфлация </w:t>
      </w:r>
      <w:r w:rsidRPr="005B2032">
        <w:t>поради очакваните вторични ефекти от ускореното поскъпване на енергоносителите и затрудненията във веригите на доставки. Услугите ще поскъпнат с 8.1% в края на 2022</w:t>
      </w:r>
      <w:r w:rsidR="00DF07FD">
        <w:t> г.</w:t>
      </w:r>
      <w:r w:rsidRPr="005B2032">
        <w:t>, а неенергийните нехранителни стоки – с 6%. Средногодишната инфлация през 2022</w:t>
      </w:r>
      <w:r w:rsidR="00DF07FD">
        <w:t> г.</w:t>
      </w:r>
      <w:r w:rsidRPr="005B2032">
        <w:t xml:space="preserve"> се прогнозира да бъде 10.4%.</w:t>
      </w:r>
    </w:p>
    <w:p w14:paraId="7061CA64" w14:textId="0545ACCF" w:rsidR="001473CD" w:rsidRPr="00CE1113" w:rsidRDefault="001473CD" w:rsidP="00CE1113">
      <w:pPr>
        <w:pStyle w:val="Caption"/>
      </w:pPr>
      <w:r w:rsidRPr="00CE1113">
        <w:t xml:space="preserve">Табл. </w:t>
      </w:r>
      <w:fldSimple w:instr=" STYLEREF 1 \s ">
        <w:r w:rsidR="004C3B04">
          <w:rPr>
            <w:noProof/>
          </w:rPr>
          <w:t>2</w:t>
        </w:r>
      </w:fldSimple>
      <w:r w:rsidRPr="00CE1113">
        <w:noBreakHyphen/>
      </w:r>
      <w:r w:rsidR="00515861" w:rsidRPr="00CE1113">
        <w:t>2</w:t>
      </w:r>
      <w:r w:rsidRPr="00CE1113">
        <w:t>: Прогноза за динамиката на ХИПЦ в периода 2022–2025</w:t>
      </w:r>
      <w:r w:rsidR="00DF07FD" w:rsidRPr="00CE1113">
        <w:t> г.</w:t>
      </w:r>
    </w:p>
    <w:tbl>
      <w:tblPr>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70" w:type="dxa"/>
          <w:right w:w="70" w:type="dxa"/>
        </w:tblCellMar>
        <w:tblLook w:val="04A0" w:firstRow="1" w:lastRow="0" w:firstColumn="1" w:lastColumn="0" w:noHBand="0" w:noVBand="1"/>
      </w:tblPr>
      <w:tblGrid>
        <w:gridCol w:w="4448"/>
        <w:gridCol w:w="1154"/>
        <w:gridCol w:w="1154"/>
        <w:gridCol w:w="1154"/>
        <w:gridCol w:w="1154"/>
      </w:tblGrid>
      <w:tr w:rsidR="005B2032" w:rsidRPr="009A3730" w14:paraId="692D7017" w14:textId="77777777" w:rsidTr="00E8359A">
        <w:trPr>
          <w:trHeight w:val="510"/>
          <w:jc w:val="center"/>
        </w:trPr>
        <w:tc>
          <w:tcPr>
            <w:tcW w:w="3700" w:type="dxa"/>
            <w:shd w:val="clear" w:color="auto" w:fill="D7D4F1"/>
            <w:vAlign w:val="center"/>
            <w:hideMark/>
          </w:tcPr>
          <w:p w14:paraId="729E4068" w14:textId="77777777" w:rsidR="001473CD" w:rsidRPr="009A3730" w:rsidRDefault="001473CD" w:rsidP="00C23DCF">
            <w:pPr>
              <w:spacing w:after="0"/>
              <w:rPr>
                <w:sz w:val="20"/>
              </w:rPr>
            </w:pPr>
            <w:r w:rsidRPr="009A3730">
              <w:rPr>
                <w:sz w:val="20"/>
              </w:rPr>
              <w:t> </w:t>
            </w:r>
          </w:p>
        </w:tc>
        <w:tc>
          <w:tcPr>
            <w:tcW w:w="960" w:type="dxa"/>
            <w:shd w:val="clear" w:color="auto" w:fill="D7D4F1"/>
            <w:vAlign w:val="center"/>
            <w:hideMark/>
          </w:tcPr>
          <w:p w14:paraId="3C19CD25" w14:textId="40CC89CA" w:rsidR="001473CD" w:rsidRPr="009A3730" w:rsidRDefault="001473CD" w:rsidP="00C23DCF">
            <w:pPr>
              <w:spacing w:after="0"/>
              <w:jc w:val="center"/>
              <w:rPr>
                <w:b/>
                <w:bCs/>
                <w:sz w:val="20"/>
              </w:rPr>
            </w:pPr>
            <w:r w:rsidRPr="009A3730">
              <w:rPr>
                <w:b/>
                <w:bCs/>
                <w:sz w:val="20"/>
              </w:rPr>
              <w:t>2022</w:t>
            </w:r>
            <w:r w:rsidR="00DF07FD" w:rsidRPr="009A3730">
              <w:rPr>
                <w:b/>
                <w:bCs/>
                <w:sz w:val="20"/>
              </w:rPr>
              <w:t> г.</w:t>
            </w:r>
          </w:p>
        </w:tc>
        <w:tc>
          <w:tcPr>
            <w:tcW w:w="960" w:type="dxa"/>
            <w:shd w:val="clear" w:color="auto" w:fill="D7D4F1"/>
            <w:vAlign w:val="center"/>
            <w:hideMark/>
          </w:tcPr>
          <w:p w14:paraId="44DFC58E" w14:textId="7A388350" w:rsidR="001473CD" w:rsidRPr="009A3730" w:rsidRDefault="001473CD" w:rsidP="00C23DCF">
            <w:pPr>
              <w:spacing w:after="0"/>
              <w:jc w:val="center"/>
              <w:rPr>
                <w:b/>
                <w:bCs/>
                <w:sz w:val="20"/>
              </w:rPr>
            </w:pPr>
            <w:r w:rsidRPr="009A3730">
              <w:rPr>
                <w:b/>
                <w:bCs/>
                <w:sz w:val="20"/>
              </w:rPr>
              <w:t>2023</w:t>
            </w:r>
            <w:r w:rsidR="00DF07FD" w:rsidRPr="009A3730">
              <w:rPr>
                <w:b/>
                <w:bCs/>
                <w:sz w:val="20"/>
              </w:rPr>
              <w:t> г.</w:t>
            </w:r>
          </w:p>
        </w:tc>
        <w:tc>
          <w:tcPr>
            <w:tcW w:w="960" w:type="dxa"/>
            <w:shd w:val="clear" w:color="auto" w:fill="D7D4F1"/>
            <w:vAlign w:val="center"/>
            <w:hideMark/>
          </w:tcPr>
          <w:p w14:paraId="57AAAC81" w14:textId="159AF446" w:rsidR="001473CD" w:rsidRPr="009A3730" w:rsidRDefault="001473CD" w:rsidP="00C23DCF">
            <w:pPr>
              <w:spacing w:after="0"/>
              <w:jc w:val="center"/>
              <w:rPr>
                <w:b/>
                <w:bCs/>
                <w:sz w:val="20"/>
              </w:rPr>
            </w:pPr>
            <w:r w:rsidRPr="009A3730">
              <w:rPr>
                <w:b/>
                <w:bCs/>
                <w:sz w:val="20"/>
              </w:rPr>
              <w:t>2024</w:t>
            </w:r>
            <w:r w:rsidR="00DF07FD" w:rsidRPr="009A3730">
              <w:rPr>
                <w:b/>
                <w:bCs/>
                <w:sz w:val="20"/>
              </w:rPr>
              <w:t> г.</w:t>
            </w:r>
          </w:p>
        </w:tc>
        <w:tc>
          <w:tcPr>
            <w:tcW w:w="960" w:type="dxa"/>
            <w:shd w:val="clear" w:color="auto" w:fill="D7D4F1"/>
            <w:vAlign w:val="center"/>
            <w:hideMark/>
          </w:tcPr>
          <w:p w14:paraId="49A8BB7C" w14:textId="4E4CE5A6" w:rsidR="001473CD" w:rsidRPr="009A3730" w:rsidRDefault="001473CD" w:rsidP="00C23DCF">
            <w:pPr>
              <w:spacing w:after="0"/>
              <w:jc w:val="center"/>
              <w:rPr>
                <w:b/>
                <w:bCs/>
                <w:sz w:val="20"/>
              </w:rPr>
            </w:pPr>
            <w:r w:rsidRPr="009A3730">
              <w:rPr>
                <w:b/>
                <w:bCs/>
                <w:sz w:val="20"/>
              </w:rPr>
              <w:t>2025</w:t>
            </w:r>
            <w:r w:rsidR="00DF07FD" w:rsidRPr="009A3730">
              <w:rPr>
                <w:b/>
                <w:bCs/>
                <w:sz w:val="20"/>
              </w:rPr>
              <w:t> г.</w:t>
            </w:r>
          </w:p>
        </w:tc>
      </w:tr>
      <w:tr w:rsidR="005B2032" w:rsidRPr="009A3730" w14:paraId="4D30C8C3" w14:textId="77777777" w:rsidTr="00E8359A">
        <w:trPr>
          <w:trHeight w:val="510"/>
          <w:jc w:val="center"/>
        </w:trPr>
        <w:tc>
          <w:tcPr>
            <w:tcW w:w="3700" w:type="dxa"/>
            <w:vAlign w:val="center"/>
            <w:hideMark/>
          </w:tcPr>
          <w:p w14:paraId="0F321FB7" w14:textId="77777777" w:rsidR="001473CD" w:rsidRPr="009A3730" w:rsidRDefault="001473CD" w:rsidP="00C23DCF">
            <w:pPr>
              <w:spacing w:after="0"/>
              <w:rPr>
                <w:sz w:val="20"/>
              </w:rPr>
            </w:pPr>
            <w:r w:rsidRPr="009A3730">
              <w:rPr>
                <w:sz w:val="20"/>
              </w:rPr>
              <w:t>Средногодишна инфлация (в %)</w:t>
            </w:r>
          </w:p>
        </w:tc>
        <w:tc>
          <w:tcPr>
            <w:tcW w:w="960" w:type="dxa"/>
            <w:vAlign w:val="center"/>
            <w:hideMark/>
          </w:tcPr>
          <w:p w14:paraId="10F75E8A" w14:textId="77777777" w:rsidR="001473CD" w:rsidRPr="009A3730" w:rsidRDefault="001473CD" w:rsidP="00C23DCF">
            <w:pPr>
              <w:spacing w:after="0"/>
              <w:jc w:val="center"/>
              <w:rPr>
                <w:sz w:val="20"/>
              </w:rPr>
            </w:pPr>
            <w:r w:rsidRPr="009A3730">
              <w:rPr>
                <w:sz w:val="20"/>
              </w:rPr>
              <w:t>10.4</w:t>
            </w:r>
          </w:p>
        </w:tc>
        <w:tc>
          <w:tcPr>
            <w:tcW w:w="960" w:type="dxa"/>
            <w:vAlign w:val="center"/>
            <w:hideMark/>
          </w:tcPr>
          <w:p w14:paraId="7CF28A4D" w14:textId="77777777" w:rsidR="001473CD" w:rsidRPr="009A3730" w:rsidRDefault="001473CD" w:rsidP="00C23DCF">
            <w:pPr>
              <w:spacing w:after="0"/>
              <w:jc w:val="center"/>
              <w:rPr>
                <w:sz w:val="20"/>
              </w:rPr>
            </w:pPr>
            <w:r w:rsidRPr="009A3730">
              <w:rPr>
                <w:sz w:val="20"/>
              </w:rPr>
              <w:t>5.1</w:t>
            </w:r>
          </w:p>
        </w:tc>
        <w:tc>
          <w:tcPr>
            <w:tcW w:w="960" w:type="dxa"/>
            <w:vAlign w:val="center"/>
            <w:hideMark/>
          </w:tcPr>
          <w:p w14:paraId="7FB0B8AF" w14:textId="77777777" w:rsidR="001473CD" w:rsidRPr="009A3730" w:rsidRDefault="001473CD" w:rsidP="00C23DCF">
            <w:pPr>
              <w:spacing w:after="0"/>
              <w:jc w:val="center"/>
              <w:rPr>
                <w:sz w:val="20"/>
              </w:rPr>
            </w:pPr>
            <w:r w:rsidRPr="009A3730">
              <w:rPr>
                <w:sz w:val="20"/>
              </w:rPr>
              <w:t>2.7</w:t>
            </w:r>
          </w:p>
        </w:tc>
        <w:tc>
          <w:tcPr>
            <w:tcW w:w="960" w:type="dxa"/>
            <w:vAlign w:val="center"/>
            <w:hideMark/>
          </w:tcPr>
          <w:p w14:paraId="39AA1693" w14:textId="77777777" w:rsidR="001473CD" w:rsidRPr="009A3730" w:rsidRDefault="001473CD" w:rsidP="00C23DCF">
            <w:pPr>
              <w:spacing w:after="0"/>
              <w:jc w:val="center"/>
              <w:rPr>
                <w:sz w:val="20"/>
              </w:rPr>
            </w:pPr>
            <w:r w:rsidRPr="009A3730">
              <w:rPr>
                <w:sz w:val="20"/>
              </w:rPr>
              <w:t>2.3</w:t>
            </w:r>
          </w:p>
        </w:tc>
      </w:tr>
      <w:tr w:rsidR="005B2032" w:rsidRPr="009A3730" w14:paraId="11E006F7" w14:textId="77777777" w:rsidTr="00E8359A">
        <w:trPr>
          <w:trHeight w:val="510"/>
          <w:jc w:val="center"/>
        </w:trPr>
        <w:tc>
          <w:tcPr>
            <w:tcW w:w="3700" w:type="dxa"/>
            <w:vAlign w:val="center"/>
            <w:hideMark/>
          </w:tcPr>
          <w:p w14:paraId="6392C5FE" w14:textId="77777777" w:rsidR="001473CD" w:rsidRPr="009A3730" w:rsidRDefault="001473CD" w:rsidP="00C23DCF">
            <w:pPr>
              <w:spacing w:after="0"/>
              <w:rPr>
                <w:sz w:val="20"/>
              </w:rPr>
            </w:pPr>
            <w:r w:rsidRPr="009A3730">
              <w:rPr>
                <w:sz w:val="20"/>
              </w:rPr>
              <w:t>Инфлация в края на годината (в %)</w:t>
            </w:r>
          </w:p>
        </w:tc>
        <w:tc>
          <w:tcPr>
            <w:tcW w:w="960" w:type="dxa"/>
            <w:vAlign w:val="center"/>
            <w:hideMark/>
          </w:tcPr>
          <w:p w14:paraId="10C2835C" w14:textId="77777777" w:rsidR="001473CD" w:rsidRPr="009A3730" w:rsidRDefault="001473CD" w:rsidP="00C23DCF">
            <w:pPr>
              <w:spacing w:after="0"/>
              <w:jc w:val="center"/>
              <w:rPr>
                <w:sz w:val="20"/>
              </w:rPr>
            </w:pPr>
            <w:r w:rsidRPr="009A3730">
              <w:rPr>
                <w:sz w:val="20"/>
              </w:rPr>
              <w:t>10.0</w:t>
            </w:r>
          </w:p>
        </w:tc>
        <w:tc>
          <w:tcPr>
            <w:tcW w:w="960" w:type="dxa"/>
            <w:vAlign w:val="center"/>
            <w:hideMark/>
          </w:tcPr>
          <w:p w14:paraId="11360AFC" w14:textId="77777777" w:rsidR="001473CD" w:rsidRPr="009A3730" w:rsidRDefault="001473CD" w:rsidP="00C23DCF">
            <w:pPr>
              <w:spacing w:after="0"/>
              <w:jc w:val="center"/>
              <w:rPr>
                <w:sz w:val="20"/>
              </w:rPr>
            </w:pPr>
            <w:r w:rsidRPr="009A3730">
              <w:rPr>
                <w:sz w:val="20"/>
              </w:rPr>
              <w:t>3.1</w:t>
            </w:r>
          </w:p>
        </w:tc>
        <w:tc>
          <w:tcPr>
            <w:tcW w:w="960" w:type="dxa"/>
            <w:vAlign w:val="center"/>
            <w:hideMark/>
          </w:tcPr>
          <w:p w14:paraId="61501F9D" w14:textId="77777777" w:rsidR="001473CD" w:rsidRPr="009A3730" w:rsidRDefault="001473CD" w:rsidP="00C23DCF">
            <w:pPr>
              <w:spacing w:after="0"/>
              <w:jc w:val="center"/>
              <w:rPr>
                <w:sz w:val="20"/>
              </w:rPr>
            </w:pPr>
            <w:r w:rsidRPr="009A3730">
              <w:rPr>
                <w:sz w:val="20"/>
              </w:rPr>
              <w:t>2.4</w:t>
            </w:r>
          </w:p>
        </w:tc>
        <w:tc>
          <w:tcPr>
            <w:tcW w:w="960" w:type="dxa"/>
            <w:vAlign w:val="center"/>
            <w:hideMark/>
          </w:tcPr>
          <w:p w14:paraId="59D9C178" w14:textId="77777777" w:rsidR="001473CD" w:rsidRPr="009A3730" w:rsidRDefault="001473CD" w:rsidP="00C23DCF">
            <w:pPr>
              <w:spacing w:after="0"/>
              <w:jc w:val="center"/>
              <w:rPr>
                <w:sz w:val="20"/>
              </w:rPr>
            </w:pPr>
            <w:r w:rsidRPr="009A3730">
              <w:rPr>
                <w:sz w:val="20"/>
              </w:rPr>
              <w:t>2.2</w:t>
            </w:r>
          </w:p>
        </w:tc>
      </w:tr>
    </w:tbl>
    <w:p w14:paraId="5A77FA8F" w14:textId="77777777" w:rsidR="001473CD" w:rsidRPr="005B2032" w:rsidRDefault="001473CD" w:rsidP="001473CD"/>
    <w:p w14:paraId="31D0B38E" w14:textId="540D6AD7" w:rsidR="00013BCD" w:rsidRPr="005B2032" w:rsidRDefault="001473CD" w:rsidP="00515861">
      <w:r w:rsidRPr="005B2032">
        <w:t>В съответствие с очакванията за низходяща ценова динамика при всички основни суровини в периода 2023</w:t>
      </w:r>
      <w:r w:rsidR="009A49BF">
        <w:rPr>
          <w:lang w:val="en-US"/>
        </w:rPr>
        <w:t>–</w:t>
      </w:r>
      <w:r w:rsidRPr="005B2032">
        <w:t>2025</w:t>
      </w:r>
      <w:r w:rsidR="00DF07FD">
        <w:t> г.</w:t>
      </w:r>
      <w:r w:rsidRPr="005B2032">
        <w:t>, както и с изчерпване на наблюдаваните вторични ефекти, темпът на инфлация в страната също се очаква да продължи да се забавя. Енергийните стоки ще имат отрицателен принос, поради очакваното намаление на международната цена на петрола, което ще доведе до поевтиняване на автомобилните горива.</w:t>
      </w:r>
    </w:p>
    <w:p w14:paraId="2E8524E8" w14:textId="77777777" w:rsidR="002F3E21" w:rsidRPr="004018C2" w:rsidRDefault="002F3E21" w:rsidP="004018C2">
      <w:pPr>
        <w:pStyle w:val="Heading3"/>
      </w:pPr>
      <w:r w:rsidRPr="004018C2">
        <w:t>Външен сектор</w:t>
      </w:r>
      <w:bookmarkEnd w:id="53"/>
      <w:bookmarkEnd w:id="54"/>
      <w:r w:rsidR="006152DC" w:rsidRPr="004018C2">
        <w:rPr>
          <w:rStyle w:val="FootnoteReference"/>
        </w:rPr>
        <w:footnoteReference w:id="7"/>
      </w:r>
    </w:p>
    <w:p w14:paraId="44288C79" w14:textId="24C9094A" w:rsidR="001473CD" w:rsidRPr="005B2032" w:rsidRDefault="001473CD" w:rsidP="00515861">
      <w:pPr>
        <w:rPr>
          <w:szCs w:val="24"/>
        </w:rPr>
      </w:pPr>
      <w:r w:rsidRPr="005B2032">
        <w:rPr>
          <w:szCs w:val="24"/>
        </w:rPr>
        <w:t>През 2021</w:t>
      </w:r>
      <w:r w:rsidR="00DF07FD">
        <w:rPr>
          <w:szCs w:val="24"/>
        </w:rPr>
        <w:t> г.</w:t>
      </w:r>
      <w:r w:rsidRPr="005B2032">
        <w:rPr>
          <w:szCs w:val="24"/>
        </w:rPr>
        <w:t xml:space="preserve"> по текущата и капиталовата сметка бе отчетен излишък в размер на 219.3 млн. евро (0.3% от БВП) при 905 млн. евро през 2020</w:t>
      </w:r>
      <w:r w:rsidR="00DF07FD">
        <w:rPr>
          <w:szCs w:val="24"/>
        </w:rPr>
        <w:t> г.</w:t>
      </w:r>
    </w:p>
    <w:p w14:paraId="62A1E522" w14:textId="29C23FEB" w:rsidR="001473CD" w:rsidRPr="005B2032" w:rsidRDefault="001473CD" w:rsidP="00515861">
      <w:pPr>
        <w:rPr>
          <w:szCs w:val="24"/>
        </w:rPr>
      </w:pPr>
      <w:r w:rsidRPr="005B2032">
        <w:rPr>
          <w:szCs w:val="24"/>
        </w:rPr>
        <w:t>През 2021</w:t>
      </w:r>
      <w:r w:rsidR="00DF07FD">
        <w:rPr>
          <w:szCs w:val="24"/>
        </w:rPr>
        <w:t> г.</w:t>
      </w:r>
      <w:r w:rsidRPr="005B2032">
        <w:rPr>
          <w:szCs w:val="24"/>
        </w:rPr>
        <w:t xml:space="preserve"> бе отчетено възстановяване на икономическата активност в световен мащаб в резултат на постепенното овладяване на разпространението на COVID-19, активизирането на международната търговия и пътувания</w:t>
      </w:r>
      <w:r w:rsidR="005E7BB0" w:rsidRPr="005B2032">
        <w:rPr>
          <w:szCs w:val="24"/>
        </w:rPr>
        <w:t>та</w:t>
      </w:r>
      <w:r w:rsidRPr="005B2032">
        <w:rPr>
          <w:szCs w:val="24"/>
        </w:rPr>
        <w:t>. В България износът на стоки нарасна с 25.7%, а вносът</w:t>
      </w:r>
      <w:r w:rsidR="00DF07FD">
        <w:rPr>
          <w:szCs w:val="24"/>
        </w:rPr>
        <w:t xml:space="preserve"> – </w:t>
      </w:r>
      <w:r w:rsidRPr="005B2032">
        <w:rPr>
          <w:szCs w:val="24"/>
        </w:rPr>
        <w:t>с 28.6%, което определи и увеличението на търговския дефицит с 1.8 пр.п. до 2% от БВП. През годината износът на стоки бе движен от изпреварващия реален растеж на вноса спрямо износа, при формиране на положителни условия на търговия. Повишението на вноса в количествено отношение бе движено от силното потребление на домакинствата и нуждата от суровини за експортно-ориентираните отрасли, докато ръстът на износа отразяваше рязкото възстановяването на външното търсене.</w:t>
      </w:r>
    </w:p>
    <w:p w14:paraId="77E027C2" w14:textId="1957CB18" w:rsidR="001473CD" w:rsidRDefault="001473CD" w:rsidP="00515861">
      <w:pPr>
        <w:rPr>
          <w:szCs w:val="24"/>
        </w:rPr>
      </w:pPr>
      <w:r w:rsidRPr="005B2032">
        <w:rPr>
          <w:szCs w:val="24"/>
        </w:rPr>
        <w:lastRenderedPageBreak/>
        <w:t>Експортната динамика се отрази в подобрение на пазарните позиции на страната. Средно за периода януари-септември 2021</w:t>
      </w:r>
      <w:r w:rsidR="00DF07FD">
        <w:rPr>
          <w:szCs w:val="24"/>
        </w:rPr>
        <w:t> г.</w:t>
      </w:r>
      <w:r w:rsidRPr="005B2032">
        <w:rPr>
          <w:szCs w:val="24"/>
        </w:rPr>
        <w:t xml:space="preserve"> дяловете на българския износ в световния внос и във вноса в рамките на ЕС се повишиха.</w:t>
      </w:r>
    </w:p>
    <w:p w14:paraId="6D623895" w14:textId="79E201BF" w:rsidR="001473CD" w:rsidRPr="00CE1113" w:rsidRDefault="001473CD" w:rsidP="00CE1113">
      <w:pPr>
        <w:pStyle w:val="Caption"/>
      </w:pPr>
      <w:r w:rsidRPr="00CE1113">
        <w:t xml:space="preserve">Граф. </w:t>
      </w:r>
      <w:fldSimple w:instr=" STYLEREF 1 \s ">
        <w:r w:rsidR="004C3B04">
          <w:rPr>
            <w:noProof/>
          </w:rPr>
          <w:t>2</w:t>
        </w:r>
      </w:fldSimple>
      <w:r w:rsidRPr="00CE1113">
        <w:noBreakHyphen/>
      </w:r>
      <w:r w:rsidR="00935A2F">
        <w:rPr>
          <w:lang w:val="en-US"/>
        </w:rPr>
        <w:t>5</w:t>
      </w:r>
      <w:r w:rsidRPr="00CE1113">
        <w:t xml:space="preserve">: </w:t>
      </w:r>
      <w:r w:rsidRPr="00CE1113">
        <w:tab/>
        <w:t>Дял на България в международния стокообмен (%)</w:t>
      </w:r>
    </w:p>
    <w:p w14:paraId="6C2196C0" w14:textId="63C88722" w:rsidR="001473CD" w:rsidRPr="005B2032" w:rsidRDefault="001473CD" w:rsidP="00C47B43">
      <w:pPr>
        <w:spacing w:after="0"/>
      </w:pPr>
      <w:r w:rsidRPr="005B2032">
        <w:rPr>
          <w:noProof/>
        </w:rPr>
        <w:drawing>
          <wp:inline distT="0" distB="0" distL="0" distR="0" wp14:anchorId="333C8242" wp14:editId="49D20156">
            <wp:extent cx="5924550" cy="2340000"/>
            <wp:effectExtent l="0" t="0" r="0" b="317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FA12FDF" w14:textId="77777777" w:rsidR="001473CD" w:rsidRPr="005B2032" w:rsidRDefault="001473CD" w:rsidP="00CE1113">
      <w:pPr>
        <w:pStyle w:val="a"/>
      </w:pPr>
      <w:r w:rsidRPr="005B2032">
        <w:t>Източник: Изчисления на МФ по данни на СТО и БНБ</w:t>
      </w:r>
    </w:p>
    <w:p w14:paraId="45B65C0C" w14:textId="033D6C63" w:rsidR="001473CD" w:rsidRPr="00CE1113" w:rsidRDefault="001473CD" w:rsidP="00CE1113">
      <w:pPr>
        <w:pStyle w:val="Caption"/>
      </w:pPr>
      <w:r w:rsidRPr="00CE1113">
        <w:t xml:space="preserve">Граф. </w:t>
      </w:r>
      <w:fldSimple w:instr=" STYLEREF 1 \s ">
        <w:r w:rsidR="004C3B04">
          <w:rPr>
            <w:noProof/>
          </w:rPr>
          <w:t>2</w:t>
        </w:r>
      </w:fldSimple>
      <w:r w:rsidRPr="00CE1113">
        <w:noBreakHyphen/>
      </w:r>
      <w:r w:rsidR="00935A2F">
        <w:rPr>
          <w:lang w:val="en-US"/>
        </w:rPr>
        <w:t>6</w:t>
      </w:r>
      <w:r w:rsidRPr="00CE1113">
        <w:t>: РЕВК на България спрямо 36 индустриални страни, 2010=100</w:t>
      </w:r>
    </w:p>
    <w:p w14:paraId="7FF6109F" w14:textId="7DBB9E10" w:rsidR="001473CD" w:rsidRPr="005B2032" w:rsidRDefault="001473CD" w:rsidP="00C47B43">
      <w:pPr>
        <w:spacing w:after="0"/>
        <w:rPr>
          <w:szCs w:val="24"/>
          <w:lang w:val="en-US"/>
        </w:rPr>
      </w:pPr>
      <w:r w:rsidRPr="005B2032">
        <w:rPr>
          <w:noProof/>
          <w:szCs w:val="24"/>
        </w:rPr>
        <w:drawing>
          <wp:inline distT="0" distB="0" distL="0" distR="0" wp14:anchorId="335DDE1E" wp14:editId="35653C69">
            <wp:extent cx="5760000" cy="2340000"/>
            <wp:effectExtent l="0" t="0" r="0" b="317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DE8A2EB" w14:textId="77777777" w:rsidR="001473CD" w:rsidRPr="00CE1113" w:rsidRDefault="001473CD" w:rsidP="00C47B43">
      <w:pPr>
        <w:spacing w:after="0"/>
        <w:rPr>
          <w:sz w:val="18"/>
        </w:rPr>
      </w:pPr>
      <w:r w:rsidRPr="00CE1113">
        <w:rPr>
          <w:sz w:val="18"/>
        </w:rPr>
        <w:t>* Номинални разходи за труд на единица продукция общо за икономиката</w:t>
      </w:r>
    </w:p>
    <w:p w14:paraId="00BECE4B" w14:textId="77777777" w:rsidR="001473CD" w:rsidRPr="005B2032" w:rsidRDefault="001473CD" w:rsidP="00CE1113">
      <w:pPr>
        <w:pStyle w:val="a"/>
      </w:pPr>
      <w:r w:rsidRPr="005B2032">
        <w:t>Източник: ЕК</w:t>
      </w:r>
    </w:p>
    <w:p w14:paraId="24806E7B" w14:textId="4B8383CD" w:rsidR="001473CD" w:rsidRPr="005B2032" w:rsidRDefault="001473CD" w:rsidP="00515861">
      <w:pPr>
        <w:rPr>
          <w:szCs w:val="24"/>
        </w:rPr>
      </w:pPr>
      <w:r w:rsidRPr="005B2032">
        <w:rPr>
          <w:szCs w:val="24"/>
        </w:rPr>
        <w:t>Тенденциите в развитието на световния стокообмен показват, че повишението на износа на страната е обвързано с продължаващо подобрение на неценовата конкурентоспособност. След забавяне в темповете на поскъпване в периода 2018</w:t>
      </w:r>
      <w:r w:rsidR="00833F88">
        <w:rPr>
          <w:szCs w:val="24"/>
          <w:lang w:val="en-US"/>
        </w:rPr>
        <w:t>–</w:t>
      </w:r>
      <w:r w:rsidRPr="005B2032">
        <w:rPr>
          <w:szCs w:val="24"/>
        </w:rPr>
        <w:t>2019</w:t>
      </w:r>
      <w:r w:rsidR="00DF07FD">
        <w:rPr>
          <w:szCs w:val="24"/>
        </w:rPr>
        <w:t> г.</w:t>
      </w:r>
      <w:r w:rsidRPr="005B2032">
        <w:rPr>
          <w:szCs w:val="24"/>
        </w:rPr>
        <w:t>, динамиката на реалния ефективен валутен курс</w:t>
      </w:r>
      <w:r w:rsidR="00935A2F">
        <w:rPr>
          <w:szCs w:val="24"/>
        </w:rPr>
        <w:t xml:space="preserve"> (РЕВК)</w:t>
      </w:r>
      <w:r w:rsidRPr="005B2032">
        <w:rPr>
          <w:szCs w:val="24"/>
        </w:rPr>
        <w:t>, изчислен с ХИПЦ</w:t>
      </w:r>
      <w:r w:rsidR="005E7BB0" w:rsidRPr="005B2032">
        <w:rPr>
          <w:szCs w:val="24"/>
        </w:rPr>
        <w:t>,</w:t>
      </w:r>
      <w:r w:rsidRPr="005B2032">
        <w:rPr>
          <w:szCs w:val="24"/>
        </w:rPr>
        <w:t xml:space="preserve"> и номиналните разходи за труд на единица продукция (НРТЕП), отново </w:t>
      </w:r>
      <w:r w:rsidR="00872236">
        <w:rPr>
          <w:szCs w:val="24"/>
        </w:rPr>
        <w:t>отчете</w:t>
      </w:r>
      <w:r w:rsidRPr="005B2032">
        <w:rPr>
          <w:szCs w:val="24"/>
        </w:rPr>
        <w:t xml:space="preserve"> ускорение през 2020</w:t>
      </w:r>
      <w:r w:rsidR="00DF07FD">
        <w:rPr>
          <w:szCs w:val="24"/>
        </w:rPr>
        <w:t> г.</w:t>
      </w:r>
      <w:r w:rsidRPr="005B2032">
        <w:rPr>
          <w:szCs w:val="24"/>
        </w:rPr>
        <w:t>, което продължи</w:t>
      </w:r>
      <w:r w:rsidRPr="005B2032">
        <w:rPr>
          <w:szCs w:val="24"/>
          <w:lang w:val="en-US"/>
        </w:rPr>
        <w:t xml:space="preserve"> </w:t>
      </w:r>
      <w:r w:rsidRPr="005B2032">
        <w:rPr>
          <w:szCs w:val="24"/>
        </w:rPr>
        <w:t>и</w:t>
      </w:r>
      <w:r w:rsidRPr="005B2032">
        <w:rPr>
          <w:szCs w:val="24"/>
          <w:lang w:val="en-US"/>
        </w:rPr>
        <w:t xml:space="preserve"> </w:t>
      </w:r>
      <w:r w:rsidRPr="005B2032">
        <w:rPr>
          <w:szCs w:val="24"/>
        </w:rPr>
        <w:t xml:space="preserve">през </w:t>
      </w:r>
      <w:r w:rsidRPr="005B2032">
        <w:rPr>
          <w:szCs w:val="24"/>
          <w:lang w:val="en-US"/>
        </w:rPr>
        <w:t>2021</w:t>
      </w:r>
      <w:r w:rsidR="00DF07FD">
        <w:rPr>
          <w:szCs w:val="24"/>
        </w:rPr>
        <w:t> г.</w:t>
      </w:r>
      <w:r w:rsidRPr="005B2032">
        <w:rPr>
          <w:szCs w:val="24"/>
        </w:rPr>
        <w:t xml:space="preserve"> Сравнително по-слабо беше влиянието на поскъпването на еврото спрямо щатския долар, видимо от графиката на номиналния ефективен валутен курс, докато при показателя с разходите за труд на единица продукция по-съществен принос имаше по линия на дефлатора. Номиналният темп на растеж на разходите за труд на единица продукция през 2021</w:t>
      </w:r>
      <w:r w:rsidR="00DF07FD">
        <w:rPr>
          <w:szCs w:val="24"/>
        </w:rPr>
        <w:t> г.</w:t>
      </w:r>
      <w:r w:rsidRPr="005B2032">
        <w:rPr>
          <w:szCs w:val="24"/>
        </w:rPr>
        <w:t xml:space="preserve"> се характеризираше със силно забавяне в сравнение с предходната година, но стойността на разглеждания показател остана относително по-висока спрямо избраната група търговски партньори. Следва да се отбележи обаче, че наличната статистическа информация за разходите за труд през 2020 и 2021</w:t>
      </w:r>
      <w:r w:rsidR="00DF07FD">
        <w:rPr>
          <w:szCs w:val="24"/>
        </w:rPr>
        <w:t> г.</w:t>
      </w:r>
      <w:r w:rsidRPr="005B2032">
        <w:rPr>
          <w:szCs w:val="24"/>
        </w:rPr>
        <w:t xml:space="preserve"> не отчита приноса на </w:t>
      </w:r>
      <w:r w:rsidR="005E7BB0" w:rsidRPr="005B2032">
        <w:rPr>
          <w:szCs w:val="24"/>
        </w:rPr>
        <w:lastRenderedPageBreak/>
        <w:t>предприетите</w:t>
      </w:r>
      <w:r w:rsidRPr="005B2032">
        <w:rPr>
          <w:szCs w:val="24"/>
        </w:rPr>
        <w:t xml:space="preserve"> мерки за преодоляване на негативните последици от пандемията, което прави сравнението на динамиката на разходите за труд по страни в известна степен неконсистентно към настоящия момент. </w:t>
      </w:r>
    </w:p>
    <w:p w14:paraId="6E1B20E3" w14:textId="2D7DFABB" w:rsidR="001473CD" w:rsidRPr="005B2032" w:rsidRDefault="001473CD" w:rsidP="00515861">
      <w:pPr>
        <w:rPr>
          <w:szCs w:val="24"/>
        </w:rPr>
      </w:pPr>
      <w:r w:rsidRPr="005B2032">
        <w:rPr>
          <w:szCs w:val="24"/>
        </w:rPr>
        <w:t>През 2021</w:t>
      </w:r>
      <w:r w:rsidR="00DF07FD">
        <w:rPr>
          <w:szCs w:val="24"/>
        </w:rPr>
        <w:t> г.</w:t>
      </w:r>
      <w:r w:rsidRPr="005B2032">
        <w:rPr>
          <w:szCs w:val="24"/>
        </w:rPr>
        <w:t xml:space="preserve"> излишъкът при услугите почти достигна нивата си от 2019</w:t>
      </w:r>
      <w:r w:rsidR="00DF07FD">
        <w:rPr>
          <w:szCs w:val="24"/>
        </w:rPr>
        <w:t> г.</w:t>
      </w:r>
      <w:r w:rsidRPr="005B2032">
        <w:rPr>
          <w:szCs w:val="24"/>
        </w:rPr>
        <w:t>, като основен принос за подобрението имаха приходите от пътувания, както и услугите</w:t>
      </w:r>
      <w:r w:rsidR="005E7BB0" w:rsidRPr="005B2032">
        <w:rPr>
          <w:szCs w:val="24"/>
        </w:rPr>
        <w:t>,</w:t>
      </w:r>
      <w:r w:rsidRPr="005B2032">
        <w:rPr>
          <w:szCs w:val="24"/>
        </w:rPr>
        <w:t xml:space="preserve"> свързани с ИТ и далекосъобщения. В резултат, износът на услуги </w:t>
      </w:r>
      <w:r w:rsidR="005E7BB0" w:rsidRPr="005B2032">
        <w:rPr>
          <w:szCs w:val="24"/>
        </w:rPr>
        <w:t>нарасна</w:t>
      </w:r>
      <w:r w:rsidRPr="005B2032">
        <w:rPr>
          <w:szCs w:val="24"/>
        </w:rPr>
        <w:t xml:space="preserve"> с 27.8% спрямо 2020</w:t>
      </w:r>
      <w:r w:rsidR="00DF07FD">
        <w:rPr>
          <w:szCs w:val="24"/>
        </w:rPr>
        <w:t> г.</w:t>
      </w:r>
      <w:r w:rsidRPr="005B2032">
        <w:rPr>
          <w:szCs w:val="24"/>
        </w:rPr>
        <w:t xml:space="preserve">, а вносът се увеличи с 14.7%. Общият излишък по статия услуги достигна 6.6% от БВП при 5% година по-рано. Салдото на доходните статии леко се влоши в резултат на намаление на паричните </w:t>
      </w:r>
      <w:r w:rsidR="005E7BB0" w:rsidRPr="005B2032">
        <w:rPr>
          <w:szCs w:val="24"/>
        </w:rPr>
        <w:t>трансфери</w:t>
      </w:r>
      <w:r w:rsidRPr="005B2032">
        <w:rPr>
          <w:szCs w:val="24"/>
        </w:rPr>
        <w:t xml:space="preserve"> от чужбина. Дефицитът по текущата сметка за 2021</w:t>
      </w:r>
      <w:r w:rsidR="00DF07FD">
        <w:rPr>
          <w:szCs w:val="24"/>
        </w:rPr>
        <w:t> г.</w:t>
      </w:r>
      <w:r w:rsidRPr="005B2032">
        <w:rPr>
          <w:szCs w:val="24"/>
        </w:rPr>
        <w:t xml:space="preserve"> се увеличи до 0.4% от БВП. </w:t>
      </w:r>
    </w:p>
    <w:p w14:paraId="21C98F81" w14:textId="195D4E9B" w:rsidR="001473CD" w:rsidRPr="005B2032" w:rsidRDefault="001473CD" w:rsidP="00515861">
      <w:pPr>
        <w:rPr>
          <w:szCs w:val="24"/>
        </w:rPr>
      </w:pPr>
      <w:r w:rsidRPr="005B2032">
        <w:rPr>
          <w:szCs w:val="24"/>
        </w:rPr>
        <w:t>През 2022</w:t>
      </w:r>
      <w:r w:rsidR="00DF07FD">
        <w:rPr>
          <w:szCs w:val="24"/>
        </w:rPr>
        <w:t> г.</w:t>
      </w:r>
      <w:r w:rsidRPr="005B2032">
        <w:rPr>
          <w:szCs w:val="24"/>
        </w:rPr>
        <w:t xml:space="preserve"> се очаква влошаване на търговския баланс</w:t>
      </w:r>
      <w:r w:rsidR="005E7BB0" w:rsidRPr="005B2032">
        <w:rPr>
          <w:szCs w:val="24"/>
        </w:rPr>
        <w:t>,</w:t>
      </w:r>
      <w:r w:rsidRPr="005B2032">
        <w:rPr>
          <w:szCs w:val="24"/>
        </w:rPr>
        <w:t xml:space="preserve"> водено от по-висок реален растеж на вноса спрямо този на износа и отрицателни условия на търговия. В резултат, номиналните темпове на нарастване на вноса ще изпреварят тези на износа, а </w:t>
      </w:r>
      <w:r w:rsidR="005E7BB0" w:rsidRPr="005B2032">
        <w:rPr>
          <w:szCs w:val="24"/>
        </w:rPr>
        <w:t>търговският</w:t>
      </w:r>
      <w:r w:rsidRPr="005B2032">
        <w:rPr>
          <w:szCs w:val="24"/>
        </w:rPr>
        <w:t xml:space="preserve"> дефицит ще се увеличи. Прогнозата за динамиката на статия </w:t>
      </w:r>
      <w:r w:rsidRPr="005B2032">
        <w:rPr>
          <w:i/>
          <w:szCs w:val="24"/>
        </w:rPr>
        <w:t>Услуги</w:t>
      </w:r>
      <w:r w:rsidRPr="005B2032">
        <w:rPr>
          <w:szCs w:val="24"/>
        </w:rPr>
        <w:t xml:space="preserve"> отразява два противоположни ефекта</w:t>
      </w:r>
      <w:r w:rsidR="00DF07FD">
        <w:rPr>
          <w:szCs w:val="24"/>
        </w:rPr>
        <w:t xml:space="preserve"> – </w:t>
      </w:r>
      <w:r w:rsidRPr="005B2032">
        <w:rPr>
          <w:szCs w:val="24"/>
        </w:rPr>
        <w:t>по-ограниченото нарастване на по</w:t>
      </w:r>
      <w:r w:rsidR="005E7BB0" w:rsidRPr="005B2032">
        <w:rPr>
          <w:szCs w:val="24"/>
        </w:rPr>
        <w:t>стъпления от туристи в страната</w:t>
      </w:r>
      <w:r w:rsidRPr="005B2032">
        <w:rPr>
          <w:szCs w:val="24"/>
        </w:rPr>
        <w:t xml:space="preserve"> поради конфликта, от една страна, и отчитането на разходите на бежанци като износ на услуги от статия </w:t>
      </w:r>
      <w:r w:rsidRPr="005B2032">
        <w:rPr>
          <w:i/>
          <w:szCs w:val="24"/>
        </w:rPr>
        <w:t>Пътувания</w:t>
      </w:r>
      <w:r w:rsidRPr="005B2032">
        <w:rPr>
          <w:szCs w:val="24"/>
        </w:rPr>
        <w:t>, от друга. Очакваният ефект върху платежния баланс о</w:t>
      </w:r>
      <w:r w:rsidR="005E7BB0" w:rsidRPr="005B2032">
        <w:rPr>
          <w:szCs w:val="24"/>
        </w:rPr>
        <w:t xml:space="preserve">т притока на бежанци е отразен </w:t>
      </w:r>
      <w:r w:rsidRPr="005B2032">
        <w:rPr>
          <w:szCs w:val="24"/>
        </w:rPr>
        <w:t xml:space="preserve">и в двете доходни статии. Средствата, които държавата отпуска като помощ, респ. плащания към нерезиденти от сектор Държавно управление, са отразени по статия </w:t>
      </w:r>
      <w:r w:rsidRPr="005B2032">
        <w:rPr>
          <w:i/>
          <w:szCs w:val="24"/>
        </w:rPr>
        <w:t>Вторичен доход</w:t>
      </w:r>
      <w:r w:rsidRPr="005B2032">
        <w:rPr>
          <w:szCs w:val="24"/>
        </w:rPr>
        <w:t>. Направено е допускане, че тези плащания ще бъдат напълно компенсирани чрез средства от фондове на ЕС, които са отразени в същата статия. Дефицитът по текущата сметка ще нарасне до 2.9% от БВП, като основен фактор за това ще е търговията със стоки.</w:t>
      </w:r>
    </w:p>
    <w:p w14:paraId="4C92FA70" w14:textId="04F656DE" w:rsidR="001473CD" w:rsidRPr="005B2032" w:rsidRDefault="001473CD" w:rsidP="00515861">
      <w:pPr>
        <w:rPr>
          <w:szCs w:val="24"/>
        </w:rPr>
      </w:pPr>
      <w:r w:rsidRPr="005B2032">
        <w:rPr>
          <w:szCs w:val="24"/>
        </w:rPr>
        <w:t>През останалите години от прогнозния период салдото на текущата сметка ще остане отрицателно</w:t>
      </w:r>
      <w:r w:rsidRPr="005B2032">
        <w:rPr>
          <w:szCs w:val="24"/>
          <w:lang w:val="en-GB"/>
        </w:rPr>
        <w:t xml:space="preserve">. </w:t>
      </w:r>
      <w:r w:rsidRPr="005B2032">
        <w:rPr>
          <w:szCs w:val="24"/>
        </w:rPr>
        <w:t>Изменението му ще се предопределя главно от динамиката на търговския баланс. През 2023–2024</w:t>
      </w:r>
      <w:r w:rsidR="00DF07FD">
        <w:rPr>
          <w:szCs w:val="24"/>
        </w:rPr>
        <w:t> г.</w:t>
      </w:r>
      <w:r w:rsidRPr="005B2032">
        <w:rPr>
          <w:szCs w:val="24"/>
        </w:rPr>
        <w:t xml:space="preserve"> се очаква подобрение, водено от положителни условия на търговия. Реалният растеж на вноса ще продължи да изпреварва този на износа, като отклонението ще е по-съществено през 2025</w:t>
      </w:r>
      <w:r w:rsidR="00DF07FD">
        <w:rPr>
          <w:szCs w:val="24"/>
        </w:rPr>
        <w:t> г.</w:t>
      </w:r>
      <w:r w:rsidRPr="005B2032">
        <w:rPr>
          <w:szCs w:val="24"/>
        </w:rPr>
        <w:t>, когато се очаква доставка на отбранителна техника.</w:t>
      </w:r>
    </w:p>
    <w:p w14:paraId="3D9E8BD4" w14:textId="0ACB3327" w:rsidR="001473CD" w:rsidRPr="00CE1113" w:rsidRDefault="001473CD" w:rsidP="00CE1113">
      <w:pPr>
        <w:pStyle w:val="Caption"/>
      </w:pPr>
      <w:r w:rsidRPr="00CE1113">
        <w:t xml:space="preserve">Граф. </w:t>
      </w:r>
      <w:fldSimple w:instr=" STYLEREF 1 \s ">
        <w:r w:rsidR="004C3B04">
          <w:rPr>
            <w:noProof/>
          </w:rPr>
          <w:t>2</w:t>
        </w:r>
      </w:fldSimple>
      <w:r w:rsidRPr="00CE1113">
        <w:noBreakHyphen/>
      </w:r>
      <w:r w:rsidR="00935A2F">
        <w:rPr>
          <w:lang w:val="en-US"/>
        </w:rPr>
        <w:t>7</w:t>
      </w:r>
      <w:r w:rsidRPr="00CE1113">
        <w:t>: Текуща сметка (% от БВП)</w:t>
      </w:r>
      <w:r w:rsidR="002E7603" w:rsidRPr="002E7603">
        <w:rPr>
          <w:noProof/>
        </w:rPr>
        <w:t xml:space="preserve"> </w:t>
      </w:r>
    </w:p>
    <w:p w14:paraId="06672880" w14:textId="55089633" w:rsidR="001473CD" w:rsidRPr="005B2032" w:rsidRDefault="002E7603" w:rsidP="002E7603">
      <w:pPr>
        <w:spacing w:after="0" w:line="256" w:lineRule="auto"/>
        <w:rPr>
          <w:rFonts w:ascii="Calibri" w:eastAsia="Calibri" w:hAnsi="Calibri"/>
          <w:sz w:val="18"/>
          <w:lang w:val="en-US" w:eastAsia="en-US"/>
        </w:rPr>
      </w:pPr>
      <w:r w:rsidRPr="002E7603">
        <w:rPr>
          <w:noProof/>
        </w:rPr>
        <mc:AlternateContent>
          <mc:Choice Requires="wps">
            <w:drawing>
              <wp:anchor distT="0" distB="0" distL="114300" distR="114300" simplePos="0" relativeHeight="251663360" behindDoc="1" locked="0" layoutInCell="1" allowOverlap="1" wp14:anchorId="7403AF1A" wp14:editId="7DFF2112">
                <wp:simplePos x="0" y="0"/>
                <wp:positionH relativeFrom="column">
                  <wp:posOffset>3239770</wp:posOffset>
                </wp:positionH>
                <wp:positionV relativeFrom="paragraph">
                  <wp:posOffset>66675</wp:posOffset>
                </wp:positionV>
                <wp:extent cx="2374900" cy="1959610"/>
                <wp:effectExtent l="0" t="0" r="6350" b="2540"/>
                <wp:wrapNone/>
                <wp:docPr id="17" name="Rectangle 1"/>
                <wp:cNvGraphicFramePr/>
                <a:graphic xmlns:a="http://schemas.openxmlformats.org/drawingml/2006/main">
                  <a:graphicData uri="http://schemas.microsoft.com/office/word/2010/wordprocessingShape">
                    <wps:wsp>
                      <wps:cNvSpPr/>
                      <wps:spPr>
                        <a:xfrm>
                          <a:off x="0" y="0"/>
                          <a:ext cx="2374900" cy="1959610"/>
                        </a:xfrm>
                        <a:prstGeom prst="rect">
                          <a:avLst/>
                        </a:prstGeom>
                        <a:solidFill>
                          <a:srgbClr val="D7D4F1">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A7244E" w14:textId="77777777" w:rsidR="00C47B43" w:rsidRPr="002E7603" w:rsidRDefault="00C47B43" w:rsidP="00FA0DF4">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wps:txbx>
                      <wps:bodyPr wrap="square" lIns="0" tIns="36000" rIns="0">
                        <a:noAutofit/>
                      </wps:bodyPr>
                    </wps:wsp>
                  </a:graphicData>
                </a:graphic>
                <wp14:sizeRelH relativeFrom="margin">
                  <wp14:pctWidth>0</wp14:pctWidth>
                </wp14:sizeRelH>
                <wp14:sizeRelV relativeFrom="margin">
                  <wp14:pctHeight>0</wp14:pctHeight>
                </wp14:sizeRelV>
              </wp:anchor>
            </w:drawing>
          </mc:Choice>
          <mc:Fallback>
            <w:pict>
              <v:rect w14:anchorId="7403AF1A" id="_x0000_s1031" style="position:absolute;left:0;text-align:left;margin-left:255.1pt;margin-top:5.25pt;width:187pt;height:154.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" fillcolor="#d7d4f1" stroked="f" strokeweight="1.25pt">
                <v:fill opacity="32896f"/>
                <v:textbox inset="0,1mm,0">
                  <w:txbxContent>
                    <w:p w14:paraId="14A7244E" w14:textId="77777777" w:rsidR="00C47B43" w:rsidRPr="002E7603" w:rsidRDefault="00C47B43" w:rsidP="00FA0DF4">
                      <w:pPr>
                        <w:pStyle w:val="NormalWeb"/>
                        <w:ind w:firstLine="0"/>
                        <w:jc w:val="center"/>
                        <w:rPr>
                          <w:color w:val="000000" w:themeColor="text1"/>
                        </w:rPr>
                      </w:pPr>
                      <w:r w:rsidRPr="002E7603">
                        <w:rPr>
                          <w:rFonts w:asciiTheme="minorHAnsi"/>
                          <w:color w:val="000000" w:themeColor="text1"/>
                          <w:spacing w:val="20"/>
                          <w:sz w:val="18"/>
                          <w:szCs w:val="18"/>
                        </w:rPr>
                        <w:t>Прогноза</w:t>
                      </w:r>
                    </w:p>
                  </w:txbxContent>
                </v:textbox>
              </v:rect>
            </w:pict>
          </mc:Fallback>
        </mc:AlternateContent>
      </w:r>
      <w:r w:rsidR="001473CD" w:rsidRPr="005B2032">
        <w:rPr>
          <w:noProof/>
        </w:rPr>
        <w:drawing>
          <wp:inline distT="0" distB="0" distL="0" distR="0" wp14:anchorId="331EEAF5" wp14:editId="75BFE11B">
            <wp:extent cx="5760000" cy="2700000"/>
            <wp:effectExtent l="0" t="0" r="0" b="5715"/>
            <wp:docPr id="10" name="Chart 10">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E8959DE" w14:textId="77777777" w:rsidR="001473CD" w:rsidRPr="00CE1113" w:rsidRDefault="001473CD" w:rsidP="00CE1113">
      <w:pPr>
        <w:pStyle w:val="a"/>
      </w:pPr>
      <w:r w:rsidRPr="00CE1113">
        <w:t>Източник: БНБ, НСИ, МФ</w:t>
      </w:r>
    </w:p>
    <w:p w14:paraId="3649694C" w14:textId="77777777" w:rsidR="001473CD" w:rsidRPr="005B2032" w:rsidRDefault="001473CD" w:rsidP="001473CD">
      <w:pPr>
        <w:spacing w:after="160" w:line="256" w:lineRule="auto"/>
        <w:jc w:val="left"/>
        <w:rPr>
          <w:rFonts w:ascii="Calibri" w:eastAsia="Calibri" w:hAnsi="Calibri"/>
          <w:sz w:val="18"/>
          <w:lang w:val="en-US" w:eastAsia="en-US"/>
        </w:rPr>
      </w:pPr>
    </w:p>
    <w:p w14:paraId="395965AC" w14:textId="209E7D2E" w:rsidR="001473CD" w:rsidRPr="005B2032" w:rsidRDefault="001473CD" w:rsidP="00515861">
      <w:pPr>
        <w:rPr>
          <w:lang w:val="en-US"/>
        </w:rPr>
      </w:pPr>
      <w:r w:rsidRPr="005B2032">
        <w:lastRenderedPageBreak/>
        <w:t>През 2021</w:t>
      </w:r>
      <w:r w:rsidR="00DF07FD">
        <w:t> г.</w:t>
      </w:r>
      <w:r w:rsidRPr="005B2032">
        <w:t xml:space="preserve"> потокът на пасивите по финансовата сметка</w:t>
      </w:r>
      <w:r w:rsidRPr="005B2032">
        <w:rPr>
          <w:vertAlign w:val="superscript"/>
        </w:rPr>
        <w:footnoteReference w:id="8"/>
      </w:r>
      <w:r w:rsidRPr="005B2032">
        <w:t xml:space="preserve"> надвиши този на активите с 255.1 млн. евро. </w:t>
      </w:r>
      <w:r w:rsidR="005459BA">
        <w:t xml:space="preserve">Отрицателното салдо по финансовата сметка бе определено от увеличението на чуждестранните пасиви на българските резиденти, като за него повлияха разпределените за България на 24 август 2021 г. допълнителни 859 млн. специални права на тираж (СПТ), както и нарастването на чуждестранните пасиви на банките и на небанковия частен сектор. </w:t>
      </w:r>
      <w:r w:rsidRPr="005B2032">
        <w:t xml:space="preserve">Годишните входящи потоци по </w:t>
      </w:r>
      <w:r w:rsidR="005459BA">
        <w:t>преките чуждестранни инвестиции (</w:t>
      </w:r>
      <w:r w:rsidRPr="005B2032">
        <w:t>ПЧИ</w:t>
      </w:r>
      <w:r w:rsidR="005459BA">
        <w:t>)</w:t>
      </w:r>
      <w:r w:rsidRPr="005B2032">
        <w:t xml:space="preserve"> достигнаха 1.8 млрд. евро или 2.6% от БВП. Почти целият поток от входящи ПЧИ в страната бе под формата на реинвестирана печалба</w:t>
      </w:r>
      <w:r w:rsidRPr="005B2032">
        <w:rPr>
          <w:lang w:val="en-US"/>
        </w:rPr>
        <w:t xml:space="preserve"> </w:t>
      </w:r>
      <w:r w:rsidRPr="005B2032">
        <w:t xml:space="preserve">от компаниите-майки към местните дружества. </w:t>
      </w:r>
    </w:p>
    <w:p w14:paraId="122C291A" w14:textId="0B875DCC" w:rsidR="00013BCD" w:rsidRPr="005B2032" w:rsidRDefault="001473CD" w:rsidP="00515861">
      <w:pPr>
        <w:rPr>
          <w:rFonts w:asciiTheme="minorHAnsi" w:hAnsiTheme="minorHAnsi" w:cstheme="minorHAnsi"/>
        </w:rPr>
      </w:pPr>
      <w:r w:rsidRPr="005B2032">
        <w:t>През 2022</w:t>
      </w:r>
      <w:r w:rsidR="00DF07FD">
        <w:t> г.</w:t>
      </w:r>
      <w:r w:rsidRPr="005B2032">
        <w:t xml:space="preserve"> се очаква леко понижение на дела на ПЧИ спрямо БВП в резултат от високото ниво на несигурност в международен план. До края на прогнозния период делът на ПЧИ към БВП се очаква плавно да се повишава.</w:t>
      </w:r>
      <w:r w:rsidR="00BD2C3E">
        <w:t xml:space="preserve"> </w:t>
      </w:r>
    </w:p>
    <w:p w14:paraId="43317CDF" w14:textId="77777777" w:rsidR="0040503E" w:rsidRPr="004018C2" w:rsidRDefault="002F3E21" w:rsidP="004018C2">
      <w:pPr>
        <w:pStyle w:val="Heading3"/>
      </w:pPr>
      <w:r w:rsidRPr="004018C2">
        <w:t>Паричен и финансов сектор</w:t>
      </w:r>
    </w:p>
    <w:p w14:paraId="7280BEBD" w14:textId="77777777" w:rsidR="0067290E" w:rsidRPr="005B2032" w:rsidRDefault="0067290E" w:rsidP="00515861">
      <w:pPr>
        <w:rPr>
          <w:szCs w:val="24"/>
        </w:rPr>
      </w:pPr>
      <w:r w:rsidRPr="005B2032">
        <w:rPr>
          <w:szCs w:val="24"/>
        </w:rPr>
        <w:t xml:space="preserve">Основната цел на паричната политика в България е поддържане на ценовата стабилност чрез осигуряване стабилността на националната парична единица. Постигането на тази цел се осъществява чрез режим на паричен съвет с фиксиран валутен курс на националната валута към еврото. </w:t>
      </w:r>
    </w:p>
    <w:p w14:paraId="5022569D" w14:textId="1DC23FBD" w:rsidR="0067290E" w:rsidRPr="005B2032" w:rsidRDefault="0067290E" w:rsidP="00515861">
      <w:pPr>
        <w:rPr>
          <w:szCs w:val="24"/>
        </w:rPr>
      </w:pPr>
      <w:r w:rsidRPr="005B2032">
        <w:rPr>
          <w:szCs w:val="24"/>
        </w:rPr>
        <w:t>Към края на декември 2021</w:t>
      </w:r>
      <w:r w:rsidR="00DF07FD">
        <w:rPr>
          <w:szCs w:val="24"/>
        </w:rPr>
        <w:t> г.</w:t>
      </w:r>
      <w:r w:rsidRPr="005B2032">
        <w:rPr>
          <w:szCs w:val="24"/>
        </w:rPr>
        <w:t xml:space="preserve"> пазарната стойност на международните валутни резерви на България – актив по бал</w:t>
      </w:r>
      <w:r w:rsidR="003B3383" w:rsidRPr="005B2032">
        <w:rPr>
          <w:szCs w:val="24"/>
        </w:rPr>
        <w:t>анса на управление „Емисионно“</w:t>
      </w:r>
      <w:r w:rsidR="007918DA" w:rsidRPr="007918DA">
        <w:rPr>
          <w:rStyle w:val="FootnoteReference"/>
          <w:szCs w:val="24"/>
        </w:rPr>
        <w:t xml:space="preserve"> </w:t>
      </w:r>
      <w:r w:rsidR="007918DA">
        <w:rPr>
          <w:rStyle w:val="FootnoteReference"/>
          <w:szCs w:val="24"/>
        </w:rPr>
        <w:footnoteReference w:id="9"/>
      </w:r>
      <w:r w:rsidR="003B3383" w:rsidRPr="005B2032">
        <w:rPr>
          <w:szCs w:val="24"/>
        </w:rPr>
        <w:t xml:space="preserve"> </w:t>
      </w:r>
      <w:r w:rsidRPr="005B2032">
        <w:rPr>
          <w:szCs w:val="24"/>
        </w:rPr>
        <w:t>на Българската народна банка (БНБ)</w:t>
      </w:r>
      <w:r w:rsidR="003B3383" w:rsidRPr="005B2032">
        <w:rPr>
          <w:szCs w:val="24"/>
        </w:rPr>
        <w:t>,</w:t>
      </w:r>
      <w:r w:rsidRPr="005B2032">
        <w:rPr>
          <w:szCs w:val="24"/>
        </w:rPr>
        <w:t xml:space="preserve"> възлезе на 34.6 млрд. евро (51.0% от БВП), като отбеляза нарастване с 3.7 млрд. евро на годишна база. Съгласно принципите на функциониране на паричния съвет, динамиката на международните валутни резерви съответстваше на нарастването на балансовата стойност на пасивите на управление „Емисионно“. Основен принос за по-високия размер на пасивите на управление „Емисионно“ на годишна база имаше повишението на банкнотите и монетите в обращение. В по-малка степен влияние оказаха по-високият размер на депозита на управление „Банково“, за който допринесоха разпределените за България допълнителни 859 млн. СПТ през август, както и нарастването на депозита на правителството в БНБ. Към края на декември 2021</w:t>
      </w:r>
      <w:r w:rsidR="00DF07FD">
        <w:rPr>
          <w:szCs w:val="24"/>
        </w:rPr>
        <w:t> г.</w:t>
      </w:r>
      <w:r w:rsidRPr="005B2032">
        <w:rPr>
          <w:szCs w:val="24"/>
        </w:rPr>
        <w:t xml:space="preserve"> валутните резерви осигуряваха покритие на 9.8 месеца внос на стоки и нефакторни услуги, а съотношението им към краткосрочния външен дълг на страната възлезе на 501.2%. Към края на февруари 2022</w:t>
      </w:r>
      <w:r w:rsidR="00DF07FD">
        <w:rPr>
          <w:szCs w:val="24"/>
        </w:rPr>
        <w:t> г.</w:t>
      </w:r>
      <w:r w:rsidRPr="005B2032">
        <w:rPr>
          <w:szCs w:val="24"/>
        </w:rPr>
        <w:t xml:space="preserve"> международните валутни резерви възлязоха на 31.0 млрд. евро, като отбелязаха повишение с 3.5 млрд. евро спрямо февруари 2021</w:t>
      </w:r>
      <w:r w:rsidR="00DF07FD">
        <w:rPr>
          <w:szCs w:val="24"/>
        </w:rPr>
        <w:t> г.</w:t>
      </w:r>
    </w:p>
    <w:p w14:paraId="5061ABE9" w14:textId="2B5D52E3" w:rsidR="0067290E" w:rsidRPr="00C47B43" w:rsidRDefault="0067290E" w:rsidP="004018C2">
      <w:pPr>
        <w:rPr>
          <w:spacing w:val="-4"/>
        </w:rPr>
      </w:pPr>
      <w:r w:rsidRPr="00C47B43">
        <w:rPr>
          <w:spacing w:val="-4"/>
        </w:rPr>
        <w:t>През 2021</w:t>
      </w:r>
      <w:r w:rsidR="00DF07FD" w:rsidRPr="00C47B43">
        <w:rPr>
          <w:spacing w:val="-4"/>
        </w:rPr>
        <w:t> г.</w:t>
      </w:r>
      <w:r w:rsidRPr="00C47B43">
        <w:rPr>
          <w:spacing w:val="-4"/>
        </w:rPr>
        <w:t xml:space="preserve"> депозитите на неправителствения сектор продължиха да нарастват с високи темпове на годишна база, като от септември бе отчетено забавяне на растежа и към края на годината той възлезе на 9.1% (9.7% през декември 2020</w:t>
      </w:r>
      <w:r w:rsidR="00DF07FD" w:rsidRPr="00C47B43">
        <w:rPr>
          <w:spacing w:val="-4"/>
        </w:rPr>
        <w:t> г.</w:t>
      </w:r>
      <w:r w:rsidRPr="00C47B43">
        <w:rPr>
          <w:spacing w:val="-4"/>
        </w:rPr>
        <w:t xml:space="preserve">). Забавяне на темпа на нарастване на депозитите се наблюдаваше както при домакинствата, така и при нефинансовите предприятия съответно до 9.0% и 8.5% в края на годината. Запазващите се на много ниски нива лихвени проценти по депозитите в съчетание с ускоряването на инфлацията при потребителските цени оказваха влияние за пренасочване на част от свободните средства на домакинствата от спестявания към потребление или към търсене на алтернативни на депозитите възможности за инвестиране или съхранение на стойност. Допълнително влияние за по-ниския растеж на депозитите вероятно оказват и въведените от голяма част от търговските банки такси за депозирани парични наличности над определен праг, както и отрицателните номинални лихвени проценти при новите депозити на фирмите. </w:t>
      </w:r>
    </w:p>
    <w:p w14:paraId="4E0CF28B" w14:textId="55804B4A" w:rsidR="0067290E" w:rsidRPr="005B2032" w:rsidRDefault="0067290E" w:rsidP="004018C2">
      <w:r w:rsidRPr="005B2032">
        <w:lastRenderedPageBreak/>
        <w:t>Към декември 2021</w:t>
      </w:r>
      <w:r w:rsidR="00DF07FD">
        <w:t> г.</w:t>
      </w:r>
      <w:r w:rsidRPr="005B2032">
        <w:t xml:space="preserve"> широкият паричен агрегат M3 отбеляза годишен растеж от 10.7% (10.9% в края на 2020</w:t>
      </w:r>
      <w:r w:rsidR="00DF07FD">
        <w:t> г.</w:t>
      </w:r>
      <w:r w:rsidRPr="005B2032">
        <w:t>). Основен</w:t>
      </w:r>
      <w:r w:rsidR="00BD2C3E">
        <w:t xml:space="preserve"> </w:t>
      </w:r>
      <w:r w:rsidRPr="005B2032">
        <w:t>принос за растежа на М3 имаха овърнайт депозитите и в значително по-ниска степен парите извън парично-финансови институции, докато приносът на депозитите с договорен матуритет до 2 години беше отрицателен. Фактор с потенциално значение за понижаването на размера на депозитите с договорен матуритет до 2 години е предприетата от някои банки от началото на 2021</w:t>
      </w:r>
      <w:r w:rsidR="00DF07FD">
        <w:t> г.</w:t>
      </w:r>
      <w:r w:rsidRPr="005B2032">
        <w:t xml:space="preserve"> политика за трансформиране на срочни в безсрочни депозити и за преустановяване на предлагането на нови срочни депозити. Към февруари 2022</w:t>
      </w:r>
      <w:r w:rsidR="00DF07FD">
        <w:t> г.</w:t>
      </w:r>
      <w:r w:rsidRPr="005B2032">
        <w:t xml:space="preserve"> годишният темп на нарастване на депозитите на неправителствения сектор се понижи до 8.5%, а този на широките пари</w:t>
      </w:r>
      <w:r w:rsidR="00DF07FD">
        <w:t xml:space="preserve"> – </w:t>
      </w:r>
      <w:r w:rsidRPr="005B2032">
        <w:t xml:space="preserve">до 9.9%. </w:t>
      </w:r>
    </w:p>
    <w:p w14:paraId="61C1A3B9" w14:textId="1DCF3AA2" w:rsidR="0067290E" w:rsidRPr="005B2032" w:rsidRDefault="0067290E" w:rsidP="004018C2">
      <w:r w:rsidRPr="005B2032">
        <w:t>Годишният растеж на кредита за нефинансовите предприятия и домакинствата се ускори през 2021</w:t>
      </w:r>
      <w:r w:rsidR="00DF07FD">
        <w:t> г.</w:t>
      </w:r>
      <w:r w:rsidRPr="005B2032">
        <w:t xml:space="preserve"> и достигна 8.3% в края на годината (4.5% през декември 2020</w:t>
      </w:r>
      <w:r w:rsidR="00DF07FD">
        <w:t> г.</w:t>
      </w:r>
      <w:r w:rsidRPr="005B2032">
        <w:t>). Определящо значение за възходящата динамика имаше засилването на кредита за домакинствата, при който годишният темп на нарастване се ускори до 13.4% (6.6% през декември 2020</w:t>
      </w:r>
      <w:r w:rsidR="00DF07FD">
        <w:t> г.</w:t>
      </w:r>
      <w:r w:rsidRPr="005B2032">
        <w:t>). При потребителските кредити растежът в края на годината достигна 11.1%, а при жилищните кредити той възлезе на 17.6%. За наблюдаваните тенденции при кредита едновременно влияние оказаха фактори както от страна на търсенето, така и от страна на предлагането. Запазващите се на исторически ниски нива номинални лихвени проценти по кредитите, в съчетание с ускоряващата се инфлация и благоприятни перспективи за пазара на жилищата, стимулираха търсенето на кредити. Нарастването на търсенето на недвижими имоти бе допълнително стимулирано от отрицателните реални лихвени проценти по депозитите. Резултатите от Анкетата за кредитната дейност на банките, провеждана от БНБ, показват, че факторите, които са допринесли за облекчаването на кредитните стандарти през 2021</w:t>
      </w:r>
      <w:r w:rsidR="00DF07FD">
        <w:t> г.</w:t>
      </w:r>
      <w:r w:rsidRPr="005B2032">
        <w:t xml:space="preserve"> след затягането им през 2020</w:t>
      </w:r>
      <w:r w:rsidR="00DF07FD">
        <w:t> г.</w:t>
      </w:r>
      <w:r w:rsidRPr="005B2032">
        <w:t>, са значителният обем и ниската цена на привлечения ресурс, конкуренцията и високата ликвидност в банковия сектор.</w:t>
      </w:r>
      <w:r w:rsidR="00BD2C3E">
        <w:t xml:space="preserve"> </w:t>
      </w:r>
      <w:r w:rsidRPr="005B2032">
        <w:t>В края на 2021</w:t>
      </w:r>
      <w:r w:rsidR="00DF07FD">
        <w:t> г.</w:t>
      </w:r>
      <w:r w:rsidRPr="005B2032">
        <w:t xml:space="preserve"> годишният растеж на кредита за нефинансови предприятия не отчете съществено ускорение и достигна 4.6% (3.0% през декември 2020</w:t>
      </w:r>
      <w:r w:rsidR="00DF07FD">
        <w:t> г.</w:t>
      </w:r>
      <w:r w:rsidRPr="005B2032">
        <w:t>), като за него повлия потиснатата инвестиционна активност на частния сектор. Към февруари 2022</w:t>
      </w:r>
      <w:r w:rsidR="00DF07FD">
        <w:t> г.</w:t>
      </w:r>
      <w:r w:rsidRPr="005B2032">
        <w:t xml:space="preserve"> темпът на нарастване на кредита за нефинансовите предприятия се ускори до 6.6% на годишна база, а при кредита за домакинствата бе отчетено ускорение до 13.8%. </w:t>
      </w:r>
    </w:p>
    <w:p w14:paraId="5CB2D941" w14:textId="0C8E29D6" w:rsidR="0067290E" w:rsidRPr="005B2032" w:rsidRDefault="0067290E" w:rsidP="004018C2">
      <w:r w:rsidRPr="005B2032">
        <w:t>През 2021</w:t>
      </w:r>
      <w:r w:rsidR="00DF07FD">
        <w:t> г.</w:t>
      </w:r>
      <w:r w:rsidRPr="005B2032">
        <w:t xml:space="preserve"> значителната ликвидност в банковата система и високият приток на привлечени средства в нея бяха основните фактори за продължаващото понижение </w:t>
      </w:r>
      <w:r w:rsidR="003B3383" w:rsidRPr="005B2032">
        <w:t>на лихвените проценти по новите</w:t>
      </w:r>
      <w:r w:rsidR="005459BA">
        <w:rPr>
          <w:rStyle w:val="FootnoteReference"/>
          <w:szCs w:val="24"/>
        </w:rPr>
        <w:footnoteReference w:id="10"/>
      </w:r>
      <w:r w:rsidRPr="005B2032">
        <w:t xml:space="preserve"> срочни депозити. Лихвеният процент по новите срочни депозити за сектор „домакинства“ възлезе на 0.09%, като се понижи с 3 базисни точки спрямо 2020</w:t>
      </w:r>
      <w:r w:rsidR="00DF07FD">
        <w:t> г.</w:t>
      </w:r>
      <w:r w:rsidRPr="005B2032">
        <w:t xml:space="preserve"> Лихвеният процент по новoдоговорените срочни депозити на нефинансовите предприятия отбеляза по-значително понижение през годината (с 19 базисни точки спрямо 2020</w:t>
      </w:r>
      <w:r w:rsidR="00DF07FD">
        <w:t> г.</w:t>
      </w:r>
      <w:r w:rsidRPr="005B2032">
        <w:t>) и достигна отрицателна стойност от -0.07%. Понижението на лихвените нива продължи и в началото на 2022</w:t>
      </w:r>
      <w:r w:rsidR="00DF07FD">
        <w:t> г.</w:t>
      </w:r>
      <w:r w:rsidRPr="005B2032">
        <w:t>, като към февруари лихвените проценти по новите срочни депозити за домакинствата и фирмите възлязоха съответно на 0.08% и -0.18%. Значителният обем и ниската цена на привлечения ресурс, конкуренцията и високата ликвидност в банковия сектор продължиха да оказват влияние за наблюдаваното слабо понижение на лихвените проценти по новоотпуснати кредити на фирми и домакинства. Средно за 2021</w:t>
      </w:r>
      <w:r w:rsidR="00DF07FD">
        <w:t> г.</w:t>
      </w:r>
      <w:r w:rsidRPr="005B2032">
        <w:t xml:space="preserve"> лихвеният процент по новоотпуснати кредити за фирми възлезе на 2.52% (спрямо 2.67% година по-рано), а лихвените проценти по новоотпуснати жилищни и потребителски кредити на домакинствата достигнаха нива съответно от 2.73% и 8.03% (2.92% и 8.15% година по-рано). Към февруари 2022</w:t>
      </w:r>
      <w:r w:rsidR="00DF07FD">
        <w:t> г.</w:t>
      </w:r>
      <w:r w:rsidRPr="005B2032">
        <w:t xml:space="preserve"> лихвените проценти по нови фирмени, жилищни и потребителски кредити възлязоха съответно на 2.44%, 2.62% и 7.74%. </w:t>
      </w:r>
    </w:p>
    <w:p w14:paraId="544585C7" w14:textId="41AC848C" w:rsidR="0067290E" w:rsidRPr="005B2032" w:rsidRDefault="0067290E" w:rsidP="00515861">
      <w:pPr>
        <w:rPr>
          <w:szCs w:val="24"/>
        </w:rPr>
      </w:pPr>
      <w:r w:rsidRPr="005B2032">
        <w:rPr>
          <w:szCs w:val="24"/>
        </w:rPr>
        <w:t>През 2021</w:t>
      </w:r>
      <w:r w:rsidR="00DF07FD">
        <w:rPr>
          <w:szCs w:val="24"/>
        </w:rPr>
        <w:t> г.</w:t>
      </w:r>
      <w:r w:rsidRPr="005B2032">
        <w:rPr>
          <w:szCs w:val="24"/>
        </w:rPr>
        <w:t xml:space="preserve"> банковата система в България осъществяваше дейността си в условията на плавно възстановяване на икономическата активност при продължаваща несигурност, </w:t>
      </w:r>
      <w:r w:rsidRPr="005B2032">
        <w:rPr>
          <w:szCs w:val="24"/>
        </w:rPr>
        <w:lastRenderedPageBreak/>
        <w:t>произтичаща от променящата се епидемична обстановка в глобален план и в страната.</w:t>
      </w:r>
      <w:r w:rsidR="00BD2C3E">
        <w:rPr>
          <w:szCs w:val="24"/>
        </w:rPr>
        <w:t xml:space="preserve"> </w:t>
      </w:r>
      <w:r w:rsidRPr="005B2032">
        <w:rPr>
          <w:szCs w:val="24"/>
        </w:rPr>
        <w:t>През годината продължи действието на макропруденциалните мерки на БНБ за капитализиране на пълния обем на печалбата на банките, включително за 2020</w:t>
      </w:r>
      <w:r w:rsidR="00DF07FD">
        <w:rPr>
          <w:szCs w:val="24"/>
        </w:rPr>
        <w:t> г.</w:t>
      </w:r>
      <w:r w:rsidRPr="005B2032">
        <w:rPr>
          <w:szCs w:val="24"/>
        </w:rPr>
        <w:t>, и неразпределяне на елементи на собствения им капитал, формирани от предходни периоди. В сила останаха и определените през март 2020</w:t>
      </w:r>
      <w:r w:rsidR="00DF07FD">
        <w:rPr>
          <w:szCs w:val="24"/>
        </w:rPr>
        <w:t> г.</w:t>
      </w:r>
      <w:r w:rsidRPr="005B2032">
        <w:rPr>
          <w:szCs w:val="24"/>
        </w:rPr>
        <w:t xml:space="preserve"> индивидуални и съвкупни лимити за чуждестранни експозиции на банките с цел ограничаване на кредитния риск и на риска от концентрация в техните баланси.</w:t>
      </w:r>
    </w:p>
    <w:p w14:paraId="0A2A041B" w14:textId="126E96D1" w:rsidR="0067290E" w:rsidRPr="005B2032" w:rsidRDefault="0067290E" w:rsidP="00515861">
      <w:pPr>
        <w:rPr>
          <w:szCs w:val="24"/>
        </w:rPr>
      </w:pPr>
      <w:r w:rsidRPr="005B2032">
        <w:rPr>
          <w:szCs w:val="24"/>
        </w:rPr>
        <w:t>През 2021</w:t>
      </w:r>
      <w:r w:rsidR="00DF07FD">
        <w:rPr>
          <w:szCs w:val="24"/>
        </w:rPr>
        <w:t> г.</w:t>
      </w:r>
      <w:r w:rsidRPr="005B2032">
        <w:rPr>
          <w:szCs w:val="24"/>
        </w:rPr>
        <w:t xml:space="preserve"> се запази тенденцията на спад на размера на необслужваните кредити и аванси и на дела</w:t>
      </w:r>
      <w:r w:rsidR="003B3383" w:rsidRPr="005B2032">
        <w:rPr>
          <w:szCs w:val="24"/>
        </w:rPr>
        <w:t xml:space="preserve"> им в общите кредити и аванси.</w:t>
      </w:r>
      <w:r w:rsidR="005459BA" w:rsidRPr="005459BA">
        <w:rPr>
          <w:rStyle w:val="FootnoteReference"/>
          <w:szCs w:val="24"/>
        </w:rPr>
        <w:t xml:space="preserve"> </w:t>
      </w:r>
      <w:r w:rsidR="005459BA">
        <w:rPr>
          <w:rStyle w:val="FootnoteReference"/>
          <w:szCs w:val="24"/>
        </w:rPr>
        <w:footnoteReference w:id="11"/>
      </w:r>
      <w:r w:rsidR="003B3383" w:rsidRPr="005B2032">
        <w:rPr>
          <w:szCs w:val="24"/>
        </w:rPr>
        <w:t xml:space="preserve"> </w:t>
      </w:r>
      <w:r w:rsidRPr="005B2032">
        <w:rPr>
          <w:szCs w:val="24"/>
        </w:rPr>
        <w:t>За тази динамика допринесоха операциите на банките по отписвания и продажби на необслужвани кредити, както и нарастването на брутния кредитен портфейл. Допълнително влияние оказа и де</w:t>
      </w:r>
      <w:r w:rsidR="003B3383" w:rsidRPr="005B2032">
        <w:rPr>
          <w:szCs w:val="24"/>
        </w:rPr>
        <w:t>йствието на частния мораториум</w:t>
      </w:r>
      <w:r w:rsidR="005459BA">
        <w:rPr>
          <w:rStyle w:val="FootnoteReference"/>
          <w:szCs w:val="24"/>
        </w:rPr>
        <w:footnoteReference w:id="12"/>
      </w:r>
      <w:r w:rsidR="003B3383" w:rsidRPr="005B2032">
        <w:rPr>
          <w:szCs w:val="24"/>
        </w:rPr>
        <w:t xml:space="preserve"> </w:t>
      </w:r>
      <w:r w:rsidRPr="005B2032">
        <w:rPr>
          <w:szCs w:val="24"/>
        </w:rPr>
        <w:t>върху плащанията по банкови кредити, който позволи да бъдат избегнати резки изменения в показателите за качеството на активите на банките в резултат на влошаването на икономическата активност, предизвикано от ограничителните мерки, наложени за овладяване на пандемията от COVID-19. Брутните необслужвани кредити и аванси в банковата система намаляха с 14.2%, като в края на годината възлязоха на 4.89 млрд. лв. Брутната сума на всички необслужвани експозиции</w:t>
      </w:r>
      <w:r w:rsidR="005459BA">
        <w:rPr>
          <w:rStyle w:val="FootnoteReference"/>
          <w:szCs w:val="24"/>
        </w:rPr>
        <w:footnoteReference w:id="13"/>
      </w:r>
      <w:r w:rsidR="00BD2C3E">
        <w:rPr>
          <w:szCs w:val="24"/>
        </w:rPr>
        <w:t xml:space="preserve"> </w:t>
      </w:r>
      <w:r w:rsidRPr="005B2032">
        <w:rPr>
          <w:szCs w:val="24"/>
        </w:rPr>
        <w:t>бе 4.90 млрд. лв., а нейният дял – 3.8% (при размер от 5.7 млрд. лв. и дял от 4.8% към 31 декември 2020</w:t>
      </w:r>
      <w:r w:rsidR="00DF07FD">
        <w:rPr>
          <w:szCs w:val="24"/>
        </w:rPr>
        <w:t> г.</w:t>
      </w:r>
      <w:r w:rsidRPr="005B2032">
        <w:rPr>
          <w:szCs w:val="24"/>
        </w:rPr>
        <w:t>). Според „стеснения обхват“ (прилаган от юни 2020</w:t>
      </w:r>
      <w:r w:rsidR="00DF07FD">
        <w:rPr>
          <w:szCs w:val="24"/>
        </w:rPr>
        <w:t> г.</w:t>
      </w:r>
      <w:r w:rsidRPr="005B2032">
        <w:rPr>
          <w:szCs w:val="24"/>
        </w:rPr>
        <w:t xml:space="preserve"> с Регламент на ЕС</w:t>
      </w:r>
      <w:r w:rsidR="005459BA">
        <w:rPr>
          <w:rStyle w:val="FootnoteReference"/>
          <w:szCs w:val="24"/>
        </w:rPr>
        <w:footnoteReference w:id="14"/>
      </w:r>
      <w:r w:rsidRPr="005B2032">
        <w:rPr>
          <w:szCs w:val="24"/>
        </w:rPr>
        <w:t>) размерът на брутните кредити и аванси в банковата система в края на 2021</w:t>
      </w:r>
      <w:r w:rsidR="00DF07FD">
        <w:rPr>
          <w:szCs w:val="24"/>
        </w:rPr>
        <w:t> г.</w:t>
      </w:r>
      <w:r w:rsidRPr="005B2032">
        <w:rPr>
          <w:szCs w:val="24"/>
        </w:rPr>
        <w:t xml:space="preserve"> възлезе на 82.3 млрд. лв., като изчисленото на тази база съотношение на необслужваните кредити се понижи до 5.9% (7.4% в края на 2020</w:t>
      </w:r>
      <w:r w:rsidR="00DF07FD">
        <w:rPr>
          <w:szCs w:val="24"/>
        </w:rPr>
        <w:t> г.</w:t>
      </w:r>
      <w:r w:rsidRPr="005B2032">
        <w:rPr>
          <w:szCs w:val="24"/>
        </w:rPr>
        <w:t>). Според така наречения „широк обхват“</w:t>
      </w:r>
      <w:r w:rsidR="005459BA" w:rsidRPr="00323AFB">
        <w:rPr>
          <w:rStyle w:val="FootnoteReference"/>
          <w:szCs w:val="24"/>
        </w:rPr>
        <w:t xml:space="preserve"> </w:t>
      </w:r>
      <w:r w:rsidR="005459BA">
        <w:rPr>
          <w:rStyle w:val="FootnoteReference"/>
          <w:szCs w:val="24"/>
        </w:rPr>
        <w:footnoteReference w:id="15"/>
      </w:r>
      <w:r w:rsidR="00BD2C3E">
        <w:rPr>
          <w:szCs w:val="24"/>
        </w:rPr>
        <w:t xml:space="preserve"> </w:t>
      </w:r>
      <w:r w:rsidRPr="005B2032">
        <w:rPr>
          <w:szCs w:val="24"/>
        </w:rPr>
        <w:t>(включващ и „парични салда при централни банки и други депозити на виждане“) общият размер на брутните кредити и аванси в края на 2021</w:t>
      </w:r>
      <w:r w:rsidR="00DF07FD">
        <w:rPr>
          <w:szCs w:val="24"/>
        </w:rPr>
        <w:t> г.</w:t>
      </w:r>
      <w:r w:rsidRPr="005B2032">
        <w:rPr>
          <w:szCs w:val="24"/>
        </w:rPr>
        <w:t xml:space="preserve"> възлезе на 107.8 млрд. лв. Изчисленото съотношение на необслужваните кредити въз основа на „широкия обхват“ се понижи до 4.5% в края на 2021</w:t>
      </w:r>
      <w:r w:rsidR="00DF07FD">
        <w:rPr>
          <w:szCs w:val="24"/>
        </w:rPr>
        <w:t> г.</w:t>
      </w:r>
      <w:r w:rsidRPr="005B2032">
        <w:rPr>
          <w:szCs w:val="24"/>
        </w:rPr>
        <w:t xml:space="preserve"> (6.0% към края на декември 2020</w:t>
      </w:r>
      <w:r w:rsidR="00DF07FD">
        <w:rPr>
          <w:szCs w:val="24"/>
        </w:rPr>
        <w:t> г.</w:t>
      </w:r>
      <w:r w:rsidRPr="005B2032">
        <w:rPr>
          <w:szCs w:val="24"/>
        </w:rPr>
        <w:t>). Нетната стойност на необслужваните кредити и аванси</w:t>
      </w:r>
      <w:r w:rsidR="005459BA">
        <w:rPr>
          <w:rStyle w:val="FootnoteReference"/>
          <w:szCs w:val="24"/>
        </w:rPr>
        <w:footnoteReference w:id="16"/>
      </w:r>
      <w:r w:rsidR="00BD2C3E">
        <w:rPr>
          <w:szCs w:val="24"/>
        </w:rPr>
        <w:t xml:space="preserve"> </w:t>
      </w:r>
      <w:r w:rsidRPr="005B2032">
        <w:rPr>
          <w:szCs w:val="24"/>
        </w:rPr>
        <w:t>в края на декември 2021</w:t>
      </w:r>
      <w:r w:rsidR="00DF07FD">
        <w:rPr>
          <w:szCs w:val="24"/>
        </w:rPr>
        <w:t> г.</w:t>
      </w:r>
      <w:r w:rsidRPr="005B2032">
        <w:rPr>
          <w:szCs w:val="24"/>
        </w:rPr>
        <w:t xml:space="preserve"> възлезе на 2.5 млрд. лв. Тази стойност представлява потенциалния остатъчен кредитен риск в баланса на банковата система, който остава изцяло покрит с превишението на капитала над капиталовите изисквания и приложимите капиталови буфери. Спрямо края на 2020</w:t>
      </w:r>
      <w:r w:rsidR="00DF07FD">
        <w:rPr>
          <w:szCs w:val="24"/>
        </w:rPr>
        <w:t> г.</w:t>
      </w:r>
      <w:r w:rsidRPr="005B2032">
        <w:rPr>
          <w:szCs w:val="24"/>
        </w:rPr>
        <w:t xml:space="preserve"> нетната стойност на необслужваните кредити и аванси в стеснения обхват намаля с 16.3%, а съотношението ѝ спрямо нетните кредити и аванси в края на декември 2021</w:t>
      </w:r>
      <w:r w:rsidR="00DF07FD">
        <w:rPr>
          <w:szCs w:val="24"/>
        </w:rPr>
        <w:t> г.</w:t>
      </w:r>
      <w:r w:rsidRPr="005B2032">
        <w:rPr>
          <w:szCs w:val="24"/>
        </w:rPr>
        <w:t xml:space="preserve"> възлезе на 3.2% (4.2% в </w:t>
      </w:r>
      <w:r w:rsidRPr="005B2032">
        <w:rPr>
          <w:szCs w:val="24"/>
        </w:rPr>
        <w:lastRenderedPageBreak/>
        <w:t>края на декември 2020</w:t>
      </w:r>
      <w:r w:rsidR="00DF07FD">
        <w:rPr>
          <w:szCs w:val="24"/>
        </w:rPr>
        <w:t> г.</w:t>
      </w:r>
      <w:r w:rsidRPr="005B2032">
        <w:rPr>
          <w:szCs w:val="24"/>
        </w:rPr>
        <w:t>). Съгласно „широкия обхват“ съотношението на нетните необслужвани кредити и аванси в края на 2021</w:t>
      </w:r>
      <w:r w:rsidR="00DF07FD">
        <w:rPr>
          <w:szCs w:val="24"/>
        </w:rPr>
        <w:t> г.</w:t>
      </w:r>
      <w:r w:rsidRPr="005B2032">
        <w:rPr>
          <w:szCs w:val="24"/>
        </w:rPr>
        <w:t xml:space="preserve"> се понижи до 2.4% (3.1% в края на 2020</w:t>
      </w:r>
      <w:r w:rsidR="00DF07FD">
        <w:rPr>
          <w:szCs w:val="24"/>
        </w:rPr>
        <w:t> г.</w:t>
      </w:r>
      <w:r w:rsidRPr="005B2032">
        <w:rPr>
          <w:szCs w:val="24"/>
        </w:rPr>
        <w:t xml:space="preserve">). </w:t>
      </w:r>
    </w:p>
    <w:p w14:paraId="08EC2700" w14:textId="54893757" w:rsidR="0067290E" w:rsidRPr="00C47B43" w:rsidRDefault="0067290E" w:rsidP="00515861">
      <w:pPr>
        <w:rPr>
          <w:spacing w:val="-2"/>
          <w:szCs w:val="24"/>
        </w:rPr>
      </w:pPr>
      <w:r w:rsidRPr="00C47B43">
        <w:rPr>
          <w:spacing w:val="-2"/>
          <w:szCs w:val="24"/>
        </w:rPr>
        <w:t>През 2021</w:t>
      </w:r>
      <w:r w:rsidR="00DF07FD" w:rsidRPr="00C47B43">
        <w:rPr>
          <w:spacing w:val="-2"/>
          <w:szCs w:val="24"/>
        </w:rPr>
        <w:t> г.</w:t>
      </w:r>
      <w:r w:rsidRPr="00C47B43">
        <w:rPr>
          <w:spacing w:val="-2"/>
          <w:szCs w:val="24"/>
        </w:rPr>
        <w:t xml:space="preserve"> капиталовата позиция на банките остана стабилна, а капиталовите показатели на всички банки в България се запазиха на нива, които значително надвишават регулаторните изисквания. Важно значение за капиталовите показатели имаше прилагането на мярката от 28 януари 2021</w:t>
      </w:r>
      <w:r w:rsidR="00DF07FD" w:rsidRPr="00C47B43">
        <w:rPr>
          <w:spacing w:val="-2"/>
          <w:szCs w:val="24"/>
        </w:rPr>
        <w:t> г.</w:t>
      </w:r>
      <w:r w:rsidRPr="00C47B43">
        <w:rPr>
          <w:spacing w:val="-2"/>
          <w:szCs w:val="24"/>
        </w:rPr>
        <w:t xml:space="preserve"> за задържането на печалбата на банките за 2020</w:t>
      </w:r>
      <w:r w:rsidR="00DF07FD" w:rsidRPr="00C47B43">
        <w:rPr>
          <w:spacing w:val="-2"/>
          <w:szCs w:val="24"/>
        </w:rPr>
        <w:t> г.</w:t>
      </w:r>
      <w:r w:rsidRPr="00C47B43">
        <w:rPr>
          <w:spacing w:val="-2"/>
          <w:szCs w:val="24"/>
        </w:rPr>
        <w:t xml:space="preserve"> в контекста на последователно прилаганата консервативна пруденциална политика на БНБ за изграждане и поддържане на капиталови буфери. Нивата на съотношенията за капиталова адекватност останаха близки до тези от края 2020</w:t>
      </w:r>
      <w:r w:rsidR="00DF07FD" w:rsidRPr="00C47B43">
        <w:rPr>
          <w:spacing w:val="-2"/>
          <w:szCs w:val="24"/>
        </w:rPr>
        <w:t> г.</w:t>
      </w:r>
      <w:r w:rsidRPr="00C47B43">
        <w:rPr>
          <w:spacing w:val="-2"/>
          <w:szCs w:val="24"/>
        </w:rPr>
        <w:t xml:space="preserve"> Към 31 декември 2021</w:t>
      </w:r>
      <w:r w:rsidR="00DF07FD" w:rsidRPr="00C47B43">
        <w:rPr>
          <w:spacing w:val="-2"/>
          <w:szCs w:val="24"/>
        </w:rPr>
        <w:t> г.</w:t>
      </w:r>
      <w:r w:rsidRPr="00C47B43">
        <w:rPr>
          <w:spacing w:val="-2"/>
          <w:szCs w:val="24"/>
        </w:rPr>
        <w:t xml:space="preserve"> съотношенията на базовия собствен капитал от първи ред, на капитала от първи ред и на общата капиталова адекватност възлязоха съответно на 21.66%, 22.04%, 22.62% (при съответно 21.61%, 22.02%, 22.66% в края на 2020</w:t>
      </w:r>
      <w:r w:rsidR="00DF07FD" w:rsidRPr="00C47B43">
        <w:rPr>
          <w:spacing w:val="-2"/>
          <w:szCs w:val="24"/>
        </w:rPr>
        <w:t> г.</w:t>
      </w:r>
      <w:r w:rsidRPr="00C47B43">
        <w:rPr>
          <w:spacing w:val="-2"/>
          <w:szCs w:val="24"/>
        </w:rPr>
        <w:t>). Печалбата на банковата система към 31 декември 2021</w:t>
      </w:r>
      <w:r w:rsidR="00DF07FD" w:rsidRPr="00C47B43">
        <w:rPr>
          <w:spacing w:val="-2"/>
          <w:szCs w:val="24"/>
        </w:rPr>
        <w:t> г.</w:t>
      </w:r>
      <w:r w:rsidRPr="00C47B43">
        <w:rPr>
          <w:spacing w:val="-2"/>
          <w:szCs w:val="24"/>
        </w:rPr>
        <w:t xml:space="preserve"> възлезе на 1.4 млрд. лв. (693 млн. лв. за 2020</w:t>
      </w:r>
      <w:r w:rsidR="00DF07FD" w:rsidRPr="00C47B43">
        <w:rPr>
          <w:spacing w:val="-2"/>
          <w:szCs w:val="24"/>
        </w:rPr>
        <w:t> г.</w:t>
      </w:r>
      <w:r w:rsidRPr="00C47B43">
        <w:rPr>
          <w:spacing w:val="-2"/>
          <w:szCs w:val="24"/>
        </w:rPr>
        <w:t>), като основните фактори за нейното повишение бяха по-големият размер на нетния доход от такси и комисиони, на нетния лихвен доход и на нетния доход от финансови инструменти. Допълнителен принос за увеличаването на печалбата имаха по-ниските разходи на банките, свързани с фондовете за преструктуриране и за гарантиране на влоговете, както и по-ниският размер на разходите за обезценки по финансови активи. По-високият размер на реализирания финансов резултат на банковата система повлия за увеличаването на показателите за възвръщаемост на активите (ROA) и възвръщаемост на капитала (ROE). В края на 2021</w:t>
      </w:r>
      <w:r w:rsidR="00DF07FD" w:rsidRPr="00C47B43">
        <w:rPr>
          <w:spacing w:val="-2"/>
          <w:szCs w:val="24"/>
        </w:rPr>
        <w:t> г.</w:t>
      </w:r>
      <w:r w:rsidRPr="00C47B43">
        <w:rPr>
          <w:spacing w:val="-2"/>
          <w:szCs w:val="24"/>
        </w:rPr>
        <w:t xml:space="preserve"> възвръщаемостта на активите (ROA) възлезе на 1.05% (0.56% към 31 декември 2020</w:t>
      </w:r>
      <w:r w:rsidR="00DF07FD" w:rsidRPr="00C47B43">
        <w:rPr>
          <w:spacing w:val="-2"/>
          <w:szCs w:val="24"/>
        </w:rPr>
        <w:t> г.</w:t>
      </w:r>
      <w:r w:rsidRPr="00C47B43">
        <w:rPr>
          <w:spacing w:val="-2"/>
          <w:szCs w:val="24"/>
        </w:rPr>
        <w:t>), а възвръщаемостта на собствения капитал (ROE) се повиши до 8.57% (4.57% към 31 декември 2020</w:t>
      </w:r>
      <w:r w:rsidR="00DF07FD" w:rsidRPr="00C47B43">
        <w:rPr>
          <w:spacing w:val="-2"/>
          <w:szCs w:val="24"/>
        </w:rPr>
        <w:t> г.</w:t>
      </w:r>
      <w:r w:rsidRPr="00C47B43">
        <w:rPr>
          <w:spacing w:val="-2"/>
          <w:szCs w:val="24"/>
        </w:rPr>
        <w:t>).</w:t>
      </w:r>
    </w:p>
    <w:p w14:paraId="66A0DE66" w14:textId="181DD407" w:rsidR="0067290E" w:rsidRPr="00C47B43" w:rsidRDefault="0067290E" w:rsidP="00515861">
      <w:pPr>
        <w:rPr>
          <w:spacing w:val="-2"/>
          <w:szCs w:val="24"/>
        </w:rPr>
      </w:pPr>
      <w:r w:rsidRPr="00C47B43">
        <w:rPr>
          <w:spacing w:val="-2"/>
          <w:szCs w:val="24"/>
        </w:rPr>
        <w:t>Агрегираното за банковата система съотношение на ливъридж</w:t>
      </w:r>
      <w:r w:rsidR="005459BA" w:rsidRPr="00C47B43">
        <w:rPr>
          <w:rStyle w:val="FootnoteReference"/>
          <w:spacing w:val="-2"/>
          <w:szCs w:val="24"/>
        </w:rPr>
        <w:footnoteReference w:id="17"/>
      </w:r>
      <w:r w:rsidR="00BD2C3E" w:rsidRPr="00C47B43">
        <w:rPr>
          <w:spacing w:val="-2"/>
          <w:szCs w:val="24"/>
        </w:rPr>
        <w:t xml:space="preserve"> </w:t>
      </w:r>
      <w:r w:rsidRPr="00C47B43">
        <w:rPr>
          <w:spacing w:val="-2"/>
          <w:szCs w:val="24"/>
        </w:rPr>
        <w:t>(при „напълно въведено“ определение на капитала от първи ред) възлезе на 10.50% (при 10.70% в края на 2020</w:t>
      </w:r>
      <w:r w:rsidR="00DF07FD" w:rsidRPr="00C47B43">
        <w:rPr>
          <w:spacing w:val="-2"/>
          <w:szCs w:val="24"/>
        </w:rPr>
        <w:t> г.</w:t>
      </w:r>
      <w:r w:rsidRPr="00C47B43">
        <w:rPr>
          <w:spacing w:val="-2"/>
          <w:szCs w:val="24"/>
        </w:rPr>
        <w:t>) и показва високо капиталово покритие на общата експозиция (формирана от техните активи, задбалансови позиции, деривати, сделки за финансиране с ценни книжа и стандартни покупки и продажби с предстоящ сетълмент). През периода общата рискова експозиция нарасна с по-висок темп от този на капитала от първи ред. В края на декември 2021</w:t>
      </w:r>
      <w:r w:rsidR="00DF07FD" w:rsidRPr="00C47B43">
        <w:rPr>
          <w:spacing w:val="-2"/>
          <w:szCs w:val="24"/>
        </w:rPr>
        <w:t> г.</w:t>
      </w:r>
      <w:r w:rsidRPr="00C47B43">
        <w:rPr>
          <w:spacing w:val="-2"/>
          <w:szCs w:val="24"/>
        </w:rPr>
        <w:t xml:space="preserve"> отчетеното съотношение на ливъридж на всички банки в България беше значително над минималното регулаторно изискване за 3.0% на капитала от първи ред от общата експозиция.</w:t>
      </w:r>
    </w:p>
    <w:p w14:paraId="4480E01F" w14:textId="7FE13855" w:rsidR="0067290E" w:rsidRPr="005B2032" w:rsidRDefault="0067290E" w:rsidP="00515861">
      <w:pPr>
        <w:rPr>
          <w:szCs w:val="24"/>
        </w:rPr>
      </w:pPr>
      <w:r w:rsidRPr="005B2032">
        <w:rPr>
          <w:szCs w:val="24"/>
        </w:rPr>
        <w:t>Към 31 декември 2021</w:t>
      </w:r>
      <w:r w:rsidR="00DF07FD">
        <w:rPr>
          <w:szCs w:val="24"/>
        </w:rPr>
        <w:t> г.</w:t>
      </w:r>
      <w:r w:rsidRPr="005B2032">
        <w:rPr>
          <w:szCs w:val="24"/>
        </w:rPr>
        <w:t xml:space="preserve"> всички банки спазваха капиталовите изисквания и определените буфери</w:t>
      </w:r>
      <w:r w:rsidR="005459BA">
        <w:rPr>
          <w:rStyle w:val="FootnoteReference"/>
          <w:szCs w:val="24"/>
        </w:rPr>
        <w:footnoteReference w:id="18"/>
      </w:r>
      <w:r w:rsidR="003B3383" w:rsidRPr="005B2032">
        <w:rPr>
          <w:szCs w:val="24"/>
        </w:rPr>
        <w:t xml:space="preserve">. </w:t>
      </w:r>
      <w:r w:rsidRPr="005B2032">
        <w:rPr>
          <w:szCs w:val="24"/>
        </w:rPr>
        <w:t>Превишението на капитала над регулаторния минимум по Стълб 1 възлезе на 10.0 млрд. лв., като се повиши с 5.5% спрямо края на 2020</w:t>
      </w:r>
      <w:r w:rsidR="00DF07FD">
        <w:rPr>
          <w:szCs w:val="24"/>
        </w:rPr>
        <w:t> г.</w:t>
      </w:r>
      <w:r w:rsidRPr="005B2032">
        <w:rPr>
          <w:szCs w:val="24"/>
        </w:rPr>
        <w:t xml:space="preserve"> Капиталът, който превишава минималните и задължителните капиталови изисквания, както и определените буфери, нарасна с 5.7% до 4.8 млрд. лв. в края на 2021</w:t>
      </w:r>
      <w:r w:rsidR="00DF07FD">
        <w:rPr>
          <w:szCs w:val="24"/>
        </w:rPr>
        <w:t> г.</w:t>
      </w:r>
      <w:r w:rsidRPr="005B2032">
        <w:rPr>
          <w:szCs w:val="24"/>
        </w:rPr>
        <w:t xml:space="preserve"> Увеличението на регулаторния капитал и намалението на нетните необслужвани експозиции през годината осигуриха допълнително покритие на позициите, които са източник на потенциален остатъчен кредитен риск в банковите баланси.</w:t>
      </w:r>
    </w:p>
    <w:p w14:paraId="1F22E2C6" w14:textId="48D9D9D2" w:rsidR="0067290E" w:rsidRPr="005B2032" w:rsidRDefault="0067290E" w:rsidP="00515861">
      <w:pPr>
        <w:rPr>
          <w:szCs w:val="24"/>
        </w:rPr>
      </w:pPr>
      <w:r w:rsidRPr="005B2032">
        <w:rPr>
          <w:szCs w:val="24"/>
        </w:rPr>
        <w:t>Ликвидността на банковата система се запази висока, като съотношението на ликвидно покритие (liquidity coverage ratio, LCR</w:t>
      </w:r>
      <w:r w:rsidR="005459BA">
        <w:rPr>
          <w:rStyle w:val="FootnoteReference"/>
          <w:szCs w:val="24"/>
        </w:rPr>
        <w:footnoteReference w:id="19"/>
      </w:r>
      <w:r w:rsidR="005A122B">
        <w:rPr>
          <w:szCs w:val="24"/>
        </w:rPr>
        <w:t>)</w:t>
      </w:r>
      <w:r w:rsidRPr="005B2032">
        <w:rPr>
          <w:szCs w:val="24"/>
        </w:rPr>
        <w:t xml:space="preserve"> н</w:t>
      </w:r>
      <w:r w:rsidR="003B3383" w:rsidRPr="005B2032">
        <w:rPr>
          <w:szCs w:val="24"/>
        </w:rPr>
        <w:t xml:space="preserve">а банковата система в края на </w:t>
      </w:r>
      <w:r w:rsidRPr="005B2032">
        <w:rPr>
          <w:szCs w:val="24"/>
        </w:rPr>
        <w:t>2021</w:t>
      </w:r>
      <w:r w:rsidR="00DF07FD">
        <w:rPr>
          <w:szCs w:val="24"/>
        </w:rPr>
        <w:t> г.</w:t>
      </w:r>
      <w:r w:rsidRPr="005B2032">
        <w:rPr>
          <w:szCs w:val="24"/>
        </w:rPr>
        <w:t xml:space="preserve"> възлезе </w:t>
      </w:r>
      <w:r w:rsidRPr="005B2032">
        <w:rPr>
          <w:szCs w:val="24"/>
        </w:rPr>
        <w:lastRenderedPageBreak/>
        <w:t>на 274.1% (278.9% в края на 2020</w:t>
      </w:r>
      <w:r w:rsidR="00DF07FD">
        <w:rPr>
          <w:szCs w:val="24"/>
        </w:rPr>
        <w:t> г.</w:t>
      </w:r>
      <w:r w:rsidRPr="005B2032">
        <w:rPr>
          <w:szCs w:val="24"/>
        </w:rPr>
        <w:t>). При всички кредитни институции съотношението на ликвидно покритие значително надвишаваше минималното регулаторно изискване от 100%. В края на декември 2021</w:t>
      </w:r>
      <w:r w:rsidR="00DF07FD">
        <w:rPr>
          <w:szCs w:val="24"/>
        </w:rPr>
        <w:t> г.</w:t>
      </w:r>
      <w:r w:rsidRPr="005B2032">
        <w:rPr>
          <w:szCs w:val="24"/>
        </w:rPr>
        <w:t xml:space="preserve"> агрегираното за банковата система ниво на съотношение</w:t>
      </w:r>
      <w:r w:rsidR="003B3383" w:rsidRPr="005B2032">
        <w:rPr>
          <w:szCs w:val="24"/>
        </w:rPr>
        <w:t xml:space="preserve"> на нетно стабилно финансиране</w:t>
      </w:r>
      <w:r w:rsidR="005459BA">
        <w:rPr>
          <w:rStyle w:val="FootnoteReference"/>
          <w:szCs w:val="24"/>
        </w:rPr>
        <w:footnoteReference w:id="20"/>
      </w:r>
      <w:r w:rsidR="003B3383" w:rsidRPr="005B2032">
        <w:rPr>
          <w:szCs w:val="24"/>
        </w:rPr>
        <w:t xml:space="preserve"> </w:t>
      </w:r>
      <w:r w:rsidRPr="005B2032">
        <w:rPr>
          <w:szCs w:val="24"/>
        </w:rPr>
        <w:t xml:space="preserve">(net stable funding ratio, NSFR) възлезе на 166.0%, като всички банки в България спазваха минималното регулаторно изискване от 100%. </w:t>
      </w:r>
    </w:p>
    <w:p w14:paraId="186293C8" w14:textId="7BAD8A38" w:rsidR="0067290E" w:rsidRPr="005B2032" w:rsidRDefault="0067290E" w:rsidP="00515861">
      <w:pPr>
        <w:rPr>
          <w:szCs w:val="24"/>
        </w:rPr>
      </w:pPr>
      <w:r w:rsidRPr="005B2032">
        <w:rPr>
          <w:szCs w:val="24"/>
        </w:rPr>
        <w:t>Дейността на БНБ по отношение на надзора върху кредитните институции през 2021</w:t>
      </w:r>
      <w:r w:rsidR="00DF07FD">
        <w:rPr>
          <w:szCs w:val="24"/>
        </w:rPr>
        <w:t> г.</w:t>
      </w:r>
      <w:r w:rsidRPr="005B2032">
        <w:rPr>
          <w:szCs w:val="24"/>
        </w:rPr>
        <w:t xml:space="preserve"> бе насочена към анализ и оценка на финансовото състояние на банковата система и на отделните банки с цел идентифициране на потенциални рискове и предприемане на своевременни надзорни мерки за противодействието им. В допълнение, приоритет продължи да бъде и изпълнението на процеса по синхронизация на надзорните практики между БНБ и Единния надзорен механизъм (ЕНМ), протичащ вследствие на присъединяването на Република България към ЕНМ от 1 октомври 2020</w:t>
      </w:r>
      <w:r w:rsidR="00DF07FD">
        <w:rPr>
          <w:szCs w:val="24"/>
        </w:rPr>
        <w:t> г.</w:t>
      </w:r>
    </w:p>
    <w:p w14:paraId="18CC2EEF" w14:textId="78D4A625" w:rsidR="0067290E" w:rsidRPr="005B2032" w:rsidRDefault="0067290E" w:rsidP="00515861">
      <w:pPr>
        <w:rPr>
          <w:szCs w:val="24"/>
        </w:rPr>
      </w:pPr>
      <w:r w:rsidRPr="005B2032">
        <w:rPr>
          <w:szCs w:val="24"/>
        </w:rPr>
        <w:t>През 2021</w:t>
      </w:r>
      <w:r w:rsidR="00DF07FD">
        <w:rPr>
          <w:szCs w:val="24"/>
        </w:rPr>
        <w:t> г.</w:t>
      </w:r>
      <w:r w:rsidRPr="005B2032">
        <w:rPr>
          <w:szCs w:val="24"/>
        </w:rPr>
        <w:t xml:space="preserve"> макропруденциалната политика на БНБ бе насочена към наблюдение и изследване на процесите и развитието на вътрешноприсъщите рискове, оказващи влияние върху стабилността на банковата система, а също и към предприемане на мерки за съхранение на нейната устойчивост. С решения от март и юни 2021</w:t>
      </w:r>
      <w:r w:rsidR="00DF07FD">
        <w:rPr>
          <w:szCs w:val="24"/>
        </w:rPr>
        <w:t> г.</w:t>
      </w:r>
      <w:r w:rsidRPr="005B2032">
        <w:rPr>
          <w:szCs w:val="24"/>
        </w:rPr>
        <w:t xml:space="preserve"> Управителният съвет (УС) на БНБ запази нивото на антицикличния капиталов буфер, приложим към кредитни рискови експозиции в България, на 0.5%.</w:t>
      </w:r>
      <w:r w:rsidR="00BD2C3E">
        <w:rPr>
          <w:szCs w:val="24"/>
        </w:rPr>
        <w:t xml:space="preserve"> </w:t>
      </w:r>
      <w:r w:rsidRPr="005B2032">
        <w:rPr>
          <w:szCs w:val="24"/>
        </w:rPr>
        <w:t>Запазването на нивото на антицикличния капиталов буфер имаше за цел съхраняване на изградените в банковата система капиталови буфери, чрез които се осигурява капацитет за поемане на загуби в случай на неблагоприятни макроикономически процеси и при евентуално влошаване на кредитните портфейли на банките. През септември 2021</w:t>
      </w:r>
      <w:r w:rsidR="00DF07FD">
        <w:rPr>
          <w:szCs w:val="24"/>
        </w:rPr>
        <w:t> г.</w:t>
      </w:r>
      <w:r w:rsidRPr="005B2032">
        <w:rPr>
          <w:szCs w:val="24"/>
        </w:rPr>
        <w:t>, отчитайки ускоряването на кредитния растеж, особено в сегмента на жилищните кредити, както и свързаните с това предпоставки за увеличение на задлъжнялостта и за натрупване на циклични рискове, които могат да се проявят в нарастване на обема на необслужваните кредити при евентуален бъдещ спад на икономическата активност, бе взето решение за увеличение на нивото на антицикличния капиталов буфер на 1.0%, в сила от 1 октомври 2022</w:t>
      </w:r>
      <w:r w:rsidR="00DF07FD">
        <w:rPr>
          <w:szCs w:val="24"/>
        </w:rPr>
        <w:t> г.</w:t>
      </w:r>
      <w:r w:rsidRPr="005B2032">
        <w:rPr>
          <w:szCs w:val="24"/>
        </w:rPr>
        <w:t xml:space="preserve"> През декември 2021</w:t>
      </w:r>
      <w:r w:rsidR="00DF07FD">
        <w:rPr>
          <w:szCs w:val="24"/>
        </w:rPr>
        <w:t> г.</w:t>
      </w:r>
      <w:r w:rsidRPr="005B2032">
        <w:rPr>
          <w:szCs w:val="24"/>
        </w:rPr>
        <w:t>, отчитайки продължаващото ускоряване на кредитния растеж, особено при жилищните кредити, както и нивата на реалните лихвени проценти, създаващи предпоставки за увеличение на задлъжнялостта, което може да се отрази върху способността на кредитополучателите да обслужват задълженията си при потенциално влошаване на икономическата среда, УС на БНБ взе решение да повиши нивото на антицикличния капиталов буфер на 1.5%, в сила от 1 януари 2023</w:t>
      </w:r>
      <w:r w:rsidR="00DF07FD">
        <w:rPr>
          <w:szCs w:val="24"/>
        </w:rPr>
        <w:t> г.</w:t>
      </w:r>
    </w:p>
    <w:p w14:paraId="6C31410B" w14:textId="69617CC0" w:rsidR="0067290E" w:rsidRPr="005B2032" w:rsidRDefault="0067290E" w:rsidP="00515861">
      <w:pPr>
        <w:rPr>
          <w:szCs w:val="24"/>
        </w:rPr>
      </w:pPr>
      <w:r w:rsidRPr="005B2032">
        <w:rPr>
          <w:szCs w:val="24"/>
        </w:rPr>
        <w:t>По отношение на рисковете със структурен х</w:t>
      </w:r>
      <w:r w:rsidR="00312D34" w:rsidRPr="005B2032">
        <w:rPr>
          <w:szCs w:val="24"/>
        </w:rPr>
        <w:t xml:space="preserve">арактер, при направения през </w:t>
      </w:r>
      <w:r w:rsidRPr="005B2032">
        <w:rPr>
          <w:szCs w:val="24"/>
        </w:rPr>
        <w:t>2021</w:t>
      </w:r>
      <w:r w:rsidR="00DF07FD">
        <w:rPr>
          <w:szCs w:val="24"/>
        </w:rPr>
        <w:t> г.</w:t>
      </w:r>
      <w:r w:rsidRPr="005B2032">
        <w:rPr>
          <w:szCs w:val="24"/>
        </w:rPr>
        <w:t xml:space="preserve"> преглед на буфера за системен риск</w:t>
      </w:r>
      <w:r w:rsidR="00312D34" w:rsidRPr="005B2032">
        <w:rPr>
          <w:szCs w:val="24"/>
        </w:rPr>
        <w:t>,</w:t>
      </w:r>
      <w:r w:rsidRPr="005B2032">
        <w:rPr>
          <w:szCs w:val="24"/>
        </w:rPr>
        <w:t xml:space="preserve"> УС на БНБ потвърди нивото от 3% с оглед поддържане на устойчивостта на банките срещу реализацията на структурни рискове, застрашаващи стабилността на финансовата система на България.</w:t>
      </w:r>
    </w:p>
    <w:p w14:paraId="38992202" w14:textId="7E826798" w:rsidR="0067290E" w:rsidRPr="005B2032" w:rsidRDefault="0067290E" w:rsidP="00515861">
      <w:pPr>
        <w:rPr>
          <w:szCs w:val="24"/>
        </w:rPr>
      </w:pPr>
      <w:r w:rsidRPr="005B2032">
        <w:rPr>
          <w:szCs w:val="24"/>
        </w:rPr>
        <w:t>През 2021</w:t>
      </w:r>
      <w:r w:rsidR="00DF07FD">
        <w:rPr>
          <w:szCs w:val="24"/>
        </w:rPr>
        <w:t> г.</w:t>
      </w:r>
      <w:r w:rsidRPr="005B2032">
        <w:rPr>
          <w:szCs w:val="24"/>
        </w:rPr>
        <w:t xml:space="preserve"> бе извършен ежегоден преглед на идентифицираните като други системно значими институции (ДСЗИ) и определените за тях нива на капиталов буфер за ДСЗИ. При ежегодния преглед бяха идентифицирани осем банки. Определените нива на буфер за тях бяха между 0.5% и 1.0% и влязоха в сила от 1 януари 2022</w:t>
      </w:r>
      <w:r w:rsidR="00DF07FD">
        <w:rPr>
          <w:szCs w:val="24"/>
        </w:rPr>
        <w:t> г.</w:t>
      </w:r>
    </w:p>
    <w:p w14:paraId="65BA667D" w14:textId="26351F0C" w:rsidR="0067290E" w:rsidRPr="005B2032" w:rsidRDefault="0067290E" w:rsidP="00515861">
      <w:pPr>
        <w:rPr>
          <w:szCs w:val="24"/>
        </w:rPr>
      </w:pPr>
      <w:r w:rsidRPr="005B2032">
        <w:rPr>
          <w:szCs w:val="24"/>
        </w:rPr>
        <w:t>През 2021</w:t>
      </w:r>
      <w:r w:rsidR="00DF07FD">
        <w:rPr>
          <w:szCs w:val="24"/>
        </w:rPr>
        <w:t> г.</w:t>
      </w:r>
      <w:r w:rsidRPr="005B2032">
        <w:rPr>
          <w:szCs w:val="24"/>
        </w:rPr>
        <w:t xml:space="preserve"> дейността на БНБ в областта на регулаторната рамка бе насочена към изменения в Закона за кредитните институции, с които в България бе въведена Директива (ЕС) 2019/878 на Европейския парламент и на Съвета от 20 май 2019</w:t>
      </w:r>
      <w:r w:rsidR="00DF07FD">
        <w:rPr>
          <w:szCs w:val="24"/>
        </w:rPr>
        <w:t> г.</w:t>
      </w:r>
      <w:r w:rsidRPr="005B2032">
        <w:rPr>
          <w:szCs w:val="24"/>
        </w:rPr>
        <w:t xml:space="preserve"> за изменение на Директива 2013/36/ЕС по отношение на освободените субекти, финансовите холдинги, </w:t>
      </w:r>
      <w:r w:rsidRPr="005B2032">
        <w:rPr>
          <w:szCs w:val="24"/>
        </w:rPr>
        <w:lastRenderedPageBreak/>
        <w:t xml:space="preserve">финансовите холдинги със смесена дейност, възнагражденията, надзорните мерки и правомощия и мерките за запазване на капитала. БНБ участва и в разработването на изменения в </w:t>
      </w:r>
      <w:r w:rsidR="00312D34" w:rsidRPr="005B2032">
        <w:rPr>
          <w:szCs w:val="24"/>
        </w:rPr>
        <w:t>Закона за кредитните институции</w:t>
      </w:r>
      <w:r w:rsidR="005459BA">
        <w:rPr>
          <w:rStyle w:val="FootnoteReference"/>
          <w:szCs w:val="24"/>
        </w:rPr>
        <w:footnoteReference w:id="21"/>
      </w:r>
      <w:r w:rsidRPr="005B2032">
        <w:rPr>
          <w:szCs w:val="24"/>
        </w:rPr>
        <w:t>, чрез които, в съответствие с Регламент (ЕС) 2019/2033 на Европейския парламент и на Съвета от 27 ноември 2019</w:t>
      </w:r>
      <w:r w:rsidR="00DF07FD">
        <w:rPr>
          <w:szCs w:val="24"/>
        </w:rPr>
        <w:t> г.</w:t>
      </w:r>
      <w:r w:rsidRPr="005B2032">
        <w:rPr>
          <w:szCs w:val="24"/>
        </w:rPr>
        <w:t xml:space="preserve"> относно пруденциалните изисквания за инвестиционните посредници и за изменение на регламенти (ЕС) № 1093/2010, (ЕС) № 575/2013, (ЕС) № 600/2014 и (ЕС) № 806/2014, се разширява определението за „кредитна институция“, като то вече включва и инвестиционните посредници, които са със системно значение за финансовата система на Европейския съюз. </w:t>
      </w:r>
    </w:p>
    <w:p w14:paraId="0CC9C83A" w14:textId="4B1B01F6" w:rsidR="0067290E" w:rsidRPr="005B2032" w:rsidRDefault="0067290E" w:rsidP="00515861">
      <w:pPr>
        <w:rPr>
          <w:szCs w:val="24"/>
        </w:rPr>
      </w:pPr>
      <w:r w:rsidRPr="005B2032">
        <w:rPr>
          <w:szCs w:val="24"/>
        </w:rPr>
        <w:t>В допълнение, през годината бяха приети наредби за изменение и допълнение на следните Наредби на БНБ: №2 от 2006</w:t>
      </w:r>
      <w:r w:rsidR="00DF07FD">
        <w:rPr>
          <w:szCs w:val="24"/>
        </w:rPr>
        <w:t> г.</w:t>
      </w:r>
      <w:r w:rsidRPr="005B2032">
        <w:rPr>
          <w:szCs w:val="24"/>
        </w:rPr>
        <w:t xml:space="preserve"> за лицензите, одобренията и разрешенията, издавани от БНБ по Закона за кредитните институции, №4 от 21 декември 2010</w:t>
      </w:r>
      <w:r w:rsidR="00DF07FD">
        <w:rPr>
          <w:szCs w:val="24"/>
        </w:rPr>
        <w:t> г.</w:t>
      </w:r>
      <w:r w:rsidRPr="005B2032">
        <w:rPr>
          <w:szCs w:val="24"/>
        </w:rPr>
        <w:t xml:space="preserve"> за изискванията към възнагражденията в банките, №7 от 2014</w:t>
      </w:r>
      <w:r w:rsidR="00DF07FD">
        <w:rPr>
          <w:szCs w:val="24"/>
        </w:rPr>
        <w:t> г.</w:t>
      </w:r>
      <w:r w:rsidRPr="005B2032">
        <w:rPr>
          <w:szCs w:val="24"/>
        </w:rPr>
        <w:t xml:space="preserve"> за организацията и управлението на рисковете в банките и №20 от 2019</w:t>
      </w:r>
      <w:r w:rsidR="00DF07FD">
        <w:rPr>
          <w:szCs w:val="24"/>
        </w:rPr>
        <w:t> г.</w:t>
      </w:r>
      <w:r w:rsidRPr="005B2032">
        <w:rPr>
          <w:szCs w:val="24"/>
        </w:rPr>
        <w:t xml:space="preserve"> за издаване на одобрения за членове на управителния съвет (съвета на директорите) и надзорния съвет на кредитна институция и изисквания във връзка с изпълнение на техните функции. Също така, бе приета нова Наредба № 8 за капиталовите буфери, комбинираното изискване за буфер, ограниченията върху разпределенията и препоръката за допълнителен собствен капитал, която отменя Наредба № 8 на БНБ от 2014 г .</w:t>
      </w:r>
    </w:p>
    <w:p w14:paraId="7A91EE5D" w14:textId="2A5663FD" w:rsidR="001473CD" w:rsidRPr="005B2032" w:rsidRDefault="001473CD" w:rsidP="00515861">
      <w:pPr>
        <w:rPr>
          <w:szCs w:val="24"/>
        </w:rPr>
      </w:pPr>
      <w:r w:rsidRPr="005B2032">
        <w:rPr>
          <w:szCs w:val="24"/>
        </w:rPr>
        <w:t>Според прогнозата на Министерството на финансите търсенето на кредити през 2022</w:t>
      </w:r>
      <w:r w:rsidR="00DF07FD">
        <w:rPr>
          <w:szCs w:val="24"/>
        </w:rPr>
        <w:t> г.</w:t>
      </w:r>
      <w:r w:rsidRPr="005B2032">
        <w:rPr>
          <w:szCs w:val="24"/>
        </w:rPr>
        <w:t xml:space="preserve"> ще се забави в сравнение с 2021</w:t>
      </w:r>
      <w:r w:rsidR="00DF07FD">
        <w:rPr>
          <w:szCs w:val="24"/>
        </w:rPr>
        <w:t> г.</w:t>
      </w:r>
      <w:r w:rsidRPr="005B2032">
        <w:rPr>
          <w:szCs w:val="24"/>
        </w:rPr>
        <w:t>, в съответствие с очакваното влошаване на икономическата ситуация и повишената несигурност поради войната в Украйна. Вземанията от предприятия</w:t>
      </w:r>
      <w:r w:rsidRPr="005B2032">
        <w:rPr>
          <w:vertAlign w:val="superscript"/>
        </w:rPr>
        <w:footnoteReference w:id="22"/>
      </w:r>
      <w:r w:rsidRPr="005B2032">
        <w:rPr>
          <w:szCs w:val="24"/>
        </w:rPr>
        <w:t xml:space="preserve"> в края на 2022</w:t>
      </w:r>
      <w:r w:rsidR="00DF07FD">
        <w:rPr>
          <w:szCs w:val="24"/>
        </w:rPr>
        <w:t> г.</w:t>
      </w:r>
      <w:r w:rsidRPr="005B2032">
        <w:rPr>
          <w:szCs w:val="24"/>
        </w:rPr>
        <w:t xml:space="preserve"> ще забавят растежа си до 4.6% (при 6.1% в края на 2021</w:t>
      </w:r>
      <w:r w:rsidR="00DF07FD">
        <w:rPr>
          <w:szCs w:val="24"/>
        </w:rPr>
        <w:t> г.</w:t>
      </w:r>
      <w:r w:rsidRPr="005B2032">
        <w:rPr>
          <w:szCs w:val="24"/>
        </w:rPr>
        <w:t>) поради отрицателните ефекти върху инвестиционната активност, а тези на домакинствата – до 9.9%. Общо растежът на вземанията от частния сектор през 2022</w:t>
      </w:r>
      <w:r w:rsidR="00DF07FD">
        <w:rPr>
          <w:szCs w:val="24"/>
        </w:rPr>
        <w:t> г.</w:t>
      </w:r>
      <w:r w:rsidRPr="005B2032">
        <w:rPr>
          <w:szCs w:val="24"/>
        </w:rPr>
        <w:t xml:space="preserve"> се очаква да бъде около 6.7%. Фактори, които ще действат в посока забавяне растежа на кредита за домакинствата, ще бъдат очакваното забавяне в растежа на потреблението и на компенсациите на наетите през 2022</w:t>
      </w:r>
      <w:r w:rsidR="00DF07FD">
        <w:rPr>
          <w:szCs w:val="24"/>
        </w:rPr>
        <w:t> г.</w:t>
      </w:r>
      <w:r w:rsidRPr="005B2032">
        <w:rPr>
          <w:szCs w:val="24"/>
        </w:rPr>
        <w:t xml:space="preserve"> Ограничаващо кредитната активност влияние от страна на предлагането може да има и обявеното от БНБ постепенно увеличение на нивото н</w:t>
      </w:r>
      <w:r w:rsidR="00633C6D" w:rsidRPr="005B2032">
        <w:rPr>
          <w:szCs w:val="24"/>
        </w:rPr>
        <w:t>а антицикличния капиталов буфер</w:t>
      </w:r>
      <w:r w:rsidRPr="005B2032">
        <w:rPr>
          <w:szCs w:val="24"/>
        </w:rPr>
        <w:t xml:space="preserve"> през октомври 2022</w:t>
      </w:r>
      <w:r w:rsidR="00DF07FD">
        <w:rPr>
          <w:szCs w:val="24"/>
        </w:rPr>
        <w:t> г.</w:t>
      </w:r>
      <w:r w:rsidRPr="005B2032">
        <w:rPr>
          <w:szCs w:val="24"/>
        </w:rPr>
        <w:t xml:space="preserve"> и в началото на 2023</w:t>
      </w:r>
      <w:r w:rsidR="00DF07FD">
        <w:rPr>
          <w:szCs w:val="24"/>
        </w:rPr>
        <w:t> г.</w:t>
      </w:r>
      <w:r w:rsidRPr="005B2032">
        <w:rPr>
          <w:szCs w:val="24"/>
        </w:rPr>
        <w:t xml:space="preserve"> Въпреки прогнозираното забавяне при жилищните кредити, през 2022</w:t>
      </w:r>
      <w:r w:rsidR="00DF07FD">
        <w:rPr>
          <w:szCs w:val="24"/>
        </w:rPr>
        <w:t> г.</w:t>
      </w:r>
      <w:r w:rsidRPr="005B2032">
        <w:rPr>
          <w:szCs w:val="24"/>
        </w:rPr>
        <w:t xml:space="preserve"> темпът им на растеж ще остане относително висок, тъй като покупката на жилище е основна алтернативна форма за инвестиция или за съхранение на стойността в среда на висока инфлация и ниски лихвени проценти. </w:t>
      </w:r>
    </w:p>
    <w:p w14:paraId="4B7254E7" w14:textId="7D1638CB" w:rsidR="001473CD" w:rsidRPr="005B2032" w:rsidRDefault="001473CD" w:rsidP="00515861">
      <w:pPr>
        <w:rPr>
          <w:szCs w:val="24"/>
        </w:rPr>
      </w:pPr>
      <w:r w:rsidRPr="005B2032">
        <w:rPr>
          <w:szCs w:val="24"/>
        </w:rPr>
        <w:t>До края на прогнозния период се очаква нарастването на кредита за домакинства да продължи да се забавя. То ще остане на относително високи нива в съответствие и с прогнозираното развитие при компенсацията на наетите лица. В края на 2023</w:t>
      </w:r>
      <w:r w:rsidR="00DF07FD">
        <w:rPr>
          <w:szCs w:val="24"/>
        </w:rPr>
        <w:t> г.</w:t>
      </w:r>
      <w:r w:rsidRPr="005B2032">
        <w:rPr>
          <w:szCs w:val="24"/>
        </w:rPr>
        <w:t xml:space="preserve"> растежът на вземанията от домакинствата се прогнозира да бъде 8.9%, а в края на 2025</w:t>
      </w:r>
      <w:r w:rsidR="00DF07FD">
        <w:rPr>
          <w:szCs w:val="24"/>
        </w:rPr>
        <w:t> г.</w:t>
      </w:r>
      <w:r w:rsidRPr="005B2032">
        <w:rPr>
          <w:szCs w:val="24"/>
        </w:rPr>
        <w:t xml:space="preserve"> – 7.7%</w:t>
      </w:r>
    </w:p>
    <w:p w14:paraId="4A6D9B23" w14:textId="39F71236" w:rsidR="00BA0865" w:rsidRPr="005B2032" w:rsidRDefault="001473CD" w:rsidP="00515861">
      <w:pPr>
        <w:rPr>
          <w:rFonts w:asciiTheme="minorHAnsi" w:hAnsiTheme="minorHAnsi" w:cstheme="minorHAnsi"/>
        </w:rPr>
      </w:pPr>
      <w:r w:rsidRPr="005B2032">
        <w:rPr>
          <w:szCs w:val="24"/>
        </w:rPr>
        <w:t>Предвижда се в периода 2023–2025</w:t>
      </w:r>
      <w:r w:rsidR="00DF07FD">
        <w:rPr>
          <w:szCs w:val="24"/>
        </w:rPr>
        <w:t> г.</w:t>
      </w:r>
      <w:r w:rsidRPr="005B2032">
        <w:rPr>
          <w:szCs w:val="24"/>
        </w:rPr>
        <w:t xml:space="preserve"> кредитът за нефинансови предприятия плавно да се ускори в синхрон с очакваното възстановяване на частните инвестиции, подкрепени и от НПВУ. Очакванията са растежът на общо вземанията от предприятия в края на 2023</w:t>
      </w:r>
      <w:r w:rsidR="00DF07FD">
        <w:rPr>
          <w:szCs w:val="24"/>
        </w:rPr>
        <w:t> г.</w:t>
      </w:r>
      <w:r w:rsidRPr="005B2032">
        <w:rPr>
          <w:szCs w:val="24"/>
        </w:rPr>
        <w:t xml:space="preserve"> да бъде 5%. През 2024</w:t>
      </w:r>
      <w:r w:rsidR="00DF07FD">
        <w:rPr>
          <w:szCs w:val="24"/>
        </w:rPr>
        <w:t> г.</w:t>
      </w:r>
      <w:r w:rsidRPr="005B2032">
        <w:rPr>
          <w:szCs w:val="24"/>
        </w:rPr>
        <w:t xml:space="preserve"> общо годишното нарастване на вземанията от предприятия ще бъде 5.3%, а в края на 2025</w:t>
      </w:r>
      <w:r w:rsidR="00DF07FD">
        <w:rPr>
          <w:szCs w:val="24"/>
        </w:rPr>
        <w:t> г.</w:t>
      </w:r>
      <w:r w:rsidRPr="005B2032">
        <w:rPr>
          <w:szCs w:val="24"/>
        </w:rPr>
        <w:t xml:space="preserve"> – 5.7%. </w:t>
      </w:r>
      <w:r w:rsidR="0018671E" w:rsidRPr="005B2032">
        <w:rPr>
          <w:szCs w:val="24"/>
        </w:rPr>
        <w:t>Общо</w:t>
      </w:r>
      <w:r w:rsidRPr="005B2032">
        <w:rPr>
          <w:szCs w:val="24"/>
        </w:rPr>
        <w:t xml:space="preserve"> вземанията от частния сектор ще се увеличат с 6.6% през 2023</w:t>
      </w:r>
      <w:r w:rsidR="00DF07FD">
        <w:rPr>
          <w:szCs w:val="24"/>
        </w:rPr>
        <w:t> г.</w:t>
      </w:r>
      <w:r w:rsidRPr="005B2032">
        <w:rPr>
          <w:szCs w:val="24"/>
        </w:rPr>
        <w:t>, а до края на 2025</w:t>
      </w:r>
      <w:r w:rsidR="00DF07FD">
        <w:rPr>
          <w:szCs w:val="24"/>
        </w:rPr>
        <w:t> г.</w:t>
      </w:r>
      <w:r w:rsidRPr="005B2032">
        <w:rPr>
          <w:szCs w:val="24"/>
        </w:rPr>
        <w:t xml:space="preserve"> темпът им на растеж леко ще се забави до 6.5%.</w:t>
      </w:r>
    </w:p>
    <w:p w14:paraId="7DE807F1" w14:textId="77777777" w:rsidR="00D359FF" w:rsidRPr="004018C2" w:rsidRDefault="00D359FF" w:rsidP="004018C2">
      <w:pPr>
        <w:pStyle w:val="Heading1"/>
      </w:pPr>
      <w:bookmarkStart w:id="55" w:name="_Toc352851592"/>
      <w:bookmarkStart w:id="56" w:name="_Toc448227270"/>
      <w:bookmarkStart w:id="57" w:name="_Toc479332418"/>
      <w:bookmarkStart w:id="58" w:name="_Toc100906067"/>
      <w:r w:rsidRPr="004018C2">
        <w:lastRenderedPageBreak/>
        <w:t>Правителствен баланс и дълг</w:t>
      </w:r>
      <w:bookmarkEnd w:id="55"/>
      <w:bookmarkEnd w:id="56"/>
      <w:bookmarkEnd w:id="57"/>
      <w:bookmarkEnd w:id="58"/>
    </w:p>
    <w:p w14:paraId="498593C6" w14:textId="77777777" w:rsidR="00D359FF" w:rsidRPr="004018C2" w:rsidRDefault="00D359FF" w:rsidP="004018C2">
      <w:pPr>
        <w:pStyle w:val="Heading2"/>
      </w:pPr>
      <w:bookmarkStart w:id="59" w:name="_Toc352851593"/>
      <w:bookmarkStart w:id="60" w:name="_Toc448227271"/>
      <w:bookmarkStart w:id="61" w:name="_Toc479332419"/>
      <w:bookmarkStart w:id="62" w:name="_Toc100906068"/>
      <w:r w:rsidRPr="004018C2">
        <w:t>Стратегия на политиката</w:t>
      </w:r>
      <w:bookmarkEnd w:id="59"/>
      <w:bookmarkEnd w:id="60"/>
      <w:bookmarkEnd w:id="61"/>
      <w:bookmarkEnd w:id="62"/>
    </w:p>
    <w:p w14:paraId="72CBA6E3" w14:textId="77777777" w:rsidR="000C6374" w:rsidRPr="00493DA8" w:rsidRDefault="000C6374" w:rsidP="00493DA8">
      <w:pPr>
        <w:rPr>
          <w:rFonts w:asciiTheme="minorHAnsi" w:hAnsiTheme="minorHAnsi" w:cstheme="minorHAnsi"/>
          <w:szCs w:val="24"/>
        </w:rPr>
      </w:pPr>
      <w:r w:rsidRPr="00493DA8">
        <w:rPr>
          <w:rFonts w:asciiTheme="minorHAnsi" w:hAnsiTheme="minorHAnsi" w:cstheme="minorHAnsi"/>
          <w:szCs w:val="24"/>
        </w:rPr>
        <w:t>Страната ни ще се стреми да се придържа към провежданата през последните години благоразумна фискална политика, въпреки повишената икономическа несигурност, породена от глобалната пандемия от COVID-19, конфликта в Украйна и невъзможността към момента да се предвидят и оценят краткосрочните и дългосрочните ефекти от него.</w:t>
      </w:r>
    </w:p>
    <w:p w14:paraId="09CE34B3" w14:textId="4E8DD8C3" w:rsidR="000C6374" w:rsidRPr="00493DA8" w:rsidRDefault="000C6374" w:rsidP="00493DA8">
      <w:pPr>
        <w:rPr>
          <w:rFonts w:asciiTheme="minorHAnsi" w:hAnsiTheme="minorHAnsi" w:cstheme="minorHAnsi"/>
          <w:szCs w:val="24"/>
        </w:rPr>
      </w:pPr>
      <w:r w:rsidRPr="00493DA8">
        <w:rPr>
          <w:rFonts w:asciiTheme="minorHAnsi" w:hAnsiTheme="minorHAnsi" w:cstheme="minorHAnsi"/>
          <w:szCs w:val="24"/>
        </w:rPr>
        <w:t xml:space="preserve">От гледна точка на устойчивостта на публичните финанси през прогнозния период, определянето на реалистични цели за основните бюджетни параметри </w:t>
      </w:r>
      <w:r w:rsidR="007803EC" w:rsidRPr="000A6642">
        <w:rPr>
          <w:rFonts w:asciiTheme="minorHAnsi" w:hAnsiTheme="minorHAnsi" w:cstheme="minorHAnsi"/>
          <w:szCs w:val="24"/>
        </w:rPr>
        <w:t>ще</w:t>
      </w:r>
      <w:r w:rsidRPr="00493DA8">
        <w:rPr>
          <w:rFonts w:asciiTheme="minorHAnsi" w:hAnsiTheme="minorHAnsi" w:cstheme="minorHAnsi"/>
          <w:szCs w:val="24"/>
        </w:rPr>
        <w:t xml:space="preserve"> се придържа към установените фискални правила и ограничения, заложени</w:t>
      </w:r>
      <w:r w:rsidR="009D5B59">
        <w:rPr>
          <w:rFonts w:asciiTheme="minorHAnsi" w:hAnsiTheme="minorHAnsi" w:cstheme="minorHAnsi"/>
          <w:szCs w:val="24"/>
        </w:rPr>
        <w:t xml:space="preserve"> в Закона за публичните финанси (ЗПФ)</w:t>
      </w:r>
      <w:r w:rsidR="009D5B59">
        <w:rPr>
          <w:rFonts w:asciiTheme="minorHAnsi" w:hAnsiTheme="minorHAnsi" w:cstheme="minorHAnsi"/>
          <w:szCs w:val="24"/>
          <w:lang w:val="en-US"/>
        </w:rPr>
        <w:t xml:space="preserve"> </w:t>
      </w:r>
      <w:r w:rsidRPr="00493DA8">
        <w:rPr>
          <w:rFonts w:asciiTheme="minorHAnsi" w:hAnsiTheme="minorHAnsi" w:cstheme="minorHAnsi"/>
          <w:szCs w:val="24"/>
        </w:rPr>
        <w:t>и произтичащи от изискванията на Директива 2011/85/ЕС на Съвета от 8 ноември 2011</w:t>
      </w:r>
      <w:r w:rsidR="00DF07FD">
        <w:rPr>
          <w:rFonts w:asciiTheme="minorHAnsi" w:hAnsiTheme="minorHAnsi" w:cstheme="minorHAnsi"/>
          <w:szCs w:val="24"/>
        </w:rPr>
        <w:t> г.</w:t>
      </w:r>
      <w:r w:rsidRPr="00493DA8">
        <w:rPr>
          <w:rFonts w:asciiTheme="minorHAnsi" w:hAnsiTheme="minorHAnsi" w:cstheme="minorHAnsi"/>
          <w:szCs w:val="24"/>
        </w:rPr>
        <w:t xml:space="preserve"> относно изискванията за бюджетните рамки на държавите членки (ОВ, L, 306/41 от 23 ноември 2011</w:t>
      </w:r>
      <w:r w:rsidR="00DF07FD">
        <w:rPr>
          <w:rFonts w:asciiTheme="minorHAnsi" w:hAnsiTheme="minorHAnsi" w:cstheme="minorHAnsi"/>
          <w:szCs w:val="24"/>
        </w:rPr>
        <w:t> г.</w:t>
      </w:r>
      <w:r w:rsidRPr="00493DA8">
        <w:rPr>
          <w:rFonts w:asciiTheme="minorHAnsi" w:hAnsiTheme="minorHAnsi" w:cstheme="minorHAnsi"/>
          <w:szCs w:val="24"/>
        </w:rPr>
        <w:t>) и Регламент (ЕО) № 1466/1997 на Съвета от 7 юли 1997</w:t>
      </w:r>
      <w:r w:rsidR="00DF07FD">
        <w:rPr>
          <w:rFonts w:asciiTheme="minorHAnsi" w:hAnsiTheme="minorHAnsi" w:cstheme="minorHAnsi"/>
          <w:szCs w:val="24"/>
        </w:rPr>
        <w:t> г.</w:t>
      </w:r>
      <w:r w:rsidRPr="00493DA8">
        <w:rPr>
          <w:rFonts w:asciiTheme="minorHAnsi" w:hAnsiTheme="minorHAnsi" w:cstheme="minorHAnsi"/>
          <w:szCs w:val="24"/>
        </w:rPr>
        <w:t xml:space="preserve"> за засилване на надзора върху състоянието на бюджета и на надзора и координацията на икономическите политики. </w:t>
      </w:r>
    </w:p>
    <w:p w14:paraId="25C489BA" w14:textId="52CC6E11" w:rsidR="000C6374" w:rsidRPr="00493DA8" w:rsidRDefault="000C6374" w:rsidP="00493DA8">
      <w:pPr>
        <w:rPr>
          <w:rFonts w:asciiTheme="minorHAnsi" w:hAnsiTheme="minorHAnsi" w:cstheme="minorHAnsi"/>
          <w:szCs w:val="24"/>
        </w:rPr>
      </w:pPr>
      <w:r w:rsidRPr="00493DA8">
        <w:rPr>
          <w:rFonts w:asciiTheme="minorHAnsi" w:hAnsiTheme="minorHAnsi" w:cstheme="minorHAnsi"/>
          <w:szCs w:val="24"/>
        </w:rPr>
        <w:t>Предвиденото през последните години разхлабване на фискалната политика, наложено от икономически, здравни, социални и външни предизвикателства, се очаква да продължи и през настоящата година, а в прогнозния средносрочен период са заложени стъпки за фискална консолидация, като дефицитът</w:t>
      </w:r>
      <w:r w:rsidR="007803EC" w:rsidRPr="00493DA8">
        <w:rPr>
          <w:rFonts w:asciiTheme="minorHAnsi" w:hAnsiTheme="minorHAnsi" w:cstheme="minorHAnsi"/>
          <w:szCs w:val="24"/>
        </w:rPr>
        <w:t xml:space="preserve"> на сектор „Държавно управление“</w:t>
      </w:r>
      <w:r w:rsidRPr="00493DA8">
        <w:rPr>
          <w:rFonts w:asciiTheme="minorHAnsi" w:hAnsiTheme="minorHAnsi" w:cstheme="minorHAnsi"/>
          <w:szCs w:val="24"/>
        </w:rPr>
        <w:t xml:space="preserve"> от </w:t>
      </w:r>
      <w:r w:rsidR="0017786B" w:rsidRPr="00493DA8">
        <w:rPr>
          <w:rFonts w:asciiTheme="minorHAnsi" w:hAnsiTheme="minorHAnsi" w:cstheme="minorHAnsi"/>
          <w:szCs w:val="24"/>
        </w:rPr>
        <w:t>2.9</w:t>
      </w:r>
      <w:r w:rsidRPr="00493DA8">
        <w:rPr>
          <w:rFonts w:asciiTheme="minorHAnsi" w:hAnsiTheme="minorHAnsi" w:cstheme="minorHAnsi"/>
          <w:szCs w:val="24"/>
        </w:rPr>
        <w:t>% от БВП за 2023</w:t>
      </w:r>
      <w:r w:rsidR="00DF07FD">
        <w:rPr>
          <w:rFonts w:asciiTheme="minorHAnsi" w:hAnsiTheme="minorHAnsi" w:cstheme="minorHAnsi"/>
          <w:szCs w:val="24"/>
        </w:rPr>
        <w:t> г.</w:t>
      </w:r>
      <w:r w:rsidRPr="00493DA8">
        <w:rPr>
          <w:rFonts w:asciiTheme="minorHAnsi" w:hAnsiTheme="minorHAnsi" w:cstheme="minorHAnsi"/>
          <w:szCs w:val="24"/>
        </w:rPr>
        <w:t xml:space="preserve"> ще достигне до 2</w:t>
      </w:r>
      <w:r w:rsidR="00B80F86" w:rsidRPr="00493DA8">
        <w:rPr>
          <w:rFonts w:asciiTheme="minorHAnsi" w:hAnsiTheme="minorHAnsi" w:cstheme="minorHAnsi"/>
          <w:szCs w:val="24"/>
        </w:rPr>
        <w:t>.</w:t>
      </w:r>
      <w:r w:rsidR="0017786B" w:rsidRPr="00493DA8">
        <w:rPr>
          <w:rFonts w:asciiTheme="minorHAnsi" w:hAnsiTheme="minorHAnsi" w:cstheme="minorHAnsi"/>
          <w:szCs w:val="24"/>
        </w:rPr>
        <w:t>4</w:t>
      </w:r>
      <w:r w:rsidRPr="00493DA8">
        <w:rPr>
          <w:rFonts w:asciiTheme="minorHAnsi" w:hAnsiTheme="minorHAnsi" w:cstheme="minorHAnsi"/>
          <w:szCs w:val="24"/>
        </w:rPr>
        <w:t>% от БВП за 2025</w:t>
      </w:r>
      <w:r w:rsidR="00DF07FD">
        <w:rPr>
          <w:rFonts w:asciiTheme="minorHAnsi" w:hAnsiTheme="minorHAnsi" w:cstheme="minorHAnsi"/>
          <w:szCs w:val="24"/>
        </w:rPr>
        <w:t> г.</w:t>
      </w:r>
      <w:r w:rsidRPr="00493DA8">
        <w:rPr>
          <w:rFonts w:asciiTheme="minorHAnsi" w:hAnsiTheme="minorHAnsi" w:cstheme="minorHAnsi"/>
          <w:szCs w:val="24"/>
        </w:rPr>
        <w:t xml:space="preserve"> </w:t>
      </w:r>
    </w:p>
    <w:p w14:paraId="53C287B5" w14:textId="539BD0AE" w:rsidR="00E63FF4" w:rsidRPr="00493DA8" w:rsidRDefault="00E63FF4" w:rsidP="00493DA8">
      <w:pPr>
        <w:rPr>
          <w:rFonts w:asciiTheme="majorBidi" w:hAnsiTheme="majorBidi" w:cstheme="majorBidi"/>
          <w:szCs w:val="24"/>
        </w:rPr>
      </w:pPr>
      <w:r w:rsidRPr="00493DA8">
        <w:rPr>
          <w:rFonts w:asciiTheme="majorBidi" w:hAnsiTheme="majorBidi" w:cstheme="majorBidi"/>
          <w:szCs w:val="24"/>
        </w:rPr>
        <w:t>През периода 2022</w:t>
      </w:r>
      <w:r w:rsidR="004B1BC4">
        <w:rPr>
          <w:rFonts w:asciiTheme="majorBidi" w:hAnsiTheme="majorBidi" w:cstheme="majorBidi"/>
          <w:szCs w:val="24"/>
          <w:lang w:val="en-US"/>
        </w:rPr>
        <w:t>–</w:t>
      </w:r>
      <w:r w:rsidRPr="00493DA8">
        <w:rPr>
          <w:rFonts w:asciiTheme="majorBidi" w:hAnsiTheme="majorBidi" w:cstheme="majorBidi"/>
          <w:szCs w:val="24"/>
        </w:rPr>
        <w:t>2025</w:t>
      </w:r>
      <w:r w:rsidR="00DF07FD">
        <w:rPr>
          <w:rFonts w:asciiTheme="majorBidi" w:hAnsiTheme="majorBidi" w:cstheme="majorBidi"/>
          <w:szCs w:val="24"/>
        </w:rPr>
        <w:t> г.</w:t>
      </w:r>
      <w:r w:rsidRPr="00493DA8">
        <w:rPr>
          <w:rFonts w:asciiTheme="majorBidi" w:hAnsiTheme="majorBidi" w:cstheme="majorBidi"/>
          <w:szCs w:val="24"/>
        </w:rPr>
        <w:t xml:space="preserve"> прогнозите за динамиката на дълговия индикатор се определят от запазващия се значителен принос на дълга на подсектор „Централно управление“ </w:t>
      </w:r>
      <w:r w:rsidR="00B80F86" w:rsidRPr="00493DA8">
        <w:rPr>
          <w:rFonts w:asciiTheme="majorBidi" w:hAnsiTheme="majorBidi" w:cstheme="majorBidi"/>
          <w:szCs w:val="24"/>
        </w:rPr>
        <w:t>(с дял от 98</w:t>
      </w:r>
      <w:r w:rsidRPr="00493DA8">
        <w:rPr>
          <w:rFonts w:asciiTheme="majorBidi" w:hAnsiTheme="majorBidi" w:cstheme="majorBidi"/>
          <w:szCs w:val="24"/>
        </w:rPr>
        <w:t>% в края на 2021</w:t>
      </w:r>
      <w:r w:rsidR="00DF07FD">
        <w:rPr>
          <w:rFonts w:asciiTheme="majorBidi" w:hAnsiTheme="majorBidi" w:cstheme="majorBidi"/>
          <w:szCs w:val="24"/>
        </w:rPr>
        <w:t> г.</w:t>
      </w:r>
      <w:r w:rsidRPr="00493DA8">
        <w:rPr>
          <w:rFonts w:asciiTheme="majorBidi" w:hAnsiTheme="majorBidi" w:cstheme="majorBidi"/>
          <w:szCs w:val="24"/>
        </w:rPr>
        <w:t xml:space="preserve">), респ. на държавния дълг, върху дълга на сектор "Държавно управление". На тази основа, политиката по управление на държавния дълг продължава да бъде определяща за текущото състояние и динамиката за развитие на консолидираните задължения. </w:t>
      </w:r>
    </w:p>
    <w:p w14:paraId="68DD1453" w14:textId="77777777" w:rsidR="00E63FF4" w:rsidRPr="00493DA8" w:rsidRDefault="00E63FF4" w:rsidP="00493DA8">
      <w:pPr>
        <w:rPr>
          <w:rFonts w:asciiTheme="majorBidi" w:hAnsiTheme="majorBidi" w:cstheme="majorBidi"/>
          <w:szCs w:val="24"/>
        </w:rPr>
      </w:pPr>
      <w:r w:rsidRPr="00493DA8">
        <w:rPr>
          <w:rFonts w:asciiTheme="majorBidi" w:hAnsiTheme="majorBidi" w:cstheme="majorBidi"/>
          <w:szCs w:val="24"/>
        </w:rPr>
        <w:t>Управлението на държавния дълг</w:t>
      </w:r>
      <w:r w:rsidRPr="00493DA8">
        <w:rPr>
          <w:rFonts w:asciiTheme="majorBidi" w:hAnsiTheme="majorBidi" w:cstheme="majorBidi"/>
          <w:szCs w:val="24"/>
          <w:vertAlign w:val="superscript"/>
        </w:rPr>
        <w:t xml:space="preserve"> </w:t>
      </w:r>
      <w:r w:rsidRPr="00493DA8">
        <w:rPr>
          <w:rFonts w:asciiTheme="majorBidi" w:hAnsiTheme="majorBidi" w:cstheme="majorBidi"/>
          <w:szCs w:val="24"/>
        </w:rPr>
        <w:t>за разглеждания периода ще бъде насочено към изпълнение на стратегическата цел за осигуряване необходимите ресурси за рефинансиране на дълга в обращение, финансиране на планираните нива на дефицит по държавния бюджет</w:t>
      </w:r>
      <w:r w:rsidRPr="00493DA8">
        <w:rPr>
          <w:rFonts w:asciiTheme="majorBidi" w:hAnsiTheme="majorBidi" w:cstheme="majorBidi"/>
          <w:szCs w:val="24"/>
          <w:lang w:val="en-US"/>
        </w:rPr>
        <w:t xml:space="preserve"> </w:t>
      </w:r>
      <w:r w:rsidRPr="00493DA8">
        <w:rPr>
          <w:rFonts w:asciiTheme="majorBidi" w:hAnsiTheme="majorBidi" w:cstheme="majorBidi"/>
          <w:szCs w:val="24"/>
        </w:rPr>
        <w:t xml:space="preserve">и обезпечаване на законово регламентираните нива на фискалния резерв. Отчитайки рисковете от динамичната макроикономическата среда, вследствие от продължаващото разпространение на </w:t>
      </w:r>
      <w:r w:rsidRPr="00493DA8">
        <w:rPr>
          <w:rFonts w:asciiTheme="majorBidi" w:hAnsiTheme="majorBidi" w:cstheme="majorBidi"/>
          <w:szCs w:val="24"/>
          <w:lang w:val="en-US"/>
        </w:rPr>
        <w:t xml:space="preserve">COVID-19 </w:t>
      </w:r>
      <w:r w:rsidRPr="00493DA8">
        <w:rPr>
          <w:rFonts w:asciiTheme="majorBidi" w:hAnsiTheme="majorBidi" w:cstheme="majorBidi"/>
          <w:szCs w:val="24"/>
        </w:rPr>
        <w:t xml:space="preserve">и конфликта в Украйна, усилията ще бъдат съсредоточени в посока обезпечаване пазарно ориентирано финансиране чрез провеждане на гъвкава и активна емисионна политика и диверсификация на вътрешните и външните дългови източници, при спазване на законово регламентираните дългови ограничения. </w:t>
      </w:r>
    </w:p>
    <w:p w14:paraId="0461B1BC" w14:textId="72A70653" w:rsidR="00E63FF4" w:rsidRPr="00493DA8" w:rsidRDefault="00E63FF4" w:rsidP="004018C2">
      <w:r w:rsidRPr="00493DA8">
        <w:t>В средносрочен план, за реализирането на дълговото финансиране на държавния бюджет се планира да бъдат използвани основно емисии на</w:t>
      </w:r>
      <w:r w:rsidR="009D5B59">
        <w:rPr>
          <w:rFonts w:asciiTheme="majorBidi" w:hAnsiTheme="majorBidi" w:cstheme="majorBidi"/>
          <w:szCs w:val="24"/>
        </w:rPr>
        <w:t xml:space="preserve"> държавни ценни книжа</w:t>
      </w:r>
      <w:r w:rsidRPr="00493DA8">
        <w:t xml:space="preserve"> </w:t>
      </w:r>
      <w:r w:rsidR="009D5B59">
        <w:rPr>
          <w:lang w:val="en-US"/>
        </w:rPr>
        <w:t>(</w:t>
      </w:r>
      <w:r w:rsidRPr="00493DA8">
        <w:t>ДЦК</w:t>
      </w:r>
      <w:r w:rsidR="009D5B59">
        <w:rPr>
          <w:lang w:val="en-US"/>
        </w:rPr>
        <w:t>)</w:t>
      </w:r>
      <w:r w:rsidRPr="00493DA8">
        <w:t xml:space="preserve">, както на местния дългов пазар, така и на международните пазари. Определянето на структурата на новопоетия дълг се предвижда да бъде съобразено с преобладаващите пазарни тенденции, инвеститорската база и профила на дълга в обращение, възможностите за намаляване на риска за рефинансиране на държавния дълг и минимизиране на ликвидните рискове за държавния бюджет. </w:t>
      </w:r>
    </w:p>
    <w:p w14:paraId="210A1356" w14:textId="412E5A69" w:rsidR="00A57F2C" w:rsidRPr="00493DA8" w:rsidRDefault="00E63FF4" w:rsidP="00493DA8">
      <w:pPr>
        <w:rPr>
          <w:rFonts w:asciiTheme="minorHAnsi" w:hAnsiTheme="minorHAnsi" w:cstheme="minorHAnsi"/>
          <w:szCs w:val="24"/>
        </w:rPr>
      </w:pPr>
      <w:r w:rsidRPr="00493DA8">
        <w:rPr>
          <w:rFonts w:asciiTheme="majorBidi" w:hAnsiTheme="majorBidi" w:cstheme="majorBidi"/>
          <w:szCs w:val="24"/>
        </w:rPr>
        <w:lastRenderedPageBreak/>
        <w:t>В допълнение, към пазарно-ориентираното финансиране на държавния бюджет се предвижда законодателно да бъде обезпечена и възможност за поемането на нов външен държавен дълг чрез заеми по линия на финансови инструменти от ЕС и/или от международни финансови институции. По отношение на финансирането на нови инвестиционни проекти и специфични програми с държавни и държавногарантирани заеми, възприетият консервативен подход ще продължи да се прилага.</w:t>
      </w:r>
      <w:r w:rsidR="00CB7812" w:rsidRPr="00493DA8">
        <w:rPr>
          <w:rFonts w:asciiTheme="minorHAnsi" w:hAnsiTheme="minorHAnsi" w:cstheme="minorHAnsi"/>
          <w:szCs w:val="24"/>
        </w:rPr>
        <w:t xml:space="preserve"> </w:t>
      </w:r>
    </w:p>
    <w:p w14:paraId="1A949399" w14:textId="77777777" w:rsidR="002A3EEE" w:rsidRPr="004018C2" w:rsidRDefault="00D359FF" w:rsidP="004018C2">
      <w:pPr>
        <w:pStyle w:val="Heading2"/>
      </w:pPr>
      <w:bookmarkStart w:id="63" w:name="_Toc352851594"/>
      <w:bookmarkStart w:id="64" w:name="_Toc448227272"/>
      <w:bookmarkStart w:id="65" w:name="_Toc479332420"/>
      <w:bookmarkStart w:id="66" w:name="_Toc100906069"/>
      <w:r w:rsidRPr="004018C2">
        <w:t>Средносрочни цели</w:t>
      </w:r>
      <w:bookmarkEnd w:id="63"/>
      <w:bookmarkEnd w:id="64"/>
      <w:bookmarkEnd w:id="65"/>
      <w:bookmarkEnd w:id="66"/>
    </w:p>
    <w:p w14:paraId="2039E236" w14:textId="34041154" w:rsidR="00063F12" w:rsidRPr="00682446" w:rsidRDefault="00063F12" w:rsidP="00063F12">
      <w:pPr>
        <w:rPr>
          <w:rFonts w:cstheme="minorHAnsi"/>
        </w:rPr>
      </w:pPr>
      <w:bookmarkStart w:id="67" w:name="_Toc352851595"/>
      <w:bookmarkStart w:id="68" w:name="_Toc448227273"/>
      <w:bookmarkStart w:id="69" w:name="_Toc479332421"/>
      <w:r w:rsidRPr="00682446">
        <w:rPr>
          <w:rFonts w:cstheme="minorHAnsi"/>
        </w:rPr>
        <w:t>Фискалната политика в средносрочния период е насочена към запазване устойчивостта и предвидимостта на бюджетната рамка. За този период се очаква консолидация на дефицита на сектор „Държавно управление“, като отрицателното бюджетно салдо за 2022</w:t>
      </w:r>
      <w:r w:rsidR="00DF07FD">
        <w:rPr>
          <w:rFonts w:cstheme="minorHAnsi"/>
        </w:rPr>
        <w:t> г.</w:t>
      </w:r>
      <w:r w:rsidRPr="00682446">
        <w:rPr>
          <w:rFonts w:cstheme="minorHAnsi"/>
        </w:rPr>
        <w:t xml:space="preserve"> постепенно намалява за периода 2023-2025</w:t>
      </w:r>
      <w:r w:rsidR="00DF07FD">
        <w:rPr>
          <w:rFonts w:cstheme="minorHAnsi"/>
        </w:rPr>
        <w:t> г.</w:t>
      </w:r>
      <w:r w:rsidRPr="00682446">
        <w:rPr>
          <w:rFonts w:cstheme="minorHAnsi"/>
        </w:rPr>
        <w:t xml:space="preserve"> През 2022</w:t>
      </w:r>
      <w:r w:rsidR="00DF07FD">
        <w:rPr>
          <w:rFonts w:cstheme="minorHAnsi"/>
        </w:rPr>
        <w:t> г.</w:t>
      </w:r>
      <w:r w:rsidRPr="00682446">
        <w:rPr>
          <w:rFonts w:cstheme="minorHAnsi"/>
        </w:rPr>
        <w:t xml:space="preserve"> се очаква бюджетното салдо да бъде отрицателно в размер на 5</w:t>
      </w:r>
      <w:r>
        <w:rPr>
          <w:rFonts w:cstheme="minorHAnsi"/>
        </w:rPr>
        <w:t>.</w:t>
      </w:r>
      <w:r w:rsidRPr="00682446">
        <w:rPr>
          <w:rFonts w:cstheme="minorHAnsi"/>
        </w:rPr>
        <w:t>3% от БВП, а прогнозата за следващите години е за дефицит на сектора в размер съответно на 2</w:t>
      </w:r>
      <w:r>
        <w:rPr>
          <w:rFonts w:cstheme="minorHAnsi"/>
        </w:rPr>
        <w:t>.</w:t>
      </w:r>
      <w:r w:rsidRPr="00682446">
        <w:rPr>
          <w:rFonts w:cstheme="minorHAnsi"/>
        </w:rPr>
        <w:t>9% от БВП за 2023</w:t>
      </w:r>
      <w:r w:rsidR="00DF07FD">
        <w:rPr>
          <w:rFonts w:cstheme="minorHAnsi"/>
        </w:rPr>
        <w:t> г.</w:t>
      </w:r>
      <w:r w:rsidRPr="00682446">
        <w:rPr>
          <w:rFonts w:cstheme="minorHAnsi"/>
        </w:rPr>
        <w:t>; 2</w:t>
      </w:r>
      <w:r>
        <w:rPr>
          <w:rFonts w:cstheme="minorHAnsi"/>
        </w:rPr>
        <w:t>.</w:t>
      </w:r>
      <w:r w:rsidRPr="00682446">
        <w:rPr>
          <w:rFonts w:cstheme="minorHAnsi"/>
        </w:rPr>
        <w:t>8%</w:t>
      </w:r>
      <w:r w:rsidRPr="008918CE">
        <w:rPr>
          <w:rFonts w:cstheme="minorHAnsi"/>
        </w:rPr>
        <w:t xml:space="preserve"> </w:t>
      </w:r>
      <w:r w:rsidRPr="00682446">
        <w:rPr>
          <w:rFonts w:cstheme="minorHAnsi"/>
        </w:rPr>
        <w:t>от БВП за 2024</w:t>
      </w:r>
      <w:r w:rsidR="00DF07FD">
        <w:rPr>
          <w:rFonts w:cstheme="minorHAnsi"/>
        </w:rPr>
        <w:t> г.</w:t>
      </w:r>
      <w:r w:rsidRPr="00682446">
        <w:rPr>
          <w:rFonts w:cstheme="minorHAnsi"/>
        </w:rPr>
        <w:t xml:space="preserve"> и 2</w:t>
      </w:r>
      <w:r>
        <w:rPr>
          <w:rFonts w:cstheme="minorHAnsi"/>
        </w:rPr>
        <w:t>.</w:t>
      </w:r>
      <w:r w:rsidRPr="00682446">
        <w:rPr>
          <w:rFonts w:cstheme="minorHAnsi"/>
        </w:rPr>
        <w:t>4% от БВП за 2025</w:t>
      </w:r>
      <w:r w:rsidR="00DF07FD">
        <w:rPr>
          <w:rFonts w:cstheme="minorHAnsi"/>
        </w:rPr>
        <w:t> г.</w:t>
      </w:r>
      <w:r w:rsidRPr="00682446">
        <w:rPr>
          <w:rFonts w:cstheme="minorHAnsi"/>
        </w:rPr>
        <w:t xml:space="preserve"> Ако се отчете въздействието на временните приходни и разходни мерки, свързани с предотвратяване разпространението на COVID-19 в страната и ограничаване последиците от кризата, дефицитът на сектор „Държавно управление“ за </w:t>
      </w:r>
      <w:r w:rsidR="0085549E" w:rsidRPr="002D76AF">
        <w:rPr>
          <w:rFonts w:cstheme="minorHAnsi"/>
        </w:rPr>
        <w:t xml:space="preserve">2022 </w:t>
      </w:r>
      <w:r w:rsidR="0085549E">
        <w:rPr>
          <w:rFonts w:cstheme="minorHAnsi"/>
        </w:rPr>
        <w:t>г. е в размер на 3.2%, а за</w:t>
      </w:r>
      <w:r w:rsidR="0085549E" w:rsidRPr="00682446">
        <w:rPr>
          <w:rFonts w:cstheme="minorHAnsi"/>
        </w:rPr>
        <w:t xml:space="preserve"> 2023 г. </w:t>
      </w:r>
      <w:r w:rsidRPr="00682446">
        <w:rPr>
          <w:rFonts w:cstheme="minorHAnsi"/>
        </w:rPr>
        <w:t>2</w:t>
      </w:r>
      <w:r>
        <w:rPr>
          <w:rFonts w:cstheme="minorHAnsi"/>
        </w:rPr>
        <w:t>.</w:t>
      </w:r>
      <w:r w:rsidRPr="00682446">
        <w:rPr>
          <w:rFonts w:cstheme="minorHAnsi"/>
        </w:rPr>
        <w:t xml:space="preserve">7% от БВП. </w:t>
      </w:r>
    </w:p>
    <w:p w14:paraId="5A745EBF" w14:textId="7247B2EC" w:rsidR="00063F12" w:rsidRDefault="00063F12" w:rsidP="00063F12">
      <w:pPr>
        <w:rPr>
          <w:rFonts w:cstheme="minorHAnsi"/>
        </w:rPr>
      </w:pPr>
      <w:r w:rsidRPr="00682446">
        <w:rPr>
          <w:rFonts w:cstheme="minorHAnsi"/>
        </w:rPr>
        <w:t xml:space="preserve">Част от дефицита на сектор „Държавно управление“, който се отчита на начислена основа, се дължи на времевото изместване при отчитането на разходите за доставки на военна техника, които са платени през предходни години на касова основа. Съгласно методологията </w:t>
      </w:r>
      <w:r w:rsidR="009D5B59">
        <w:rPr>
          <w:rFonts w:cstheme="minorHAnsi"/>
        </w:rPr>
        <w:t>европейска система от сметки 2010 (</w:t>
      </w:r>
      <w:r w:rsidRPr="00682446">
        <w:rPr>
          <w:rFonts w:cstheme="minorHAnsi"/>
        </w:rPr>
        <w:t>ЕСС 2010</w:t>
      </w:r>
      <w:r w:rsidR="009D5B59">
        <w:rPr>
          <w:rFonts w:cstheme="minorHAnsi"/>
          <w:lang w:val="en-US"/>
        </w:rPr>
        <w:t>)</w:t>
      </w:r>
      <w:r w:rsidRPr="00682446">
        <w:rPr>
          <w:rFonts w:cstheme="minorHAnsi"/>
        </w:rPr>
        <w:t>, държавните разходи за военно оборудване се отчитат през годината на доставката им. Поради това инвестиционните разходи за придобиване на нов тип боен самолет, направени през 2019 и 2020</w:t>
      </w:r>
      <w:r w:rsidR="00DF07FD">
        <w:rPr>
          <w:rFonts w:cstheme="minorHAnsi"/>
        </w:rPr>
        <w:t> г.</w:t>
      </w:r>
      <w:r w:rsidRPr="00682446">
        <w:rPr>
          <w:rFonts w:cstheme="minorHAnsi"/>
        </w:rPr>
        <w:t xml:space="preserve"> в размер на 2</w:t>
      </w:r>
      <w:r>
        <w:rPr>
          <w:rFonts w:cstheme="minorHAnsi"/>
        </w:rPr>
        <w:t> </w:t>
      </w:r>
      <w:r w:rsidRPr="00682446">
        <w:rPr>
          <w:rFonts w:cstheme="minorHAnsi"/>
        </w:rPr>
        <w:t>197</w:t>
      </w:r>
      <w:r>
        <w:rPr>
          <w:rFonts w:cstheme="minorHAnsi"/>
        </w:rPr>
        <w:t>.</w:t>
      </w:r>
      <w:r w:rsidRPr="00682446">
        <w:rPr>
          <w:rFonts w:cstheme="minorHAnsi"/>
        </w:rPr>
        <w:t>7 млн. лв., оказват влияние на разчетите за разходите в периода 2023</w:t>
      </w:r>
      <w:r w:rsidR="008010F6">
        <w:rPr>
          <w:rFonts w:cstheme="minorHAnsi"/>
          <w:lang w:val="en-US"/>
        </w:rPr>
        <w:t>–</w:t>
      </w:r>
      <w:r w:rsidRPr="00682446">
        <w:rPr>
          <w:rFonts w:cstheme="minorHAnsi"/>
        </w:rPr>
        <w:t>2025</w:t>
      </w:r>
      <w:r w:rsidR="00DF07FD">
        <w:rPr>
          <w:rFonts w:cstheme="minorHAnsi"/>
        </w:rPr>
        <w:t> г.</w:t>
      </w:r>
      <w:r w:rsidRPr="00682446">
        <w:rPr>
          <w:rFonts w:cstheme="minorHAnsi"/>
        </w:rPr>
        <w:t>, като заедно с изместеното отчитане и на други разходи за доставка на военна техника влошават дефицита съответно с 0</w:t>
      </w:r>
      <w:r>
        <w:rPr>
          <w:rFonts w:cstheme="minorHAnsi"/>
        </w:rPr>
        <w:t>.</w:t>
      </w:r>
      <w:r w:rsidRPr="00682446">
        <w:rPr>
          <w:rFonts w:cstheme="minorHAnsi"/>
        </w:rPr>
        <w:t>2% от БВП през 202</w:t>
      </w:r>
      <w:r>
        <w:rPr>
          <w:rFonts w:cstheme="minorHAnsi"/>
        </w:rPr>
        <w:t>3</w:t>
      </w:r>
      <w:r w:rsidR="00DF07FD">
        <w:rPr>
          <w:rFonts w:cstheme="minorHAnsi"/>
        </w:rPr>
        <w:t> г.</w:t>
      </w:r>
      <w:r>
        <w:rPr>
          <w:rFonts w:cstheme="minorHAnsi"/>
        </w:rPr>
        <w:t>,</w:t>
      </w:r>
      <w:r w:rsidRPr="00682446">
        <w:rPr>
          <w:rFonts w:cstheme="minorHAnsi"/>
        </w:rPr>
        <w:t xml:space="preserve"> 0</w:t>
      </w:r>
      <w:r>
        <w:rPr>
          <w:rFonts w:cstheme="minorHAnsi"/>
        </w:rPr>
        <w:t>.</w:t>
      </w:r>
      <w:r w:rsidRPr="00682446">
        <w:rPr>
          <w:rFonts w:cstheme="minorHAnsi"/>
        </w:rPr>
        <w:t>44% от БВП през 2024</w:t>
      </w:r>
      <w:r w:rsidR="00DF07FD">
        <w:rPr>
          <w:rFonts w:cstheme="minorHAnsi"/>
        </w:rPr>
        <w:t> г.</w:t>
      </w:r>
      <w:r w:rsidRPr="00682446">
        <w:rPr>
          <w:rFonts w:cstheme="minorHAnsi"/>
        </w:rPr>
        <w:t xml:space="preserve"> и 0</w:t>
      </w:r>
      <w:r>
        <w:rPr>
          <w:rFonts w:cstheme="minorHAnsi"/>
        </w:rPr>
        <w:t>.</w:t>
      </w:r>
      <w:r w:rsidRPr="00682446">
        <w:rPr>
          <w:rFonts w:cstheme="minorHAnsi"/>
        </w:rPr>
        <w:t>87% от БВП през 2025</w:t>
      </w:r>
      <w:r w:rsidR="00DF07FD">
        <w:rPr>
          <w:rFonts w:cstheme="minorHAnsi"/>
        </w:rPr>
        <w:t> г.</w:t>
      </w:r>
      <w:r w:rsidRPr="00682446">
        <w:rPr>
          <w:rFonts w:cstheme="minorHAnsi"/>
        </w:rPr>
        <w:t xml:space="preserve"> Това влияние е временно и не води до трайно (структурно) влошаване на бюджетната позиция и до нарушаването на фискалната устойчивост в дългосрочен план.</w:t>
      </w:r>
    </w:p>
    <w:p w14:paraId="682F3B56" w14:textId="69EA4B53" w:rsidR="00063F12" w:rsidRPr="00682446" w:rsidRDefault="00063F12" w:rsidP="00063F12">
      <w:pPr>
        <w:rPr>
          <w:rFonts w:cstheme="minorHAnsi"/>
        </w:rPr>
      </w:pPr>
      <w:r w:rsidRPr="00682446">
        <w:rPr>
          <w:rFonts w:cstheme="minorHAnsi"/>
        </w:rPr>
        <w:t>С основен принос за намалението на бюджетния дефицит в средносрочен план са разходите, които се очаква да намалеят с 4</w:t>
      </w:r>
      <w:r>
        <w:rPr>
          <w:rFonts w:cstheme="minorHAnsi"/>
        </w:rPr>
        <w:t>.</w:t>
      </w:r>
      <w:r w:rsidRPr="00682446">
        <w:rPr>
          <w:rFonts w:cstheme="minorHAnsi"/>
        </w:rPr>
        <w:t>7 пр.п. през 2025</w:t>
      </w:r>
      <w:r w:rsidR="00DF07FD">
        <w:rPr>
          <w:rFonts w:cstheme="minorHAnsi"/>
        </w:rPr>
        <w:t> г.</w:t>
      </w:r>
      <w:r w:rsidRPr="00682446">
        <w:rPr>
          <w:rFonts w:cstheme="minorHAnsi"/>
        </w:rPr>
        <w:t xml:space="preserve"> спрямо нивото им от 2022</w:t>
      </w:r>
      <w:r w:rsidR="00DF07FD">
        <w:rPr>
          <w:rFonts w:cstheme="minorHAnsi"/>
        </w:rPr>
        <w:t> г.</w:t>
      </w:r>
      <w:r w:rsidRPr="00682446">
        <w:rPr>
          <w:rFonts w:cstheme="minorHAnsi"/>
        </w:rPr>
        <w:t xml:space="preserve"> (достигайки 38</w:t>
      </w:r>
      <w:r>
        <w:rPr>
          <w:rFonts w:cstheme="minorHAnsi"/>
        </w:rPr>
        <w:t>.</w:t>
      </w:r>
      <w:r w:rsidRPr="00682446">
        <w:rPr>
          <w:rFonts w:cstheme="minorHAnsi"/>
        </w:rPr>
        <w:t>6% от БВП). В приходната част съотношението на общите приходи спрямо БВП спада до 36</w:t>
      </w:r>
      <w:r>
        <w:rPr>
          <w:rFonts w:cstheme="minorHAnsi"/>
        </w:rPr>
        <w:t>.</w:t>
      </w:r>
      <w:r w:rsidRPr="00682446">
        <w:rPr>
          <w:rFonts w:cstheme="minorHAnsi"/>
        </w:rPr>
        <w:t>2% от БВП през 2025</w:t>
      </w:r>
      <w:r w:rsidR="00DF07FD">
        <w:rPr>
          <w:rFonts w:cstheme="minorHAnsi"/>
        </w:rPr>
        <w:t> г.</w:t>
      </w:r>
      <w:r w:rsidRPr="00682446">
        <w:rPr>
          <w:rFonts w:cstheme="minorHAnsi"/>
        </w:rPr>
        <w:t xml:space="preserve">, спрямо 38% към началото на периода, поради изпреварващо нарастване на БВП. </w:t>
      </w:r>
    </w:p>
    <w:p w14:paraId="77043315" w14:textId="028C8196" w:rsidR="00063F12" w:rsidRPr="00682446" w:rsidRDefault="00063F12" w:rsidP="004018C2">
      <w:r w:rsidRPr="00682446">
        <w:t>През периода 2023</w:t>
      </w:r>
      <w:r w:rsidR="008010F6">
        <w:rPr>
          <w:rFonts w:cstheme="minorHAnsi"/>
          <w:lang w:val="en-US"/>
        </w:rPr>
        <w:t>–</w:t>
      </w:r>
      <w:r w:rsidRPr="00682446">
        <w:t>2025</w:t>
      </w:r>
      <w:r w:rsidR="00DF07FD">
        <w:t> г.</w:t>
      </w:r>
      <w:r w:rsidRPr="00682446">
        <w:t xml:space="preserve"> се очаква номинално нарастване на всички приходи, което се дължи на увеличение на постъпленията по основните елементи, като при данъчно-осигурителните приходи най-голямо нарастване има при преките данъци и при социално-осигурителните вноски, което е резултат от нарастването на доходите на домакинствата, на възможността за избор на осигуряване и увеличението на осигурителния стаж и възрастта при пенсиониране. При неданъчните приходи по-значително нарастване се наблюдава при получените капиталови трансфери, поради нарастването на приходите от ЕС по Плана за възстановяване и устойчивост.</w:t>
      </w:r>
    </w:p>
    <w:p w14:paraId="7728B73E" w14:textId="3CC50C57" w:rsidR="00063F12" w:rsidRPr="00682446" w:rsidRDefault="00063F12" w:rsidP="00063F12">
      <w:pPr>
        <w:rPr>
          <w:rFonts w:cstheme="minorHAnsi"/>
        </w:rPr>
      </w:pPr>
      <w:r w:rsidRPr="00682446">
        <w:rPr>
          <w:rFonts w:cstheme="minorHAnsi"/>
        </w:rPr>
        <w:t>Най-голям принос за нарастването на общите разходи на сектор „Държавно управление“ имат капиталовите разходи за брутообразуване на основен капитал и социалните трансфери различни от тези в натура, които обхващат разходите за пенсии, както и помощите и обезщетенията по социалното осигуряване. Капиталовите разходи за брутообразуване на основен капитал нарастват значително като дял от БВП от 4</w:t>
      </w:r>
      <w:r>
        <w:rPr>
          <w:rFonts w:cstheme="minorHAnsi"/>
        </w:rPr>
        <w:t>.</w:t>
      </w:r>
      <w:r w:rsidRPr="00682446">
        <w:rPr>
          <w:rFonts w:cstheme="minorHAnsi"/>
        </w:rPr>
        <w:t>8% през 2022</w:t>
      </w:r>
      <w:r w:rsidR="00DF07FD">
        <w:rPr>
          <w:rFonts w:cstheme="minorHAnsi"/>
        </w:rPr>
        <w:t> г.</w:t>
      </w:r>
      <w:r w:rsidRPr="00682446">
        <w:rPr>
          <w:rFonts w:cstheme="minorHAnsi"/>
        </w:rPr>
        <w:t xml:space="preserve"> до 5</w:t>
      </w:r>
      <w:r>
        <w:rPr>
          <w:rFonts w:cstheme="minorHAnsi"/>
        </w:rPr>
        <w:t>.</w:t>
      </w:r>
      <w:r w:rsidRPr="00682446">
        <w:rPr>
          <w:rFonts w:cstheme="minorHAnsi"/>
        </w:rPr>
        <w:t>4% през 2023</w:t>
      </w:r>
      <w:r w:rsidR="00DF07FD">
        <w:rPr>
          <w:rFonts w:cstheme="minorHAnsi"/>
        </w:rPr>
        <w:t> г.</w:t>
      </w:r>
      <w:r w:rsidRPr="00682446">
        <w:rPr>
          <w:rFonts w:cstheme="minorHAnsi"/>
        </w:rPr>
        <w:t xml:space="preserve"> и остават на ниво от 5</w:t>
      </w:r>
      <w:r>
        <w:rPr>
          <w:rFonts w:cstheme="minorHAnsi"/>
        </w:rPr>
        <w:t>.</w:t>
      </w:r>
      <w:r w:rsidRPr="00682446">
        <w:rPr>
          <w:rFonts w:cstheme="minorHAnsi"/>
        </w:rPr>
        <w:t>3% от БВП съответно за 2024</w:t>
      </w:r>
      <w:r w:rsidR="00DF07FD">
        <w:rPr>
          <w:rFonts w:cstheme="minorHAnsi"/>
        </w:rPr>
        <w:t> г.</w:t>
      </w:r>
      <w:r w:rsidRPr="00682446">
        <w:rPr>
          <w:rFonts w:cstheme="minorHAnsi"/>
        </w:rPr>
        <w:t xml:space="preserve"> и 2025</w:t>
      </w:r>
      <w:r w:rsidR="00DF07FD">
        <w:rPr>
          <w:rFonts w:cstheme="minorHAnsi"/>
        </w:rPr>
        <w:t> г.</w:t>
      </w:r>
      <w:r w:rsidRPr="00682446">
        <w:rPr>
          <w:rFonts w:cstheme="minorHAnsi"/>
        </w:rPr>
        <w:t xml:space="preserve"> Изменението </w:t>
      </w:r>
      <w:r w:rsidRPr="00682446">
        <w:rPr>
          <w:rFonts w:cstheme="minorHAnsi"/>
        </w:rPr>
        <w:lastRenderedPageBreak/>
        <w:t>в показателя е свързано със строителството на автомагистрала „Хемус“ и на други приоритетни пътни инфраструктурни проекти, доставките на бойна техника, както и с ускоряването на темпа на усвояване на средствата от европейските фондове и по Плана за възстановяване и устойчивост.</w:t>
      </w:r>
    </w:p>
    <w:p w14:paraId="079BBC91" w14:textId="108BDE09" w:rsidR="00063F12" w:rsidRPr="00682446" w:rsidRDefault="00063F12" w:rsidP="00063F12">
      <w:pPr>
        <w:rPr>
          <w:rFonts w:cstheme="minorHAnsi"/>
        </w:rPr>
      </w:pPr>
      <w:r w:rsidRPr="00682446">
        <w:rPr>
          <w:rFonts w:cstheme="minorHAnsi"/>
        </w:rPr>
        <w:t xml:space="preserve">Значение за нарастването при социалните трансфери оказват предприетите през предходните години мерки и политики, които продължават да имат фискално въздействие през прогнозния период като: увеличението на часовата ставка за положен труд на личните асистенти; нарастването на линията за бедност, както и преизчислението на пенсиите с придобит след пенсионирането допълнителен стаж и на тези с намален индивидуален коефициент; увеличението на помощите и обезщетенията за домакинствата, основно поради нарастването на линията за бедност. </w:t>
      </w:r>
    </w:p>
    <w:p w14:paraId="44DBE008" w14:textId="43C1CF45" w:rsidR="00D359FF" w:rsidRPr="004018C2" w:rsidRDefault="00D359FF" w:rsidP="004018C2">
      <w:pPr>
        <w:pStyle w:val="Heading2"/>
      </w:pPr>
      <w:bookmarkStart w:id="70" w:name="_Toc100906070"/>
      <w:r w:rsidRPr="004018C2">
        <w:t xml:space="preserve">Фактически баланси и актуализирани бюджетни планове за </w:t>
      </w:r>
      <w:r w:rsidR="00F40EA9" w:rsidRPr="004018C2">
        <w:br/>
      </w:r>
      <w:r w:rsidRPr="004018C2">
        <w:t>текущата година</w:t>
      </w:r>
      <w:bookmarkEnd w:id="67"/>
      <w:bookmarkEnd w:id="68"/>
      <w:bookmarkEnd w:id="69"/>
      <w:bookmarkEnd w:id="70"/>
    </w:p>
    <w:p w14:paraId="422E74B0" w14:textId="685487EA" w:rsidR="00AB1E46" w:rsidRPr="004018C2" w:rsidRDefault="00AB1E46" w:rsidP="004018C2">
      <w:pPr>
        <w:pStyle w:val="Heading3"/>
      </w:pPr>
      <w:r w:rsidRPr="004018C2">
        <w:t>Актуализация на бюджетна</w:t>
      </w:r>
      <w:r w:rsidR="00324CAD" w:rsidRPr="004018C2">
        <w:t>та</w:t>
      </w:r>
      <w:r w:rsidRPr="004018C2">
        <w:t xml:space="preserve"> рамка за </w:t>
      </w:r>
      <w:r w:rsidR="00324CAD" w:rsidRPr="004018C2">
        <w:t>202</w:t>
      </w:r>
      <w:r w:rsidR="00AE05B8" w:rsidRPr="004018C2">
        <w:t>1</w:t>
      </w:r>
      <w:r w:rsidR="00324CAD" w:rsidRPr="004018C2">
        <w:t xml:space="preserve"> </w:t>
      </w:r>
      <w:r w:rsidRPr="004018C2">
        <w:t>година</w:t>
      </w:r>
    </w:p>
    <w:p w14:paraId="1AC74448" w14:textId="7333F313" w:rsidR="00424201" w:rsidRPr="005B2032" w:rsidRDefault="00424201" w:rsidP="00046164">
      <w:pPr>
        <w:contextualSpacing/>
      </w:pPr>
      <w:r w:rsidRPr="005B2032">
        <w:t>Фискалното развитие през 2021</w:t>
      </w:r>
      <w:r w:rsidR="00DF07FD">
        <w:t> г.</w:t>
      </w:r>
      <w:r w:rsidRPr="005B2032">
        <w:t xml:space="preserve"> беше доминирано от редица трудно предвидими фактори. От една страна, с одобрението за прилагане на ваксините срещу COVID-19 в края на 2020</w:t>
      </w:r>
      <w:r w:rsidR="00DF07FD">
        <w:t> г.</w:t>
      </w:r>
      <w:r w:rsidRPr="005B2032">
        <w:t xml:space="preserve"> се очакваше медицинските рискове, свързани с пандемията, да бъдат овладени в голяма степен и поради тази причина на етапа на планирането ресурсите за обезпечаване на мерките за борба с пандемията бяха разчетени с по-кратък хоризонт на прилагане. От друга страна, към предизвикателствата по отношение на разпространението на СOVID-19 и негативните ефекти от пандемията върху икономиката и уязвимите групи от населението се добави и нов фактор със силно изразено влияние върху икономиката – нарастващите цени на енергоносителите и безпрецедентния скок на цената на електрическата енергия на енергийните борси в региона и в цяла Европа, който започна да се проявява след месец юли и набра сила през последното тримесечие на 2021</w:t>
      </w:r>
      <w:r w:rsidR="00DF07FD">
        <w:t> г.</w:t>
      </w:r>
      <w:r w:rsidRPr="005B2032">
        <w:t xml:space="preserve"> Освен това годината се характеризираше с политическа нестабилност, довела до провеждането на три последователни избора за Парламент и формиране на ново редовно правителство едва в края на годината.</w:t>
      </w:r>
    </w:p>
    <w:p w14:paraId="699343C3" w14:textId="77777777" w:rsidR="00424201" w:rsidRPr="005B2032" w:rsidRDefault="00424201" w:rsidP="00046164">
      <w:pPr>
        <w:contextualSpacing/>
      </w:pPr>
    </w:p>
    <w:p w14:paraId="519B863A" w14:textId="1977822C" w:rsidR="00424201" w:rsidRPr="005B2032" w:rsidRDefault="00424201" w:rsidP="00046164">
      <w:r w:rsidRPr="005B2032">
        <w:t>Първите месеци на годината преминаха очаквано под знака на нова вълна на пандемията и необходимост от налагане на ограничителни мерки, целящи овладяване на разпространението на заразата и избягване на претоварване на здравната система. Това наложи предвидените в Закона да държавния бюджет на Република България за 2021</w:t>
      </w:r>
      <w:r w:rsidR="00DF07FD">
        <w:t> г.</w:t>
      </w:r>
      <w:r w:rsidRPr="005B2032">
        <w:t xml:space="preserve"> (ЗДБРБ за 2021</w:t>
      </w:r>
      <w:r w:rsidR="00DF07FD">
        <w:t> г.</w:t>
      </w:r>
      <w:r w:rsidRPr="005B2032">
        <w:t>) средства за прилагане на мерки за борба с пандемията да започнат да се усвояват още от самото начало на годината, което заедно с някои еднократни разходи, свързани с инфраструктурни проекти и разходи по проекти на Министерството на отбраната</w:t>
      </w:r>
      <w:r w:rsidR="00D73160">
        <w:t>,</w:t>
      </w:r>
      <w:r w:rsidRPr="005B2032">
        <w:t xml:space="preserve"> доведе до значителен ръст на разходите през първото тримесечие на годината. Значителен принос за отчетения ръст на разходите за първото тримесечие имаха и разходите за пенсии, които, от една страна, бяха увеличени поради изплащането на добавка към пенсиите на всички пенсионери в изпълнение на мярката за подкрепа на уязвимите групи от населението в условията на пандемия от </w:t>
      </w:r>
      <w:r w:rsidRPr="005B2032">
        <w:rPr>
          <w:lang w:val="en-US"/>
        </w:rPr>
        <w:t>COVID</w:t>
      </w:r>
      <w:r w:rsidRPr="005B2032">
        <w:rPr>
          <w:lang w:val="ru-RU"/>
        </w:rPr>
        <w:t xml:space="preserve">-19, </w:t>
      </w:r>
      <w:r w:rsidRPr="005B2032">
        <w:t>и от друга – поради увеличението на размера на минималната и максималната пенсия от 1 януари 2021</w:t>
      </w:r>
      <w:r w:rsidR="00DF07FD">
        <w:t> г.</w:t>
      </w:r>
      <w:r w:rsidRPr="005B2032">
        <w:t xml:space="preserve"> със ЗДБРБ за 2021</w:t>
      </w:r>
      <w:r w:rsidR="00DF07FD">
        <w:t> г.</w:t>
      </w:r>
      <w:r w:rsidRPr="005B2032">
        <w:t xml:space="preserve"> Въпреки това параметрите по изпълнението на приходите очертаха продължаване на тенденцията на по-интензивно възстановяване, започнала през второто полугодие на 2020</w:t>
      </w:r>
      <w:r w:rsidR="00DF07FD">
        <w:t> г.</w:t>
      </w:r>
      <w:r w:rsidRPr="005B2032">
        <w:t>, с което бюджетното салдо остана относително стабилно до полугодието, когато бе отчетено минимално превишение на приходите над разходите по КФП в размер на 0</w:t>
      </w:r>
      <w:r w:rsidR="00CD43B8">
        <w:rPr>
          <w:lang w:val="en-US"/>
        </w:rPr>
        <w:t>.</w:t>
      </w:r>
      <w:r w:rsidRPr="005B2032">
        <w:t>1 на сто от прогнозния БВП.</w:t>
      </w:r>
    </w:p>
    <w:p w14:paraId="5679389C" w14:textId="007EB204" w:rsidR="00424201" w:rsidRPr="005B2032" w:rsidRDefault="00424201" w:rsidP="00046164">
      <w:r w:rsidRPr="005B2032">
        <w:lastRenderedPageBreak/>
        <w:t>През месец юли бе извършен анализ на възможностите за удължаване и допълване на действащите до този момент мерки за намаляване на негативните ефекти от пандемията върху икономиката, защита на уязвимите групи от обществото и подкрепа</w:t>
      </w:r>
      <w:r w:rsidR="00D73160">
        <w:t>та</w:t>
      </w:r>
      <w:r w:rsidRPr="005B2032">
        <w:t xml:space="preserve"> на персонала на първа линия в борбата с пандемията</w:t>
      </w:r>
      <w:r w:rsidR="00D73160">
        <w:t>,</w:t>
      </w:r>
      <w:r w:rsidRPr="005B2032">
        <w:t xml:space="preserve"> в контекста на все по-реалните рискове за нова силна вълна на пандемията през есента. Отчитайки почти пълното изразходване на заложените в ЗДБРБ за 2021</w:t>
      </w:r>
      <w:r w:rsidR="00DF07FD">
        <w:t> г.</w:t>
      </w:r>
      <w:r w:rsidRPr="005B2032">
        <w:t xml:space="preserve"> ресурси за борба с пандемията още към полугодието и ниското ниво на ваксинационно покритие в страната</w:t>
      </w:r>
      <w:r w:rsidR="00D73160">
        <w:t>,</w:t>
      </w:r>
      <w:r w:rsidRPr="005B2032">
        <w:t xml:space="preserve"> бе идентифицирана необходимост от обезпечаване на допълнителен ресурс за финансиране на такива мерки до края на годината. Прегледът на параметрите по бюджетното изпълнение към полугодието и подобрените очаквания при голяма част от макроикономическите индикатори дадоха основание да се очаква, че преизпълнението на приходите в годишен план може да обезпечи адекватни на идентифицираните рискове ресурси, без това да доведе до влошаване на бюджетната позиция спрямо първоначално заложените целеви стойности. На тази база бе изготвен проект на Закон за изменение и допълнение на ЗДБРБ за 2021</w:t>
      </w:r>
      <w:r w:rsidR="00DF07FD">
        <w:t> г.</w:t>
      </w:r>
      <w:r w:rsidRPr="005B2032">
        <w:t xml:space="preserve"> (ЗИД на ЗДБРБ за 2021</w:t>
      </w:r>
      <w:r w:rsidR="00DF07FD">
        <w:t> г.</w:t>
      </w:r>
      <w:r w:rsidRPr="005B2032">
        <w:t>), който се основаваше на търсен баланс между необходимостта от осигуряване на допълнителни средства за приоритетни и неотложни политики и възможностите на приходната част на бюджета да осигури тяхното финансиране. Актуализираните разчети бяха окончателно одобрени от Народното събрание през месец септември. С одобрения ЗИД на ЗДБРБ за 2021</w:t>
      </w:r>
      <w:r w:rsidR="00DF07FD">
        <w:t> г.</w:t>
      </w:r>
      <w:r w:rsidRPr="005B2032">
        <w:t xml:space="preserve"> се обезпечиха допълнителни ресурси за удължаване на повечето действащи мерки за борба с пандемията и допълването им с нови такива до края на 2021</w:t>
      </w:r>
      <w:r w:rsidR="00DF07FD">
        <w:t> г.</w:t>
      </w:r>
      <w:r w:rsidR="00D73160">
        <w:t>,</w:t>
      </w:r>
      <w:r w:rsidRPr="005B2032">
        <w:t xml:space="preserve"> за сметка на прогнозираните по-високи разчети в частта на приходите. С актуализираните разчети бе предвидено дефицитът по</w:t>
      </w:r>
      <w:r w:rsidR="00D73160">
        <w:t xml:space="preserve"> КФП за 2021</w:t>
      </w:r>
      <w:r w:rsidR="00DF07FD">
        <w:t> г.</w:t>
      </w:r>
      <w:r w:rsidR="00D73160">
        <w:t xml:space="preserve"> да не надвиши 4.6 млрд. лв. (3.</w:t>
      </w:r>
      <w:r w:rsidRPr="005B2032">
        <w:t>6 на сто от прогнозния БВП към момента на приемане на закона), което бе подобрение с 0,3 млрд. лв. спрямо първоначалните разчети към ЗДБРБ за 2021</w:t>
      </w:r>
      <w:r w:rsidR="00DF07FD">
        <w:t> г.</w:t>
      </w:r>
      <w:r w:rsidRPr="005B2032">
        <w:t xml:space="preserve"> от есента на 2020</w:t>
      </w:r>
      <w:r w:rsidR="00DF07FD">
        <w:t> г.</w:t>
      </w:r>
    </w:p>
    <w:p w14:paraId="73F51CBE" w14:textId="3A86C295" w:rsidR="00AB1E46" w:rsidRPr="005B2032" w:rsidRDefault="00424201" w:rsidP="00046164">
      <w:pPr>
        <w:contextualSpacing/>
        <w:rPr>
          <w:rFonts w:asciiTheme="minorHAnsi" w:hAnsiTheme="minorHAnsi" w:cstheme="minorHAnsi"/>
          <w:bCs/>
        </w:rPr>
      </w:pPr>
      <w:r w:rsidRPr="005B2032">
        <w:t>При изготвянето на разчетите по ЗИД на ЗДБРБ за 2021</w:t>
      </w:r>
      <w:r w:rsidR="00DF07FD">
        <w:t> г.</w:t>
      </w:r>
      <w:r w:rsidRPr="005B2032">
        <w:t xml:space="preserve"> през юли и началото на август Министерството на финансите все още не разполагаше с анализ на промените в тенденциите по отношение на цените на електрическата енергия, поради което в актуализацията на бюджета не бяха предвидени конкретни механизми за компенсиране на бизнеса. Внезапното покачване на цените на електрическата енергия засегна всички потребители извън регулирания пазар. Началото на шоковото поскъпване на цените започна в средата на месец юли, затвърди се през август и септември и продължи и през останалите месеци до края на годината. Високите цени на електроенергията създадоха внезапен шок за бизнеса и породиха рискове от потискане на растежа – бяха предприети мерки за свиване на производството и ограничаване на разходите от страна на производителите, за да запазят своята конкурентна позиция на пазара. В тази връзка служебното правителство и встъпилото в длъжност през декември редовно правителство предприеха незабавни действия за подпомагане на бизнеса, като одобриха Програма за компенсиране на небитовите крайни клиенти на електрическа енергия, както и Програма за компенсиране на операторите на електропреносната и на електроразпределителната мрежи за закупуване на количества електрическа </w:t>
      </w:r>
      <w:r w:rsidRPr="00C707B7">
        <w:t>енергия, потребена</w:t>
      </w:r>
      <w:r w:rsidRPr="005B2032">
        <w:t xml:space="preserve"> за технологични разходи. Общият размер на разходите за 2021</w:t>
      </w:r>
      <w:r w:rsidR="00DF07FD">
        <w:t> г.</w:t>
      </w:r>
      <w:r w:rsidRPr="005B2032">
        <w:t>, обезпечени за изпълнение на посочените програми по бюджета на Министерството на енергетиката, б</w:t>
      </w:r>
      <w:r w:rsidR="00D73160">
        <w:t>е 0.</w:t>
      </w:r>
      <w:r w:rsidRPr="005B2032">
        <w:t>9 млрд. лв., които бяха обезпечени за сметка на допълнителни приходи и преструктуриране на одобрените разходи за 2021</w:t>
      </w:r>
      <w:r w:rsidR="00DF07FD">
        <w:t> г.</w:t>
      </w:r>
      <w:r w:rsidRPr="005B2032">
        <w:t xml:space="preserve"> Предвидено бе програмите да продължат да се прилагат и през първите месеци на 2022</w:t>
      </w:r>
      <w:r w:rsidR="00DF07FD">
        <w:t> г.</w:t>
      </w:r>
      <w:r w:rsidR="00AB1E46" w:rsidRPr="005B2032">
        <w:rPr>
          <w:rFonts w:asciiTheme="minorHAnsi" w:hAnsiTheme="minorHAnsi" w:cstheme="minorHAnsi"/>
        </w:rPr>
        <w:t xml:space="preserve"> </w:t>
      </w:r>
    </w:p>
    <w:p w14:paraId="1D5C99EA" w14:textId="5EE6444F" w:rsidR="00AB1E46" w:rsidRPr="004018C2" w:rsidRDefault="00F71738" w:rsidP="004018C2">
      <w:pPr>
        <w:pStyle w:val="Heading3"/>
      </w:pPr>
      <w:r w:rsidRPr="004018C2">
        <w:t>Бюджетни развития през 202</w:t>
      </w:r>
      <w:r w:rsidR="00AE05B8" w:rsidRPr="004018C2">
        <w:t>1</w:t>
      </w:r>
      <w:r w:rsidR="00DF07FD">
        <w:t> г.</w:t>
      </w:r>
    </w:p>
    <w:p w14:paraId="5C160100" w14:textId="358B4E5E" w:rsidR="00424201" w:rsidRPr="005B2032" w:rsidRDefault="00424201" w:rsidP="00046164">
      <w:pPr>
        <w:contextualSpacing/>
      </w:pPr>
      <w:r w:rsidRPr="005B2032">
        <w:t>Започналата през 2020</w:t>
      </w:r>
      <w:r w:rsidR="00DF07FD">
        <w:t> г.</w:t>
      </w:r>
      <w:r w:rsidRPr="005B2032">
        <w:t xml:space="preserve"> световна пандемия от </w:t>
      </w:r>
      <w:r w:rsidRPr="005B2032">
        <w:rPr>
          <w:lang w:val="en-US"/>
        </w:rPr>
        <w:t>COVID</w:t>
      </w:r>
      <w:r w:rsidRPr="005B2032">
        <w:t>-19 продължи да оказва значителен натиск върху бюджетната позиция и през 2021</w:t>
      </w:r>
      <w:r w:rsidR="00DF07FD">
        <w:t> г.</w:t>
      </w:r>
      <w:r w:rsidRPr="005B2032">
        <w:t xml:space="preserve"> Разходите за борба със заразата и подпомагане на засегнатите сектори на икономиката и уязвими групи от обществото имаха целогодишно действие, поради което те значително надвишиха отчетените за </w:t>
      </w:r>
      <w:r w:rsidRPr="005B2032">
        <w:lastRenderedPageBreak/>
        <w:t>предходната 2020</w:t>
      </w:r>
      <w:r w:rsidR="00DF07FD">
        <w:t> г.</w:t>
      </w:r>
      <w:r w:rsidRPr="005B2032">
        <w:t>, и съответно оказаха натиск от страна на разходите върху бюджетната позиция. Новите предизвикателства, свързани със скока на цените на електроенергията и енергоносителите, допълнително засилиха този натиск, което се прояви най-силно в последното тримесечие на 2021</w:t>
      </w:r>
      <w:r w:rsidR="00DF07FD">
        <w:t> г.</w:t>
      </w:r>
      <w:r w:rsidRPr="005B2032">
        <w:t xml:space="preserve"> Въпреки големия </w:t>
      </w:r>
      <w:r w:rsidR="00304828">
        <w:t xml:space="preserve">фискален ефект от </w:t>
      </w:r>
      <w:r w:rsidRPr="005B2032">
        <w:t>тези неблагоприятни въздействия България успя да запази нивото на салдото на сектор „Държавно управление“ през 2021</w:t>
      </w:r>
      <w:r w:rsidR="00DF07FD">
        <w:t> г.</w:t>
      </w:r>
      <w:r w:rsidRPr="005B2032">
        <w:t xml:space="preserve"> на ниво, близко до отчетеното за предходната година, като се отчита съвсем л</w:t>
      </w:r>
      <w:r w:rsidR="00C707B7">
        <w:t>еко разширяване на дефицита с 0.</w:t>
      </w:r>
      <w:r w:rsidRPr="005B2032">
        <w:t xml:space="preserve">1 </w:t>
      </w:r>
      <w:r w:rsidR="008438DF">
        <w:t>пр.п.</w:t>
      </w:r>
      <w:r w:rsidRPr="005B2032">
        <w:t xml:space="preserve"> до 4</w:t>
      </w:r>
      <w:r w:rsidR="00C707B7">
        <w:t>.</w:t>
      </w:r>
      <w:r w:rsidRPr="005B2032">
        <w:t>1% от БВП. Същевременно в сравнение със заложената цел в предходната Конве</w:t>
      </w:r>
      <w:r w:rsidR="00C707B7">
        <w:t>ргентна програма – дефицит от 5.</w:t>
      </w:r>
      <w:r w:rsidRPr="005B2032">
        <w:t>6%, данните от априлските Нотификационни таблици за дефицита и дълга на България отчитат подобрение на бюджетното салдо на се</w:t>
      </w:r>
      <w:r w:rsidR="00C707B7">
        <w:t>ктор „Държавно управление“</w:t>
      </w:r>
      <w:r w:rsidR="00BD2C3E">
        <w:t xml:space="preserve"> </w:t>
      </w:r>
      <w:r w:rsidR="00C707B7">
        <w:t>с 1.</w:t>
      </w:r>
      <w:r w:rsidRPr="005B2032">
        <w:t xml:space="preserve">5 </w:t>
      </w:r>
      <w:r w:rsidR="008438DF">
        <w:t>пр.п.</w:t>
      </w:r>
      <w:r w:rsidRPr="005B2032">
        <w:t>, което се дължи на по-интензивното възстановяване в частта на приходите, докато при разходи</w:t>
      </w:r>
      <w:r w:rsidR="00C707B7">
        <w:t>те нарастването на относителния</w:t>
      </w:r>
      <w:r w:rsidRPr="005B2032">
        <w:t xml:space="preserve"> им дял в БВП е по-умерено.</w:t>
      </w:r>
    </w:p>
    <w:p w14:paraId="21D26AA0" w14:textId="7CCCA253" w:rsidR="00424201" w:rsidRPr="005B2032" w:rsidRDefault="00424201" w:rsidP="00BE5B7B">
      <w:pPr>
        <w:pStyle w:val="Caption"/>
      </w:pPr>
      <w:r w:rsidRPr="00046164">
        <w:t>Граф</w:t>
      </w:r>
      <w:r w:rsidR="00046164">
        <w:rPr>
          <w:lang w:val="en-US"/>
        </w:rPr>
        <w:t>. 3-1</w:t>
      </w:r>
      <w:r w:rsidRPr="005B2032">
        <w:rPr>
          <w:lang w:val="en-US"/>
        </w:rPr>
        <w:t xml:space="preserve"> </w:t>
      </w:r>
      <w:r w:rsidRPr="005B2032">
        <w:t>Бюджетен баланс (ЕСС 2010, % от БВП)</w:t>
      </w:r>
    </w:p>
    <w:p w14:paraId="67A16156" w14:textId="77777777" w:rsidR="00424201" w:rsidRPr="005B2032" w:rsidRDefault="00424201" w:rsidP="00424201">
      <w:pPr>
        <w:contextualSpacing/>
      </w:pPr>
      <w:r w:rsidRPr="005B2032">
        <w:rPr>
          <w:noProof/>
        </w:rPr>
        <w:drawing>
          <wp:inline distT="0" distB="0" distL="0" distR="0" wp14:anchorId="5FF95912" wp14:editId="7EF3F3F6">
            <wp:extent cx="5760720" cy="2484000"/>
            <wp:effectExtent l="0" t="0" r="0"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520131C" w14:textId="6E12FCE0" w:rsidR="00424201" w:rsidRPr="005B2032" w:rsidRDefault="009A3730" w:rsidP="009A3730">
      <w:pPr>
        <w:pStyle w:val="a"/>
      </w:pPr>
      <w:r w:rsidRPr="009A3730">
        <w:rPr>
          <w:lang w:val="en-US"/>
        </w:rPr>
        <w:t>*</w:t>
      </w:r>
      <w:r>
        <w:t xml:space="preserve"> </w:t>
      </w:r>
      <w:r w:rsidR="00424201" w:rsidRPr="005B2032">
        <w:t>Прогноза</w:t>
      </w:r>
      <w:r w:rsidR="00424201" w:rsidRPr="005B2032">
        <w:tab/>
      </w:r>
      <w:r w:rsidR="00424201" w:rsidRPr="005B2032">
        <w:tab/>
      </w:r>
      <w:r w:rsidR="00424201" w:rsidRPr="005B2032">
        <w:tab/>
      </w:r>
      <w:r w:rsidR="00424201" w:rsidRPr="005B2032">
        <w:tab/>
      </w:r>
      <w:r w:rsidR="00424201" w:rsidRPr="005B2032">
        <w:tab/>
      </w:r>
      <w:r w:rsidR="00424201" w:rsidRPr="005B2032">
        <w:tab/>
      </w:r>
      <w:r w:rsidR="00424201" w:rsidRPr="005B2032">
        <w:tab/>
      </w:r>
      <w:r w:rsidR="00424201" w:rsidRPr="005B2032">
        <w:tab/>
      </w:r>
      <w:r w:rsidR="00424201" w:rsidRPr="005B2032">
        <w:tab/>
        <w:t>Източник: Евростат, МФ</w:t>
      </w:r>
    </w:p>
    <w:p w14:paraId="2A89DE1C" w14:textId="77777777" w:rsidR="00424201" w:rsidRPr="005B2032" w:rsidRDefault="00424201" w:rsidP="00424201">
      <w:pPr>
        <w:contextualSpacing/>
        <w:rPr>
          <w:highlight w:val="yellow"/>
        </w:rPr>
      </w:pPr>
    </w:p>
    <w:p w14:paraId="440D29BC" w14:textId="459AC30B" w:rsidR="00424201" w:rsidRPr="00046164" w:rsidRDefault="00424201" w:rsidP="00046164">
      <w:pPr>
        <w:rPr>
          <w:szCs w:val="24"/>
        </w:rPr>
      </w:pPr>
      <w:r w:rsidRPr="00046164">
        <w:rPr>
          <w:szCs w:val="24"/>
        </w:rPr>
        <w:t xml:space="preserve">Приходите като относителен дял в БВП достигнаха </w:t>
      </w:r>
      <w:r w:rsidRPr="00046164">
        <w:rPr>
          <w:szCs w:val="24"/>
          <w:lang w:val="en-US"/>
        </w:rPr>
        <w:t>39</w:t>
      </w:r>
      <w:r w:rsidR="00C707B7" w:rsidRPr="00046164">
        <w:rPr>
          <w:szCs w:val="24"/>
        </w:rPr>
        <w:t>.</w:t>
      </w:r>
      <w:r w:rsidRPr="00046164">
        <w:rPr>
          <w:szCs w:val="24"/>
        </w:rPr>
        <w:t xml:space="preserve">0% през </w:t>
      </w:r>
      <w:r w:rsidR="00C707B7" w:rsidRPr="00046164">
        <w:rPr>
          <w:szCs w:val="24"/>
        </w:rPr>
        <w:t>2021</w:t>
      </w:r>
      <w:r w:rsidR="00DF07FD">
        <w:rPr>
          <w:szCs w:val="24"/>
        </w:rPr>
        <w:t> г.</w:t>
      </w:r>
      <w:r w:rsidR="00C707B7" w:rsidRPr="00046164">
        <w:rPr>
          <w:szCs w:val="24"/>
        </w:rPr>
        <w:t>, което е увеличение с 0.</w:t>
      </w:r>
      <w:r w:rsidRPr="00046164">
        <w:rPr>
          <w:szCs w:val="24"/>
        </w:rPr>
        <w:t>9</w:t>
      </w:r>
      <w:r w:rsidR="00BD2C3E">
        <w:rPr>
          <w:szCs w:val="24"/>
        </w:rPr>
        <w:t xml:space="preserve"> </w:t>
      </w:r>
      <w:r w:rsidR="008438DF">
        <w:rPr>
          <w:szCs w:val="24"/>
        </w:rPr>
        <w:t>пр.п.</w:t>
      </w:r>
      <w:r w:rsidRPr="00046164">
        <w:rPr>
          <w:szCs w:val="24"/>
        </w:rPr>
        <w:t xml:space="preserve"> спрямо нивото през 2020</w:t>
      </w:r>
      <w:r w:rsidR="00DF07FD">
        <w:rPr>
          <w:szCs w:val="24"/>
        </w:rPr>
        <w:t> г.</w:t>
      </w:r>
      <w:r w:rsidRPr="00046164">
        <w:rPr>
          <w:szCs w:val="24"/>
        </w:rPr>
        <w:t xml:space="preserve"> За нарастването на приходите допринасят в най-голяма степен ръстовете при данъците върху производството и вноса, текущите данъци върху доходите, богатството и др.</w:t>
      </w:r>
      <w:r w:rsidR="00C707B7" w:rsidRPr="00046164">
        <w:rPr>
          <w:szCs w:val="24"/>
        </w:rPr>
        <w:t>,</w:t>
      </w:r>
      <w:r w:rsidRPr="00046164">
        <w:rPr>
          <w:szCs w:val="24"/>
        </w:rPr>
        <w:t xml:space="preserve"> и получените капиталови трансфери, докато при приходите от продажби и другите текущи приходи се наблюдава намаление. </w:t>
      </w:r>
    </w:p>
    <w:p w14:paraId="4806EA16" w14:textId="7EA77792" w:rsidR="00424201" w:rsidRPr="00046164" w:rsidRDefault="00424201" w:rsidP="004018C2">
      <w:r w:rsidRPr="00046164">
        <w:t xml:space="preserve">Приходите от данъците върху производството и вноса, текущите данъци върху доходите, богатството и др. и </w:t>
      </w:r>
      <w:r w:rsidR="00C707B7" w:rsidRPr="00046164">
        <w:t>получените капиталови трансфери</w:t>
      </w:r>
      <w:r w:rsidRPr="00046164">
        <w:t xml:space="preserve"> нарастват както номиналн</w:t>
      </w:r>
      <w:r w:rsidR="00C707B7" w:rsidRPr="00046164">
        <w:t>о, така и като дял от БВП – с 2.</w:t>
      </w:r>
      <w:r w:rsidRPr="00046164">
        <w:t xml:space="preserve">1 </w:t>
      </w:r>
      <w:r w:rsidR="008438DF">
        <w:t>пр.п.</w:t>
      </w:r>
      <w:r w:rsidRPr="00046164">
        <w:t xml:space="preserve"> спрямо 2020</w:t>
      </w:r>
      <w:r w:rsidR="00DF07FD">
        <w:t> г.</w:t>
      </w:r>
      <w:r w:rsidRPr="00046164">
        <w:t xml:space="preserve"> При приходите от социални осигуровки също се наблюдава номинален ръст, а отнесени към </w:t>
      </w:r>
      <w:r w:rsidR="00C707B7" w:rsidRPr="00046164">
        <w:t>БВП постъпленията нарастват с 0.</w:t>
      </w:r>
      <w:r w:rsidRPr="00046164">
        <w:t xml:space="preserve">1 </w:t>
      </w:r>
      <w:r w:rsidR="008438DF">
        <w:t>пр.п.</w:t>
      </w:r>
    </w:p>
    <w:p w14:paraId="4C4F3132" w14:textId="525B564F" w:rsidR="00424201" w:rsidRPr="00046164" w:rsidRDefault="00424201" w:rsidP="00046164">
      <w:pPr>
        <w:rPr>
          <w:szCs w:val="24"/>
        </w:rPr>
      </w:pPr>
      <w:r w:rsidRPr="00046164">
        <w:rPr>
          <w:szCs w:val="24"/>
        </w:rPr>
        <w:t>Данъците върху производството и вноса отбелязват най-голям ръст както в</w:t>
      </w:r>
      <w:r w:rsidR="00C707B7" w:rsidRPr="00046164">
        <w:rPr>
          <w:szCs w:val="24"/>
        </w:rPr>
        <w:t xml:space="preserve"> номинално отношение</w:t>
      </w:r>
      <w:r w:rsidR="00DF07FD">
        <w:rPr>
          <w:szCs w:val="24"/>
        </w:rPr>
        <w:t xml:space="preserve"> – </w:t>
      </w:r>
      <w:r w:rsidR="00C707B7" w:rsidRPr="00046164">
        <w:rPr>
          <w:szCs w:val="24"/>
        </w:rPr>
        <w:t>с над 3.</w:t>
      </w:r>
      <w:r w:rsidRPr="00046164">
        <w:rPr>
          <w:szCs w:val="24"/>
        </w:rPr>
        <w:t xml:space="preserve">2 млрд. лв., така и като процент от БВП – с 1 </w:t>
      </w:r>
      <w:r w:rsidR="008438DF">
        <w:rPr>
          <w:szCs w:val="24"/>
        </w:rPr>
        <w:t>пр.п.</w:t>
      </w:r>
      <w:r w:rsidRPr="00046164">
        <w:rPr>
          <w:szCs w:val="24"/>
        </w:rPr>
        <w:t xml:space="preserve"> Нарастване на приходите се наблюдава при всички данъци от групата, като най-значително то е при ДДС. Това отразява силният ръст при потреблението в страната през 2021</w:t>
      </w:r>
      <w:r w:rsidR="00DF07FD">
        <w:rPr>
          <w:szCs w:val="24"/>
        </w:rPr>
        <w:t> г.</w:t>
      </w:r>
      <w:r w:rsidRPr="00046164">
        <w:rPr>
          <w:szCs w:val="24"/>
        </w:rPr>
        <w:t>, който компенсира забавените през 2020</w:t>
      </w:r>
      <w:r w:rsidR="00DF07FD">
        <w:rPr>
          <w:szCs w:val="24"/>
        </w:rPr>
        <w:t> г.</w:t>
      </w:r>
      <w:r w:rsidRPr="00046164">
        <w:rPr>
          <w:szCs w:val="24"/>
        </w:rPr>
        <w:t xml:space="preserve"> потребителски разходи. Значителният ръст в потреблениет</w:t>
      </w:r>
      <w:r w:rsidR="00C707B7" w:rsidRPr="00046164">
        <w:rPr>
          <w:szCs w:val="24"/>
        </w:rPr>
        <w:t>о е резултат</w:t>
      </w:r>
      <w:r w:rsidRPr="00046164">
        <w:rPr>
          <w:szCs w:val="24"/>
        </w:rPr>
        <w:t xml:space="preserve"> в най-голяма степен на възстановения интерес към потребление след първоначалния шок от </w:t>
      </w:r>
      <w:r w:rsidR="00C707B7" w:rsidRPr="00046164">
        <w:rPr>
          <w:szCs w:val="24"/>
        </w:rPr>
        <w:t>пандемията от</w:t>
      </w:r>
      <w:r w:rsidR="00C707B7" w:rsidRPr="00046164">
        <w:rPr>
          <w:szCs w:val="24"/>
          <w:lang w:val="en-US"/>
        </w:rPr>
        <w:t xml:space="preserve"> </w:t>
      </w:r>
      <w:r w:rsidRPr="00046164">
        <w:rPr>
          <w:szCs w:val="24"/>
          <w:lang w:val="en-US"/>
        </w:rPr>
        <w:t>COVID</w:t>
      </w:r>
      <w:r w:rsidRPr="00046164">
        <w:rPr>
          <w:szCs w:val="24"/>
        </w:rPr>
        <w:t xml:space="preserve">-19 и наложените ограничения. Регистрираното увеличение на доходите при голяма част от работещите и </w:t>
      </w:r>
      <w:r w:rsidR="00C707B7" w:rsidRPr="00046164">
        <w:rPr>
          <w:szCs w:val="24"/>
        </w:rPr>
        <w:t>при пенсионерите също допринася</w:t>
      </w:r>
      <w:r w:rsidRPr="00046164">
        <w:rPr>
          <w:szCs w:val="24"/>
        </w:rPr>
        <w:t xml:space="preserve"> за увеличеното потребление и свързаните с него данъчни приходи. </w:t>
      </w:r>
    </w:p>
    <w:p w14:paraId="151F37E3" w14:textId="499EABB1" w:rsidR="00424201" w:rsidRPr="00046164" w:rsidRDefault="00424201" w:rsidP="00046164">
      <w:pPr>
        <w:rPr>
          <w:szCs w:val="24"/>
        </w:rPr>
      </w:pPr>
      <w:r w:rsidRPr="00046164">
        <w:rPr>
          <w:szCs w:val="24"/>
        </w:rPr>
        <w:lastRenderedPageBreak/>
        <w:t>При текущите данъци върху доходите, богатството и др. се наблюдава на</w:t>
      </w:r>
      <w:r w:rsidR="00C707B7" w:rsidRPr="00046164">
        <w:rPr>
          <w:szCs w:val="24"/>
        </w:rPr>
        <w:t>растване на постъпленията – с 0.</w:t>
      </w:r>
      <w:r w:rsidRPr="00046164">
        <w:rPr>
          <w:szCs w:val="24"/>
        </w:rPr>
        <w:t xml:space="preserve">6 </w:t>
      </w:r>
      <w:r w:rsidR="008438DF">
        <w:rPr>
          <w:szCs w:val="24"/>
        </w:rPr>
        <w:t>пр.п.</w:t>
      </w:r>
      <w:r w:rsidRPr="00046164">
        <w:rPr>
          <w:szCs w:val="24"/>
        </w:rPr>
        <w:t>, коет</w:t>
      </w:r>
      <w:r w:rsidR="00C707B7" w:rsidRPr="00046164">
        <w:rPr>
          <w:szCs w:val="24"/>
        </w:rPr>
        <w:t>о в номинално изражение е над 1.</w:t>
      </w:r>
      <w:r w:rsidRPr="00046164">
        <w:rPr>
          <w:szCs w:val="24"/>
        </w:rPr>
        <w:t>5 млрд. лв. Основните причини за увеличението при данъка върху доходите на физическите лица са регистрираният ръст на възнагражденията както в обществения сектор (последната стъпка от планираното увеличение на заплатите в сектора на училищното образование и общото увеличение на възнагражденията на заетите в бюджетния сектор), така и в много сфери на частния сектор, а също така и мерките на правителството, които спомогнаха за запазване на възнагражденията на част от работещите в най-сериозно засегнатите от кризата сектори и ограничиха ръста на безработицата. Трябва да се отбележи и ръстът при данъците върху богатството (имуществените данъци), където се отразява нарасналият брой сделки за</w:t>
      </w:r>
      <w:r w:rsidR="00C707B7" w:rsidRPr="00046164">
        <w:rPr>
          <w:szCs w:val="24"/>
        </w:rPr>
        <w:t xml:space="preserve"> придобиване на жилищни имоти</w:t>
      </w:r>
      <w:r w:rsidR="00304828">
        <w:rPr>
          <w:szCs w:val="24"/>
        </w:rPr>
        <w:t xml:space="preserve"> и др</w:t>
      </w:r>
      <w:r w:rsidR="00C707B7" w:rsidRPr="00046164">
        <w:rPr>
          <w:szCs w:val="24"/>
        </w:rPr>
        <w:t xml:space="preserve">. </w:t>
      </w:r>
      <w:r w:rsidRPr="00046164">
        <w:rPr>
          <w:szCs w:val="24"/>
        </w:rPr>
        <w:t>Отнесени към БВП</w:t>
      </w:r>
      <w:r w:rsidR="00304828">
        <w:rPr>
          <w:szCs w:val="24"/>
        </w:rPr>
        <w:t>,</w:t>
      </w:r>
      <w:r w:rsidRPr="00046164">
        <w:rPr>
          <w:szCs w:val="24"/>
        </w:rPr>
        <w:t xml:space="preserve"> постъпленията от данъците върху капитала </w:t>
      </w:r>
      <w:r w:rsidR="00304828">
        <w:rPr>
          <w:szCs w:val="24"/>
        </w:rPr>
        <w:t xml:space="preserve">нарастват  с 0.1 пр. п. спрямо </w:t>
      </w:r>
      <w:r w:rsidRPr="00046164">
        <w:rPr>
          <w:szCs w:val="24"/>
        </w:rPr>
        <w:t>предходната година.</w:t>
      </w:r>
    </w:p>
    <w:p w14:paraId="69AFC871" w14:textId="79610A59" w:rsidR="00424201" w:rsidRPr="00046164" w:rsidRDefault="00424201" w:rsidP="00046164">
      <w:pPr>
        <w:rPr>
          <w:szCs w:val="24"/>
        </w:rPr>
      </w:pPr>
      <w:r w:rsidRPr="00046164">
        <w:rPr>
          <w:szCs w:val="24"/>
        </w:rPr>
        <w:t>Приходите от социални и здравно-осигурителни вно</w:t>
      </w:r>
      <w:r w:rsidR="00C707B7" w:rsidRPr="00046164">
        <w:rPr>
          <w:szCs w:val="24"/>
        </w:rPr>
        <w:t xml:space="preserve">ски нарастват номинално с над 1.3 млрд. </w:t>
      </w:r>
      <w:r w:rsidRPr="00046164">
        <w:rPr>
          <w:szCs w:val="24"/>
        </w:rPr>
        <w:t>лв.</w:t>
      </w:r>
      <w:r w:rsidR="00C707B7" w:rsidRPr="00046164">
        <w:rPr>
          <w:szCs w:val="24"/>
        </w:rPr>
        <w:t>,</w:t>
      </w:r>
      <w:r w:rsidRPr="00046164">
        <w:rPr>
          <w:szCs w:val="24"/>
        </w:rPr>
        <w:t xml:space="preserve"> а отнесени</w:t>
      </w:r>
      <w:r w:rsidR="00C707B7" w:rsidRPr="00046164">
        <w:rPr>
          <w:szCs w:val="24"/>
        </w:rPr>
        <w:t xml:space="preserve"> към БВП отчитат увеличение с 0.</w:t>
      </w:r>
      <w:r w:rsidRPr="00046164">
        <w:rPr>
          <w:szCs w:val="24"/>
        </w:rPr>
        <w:t xml:space="preserve">1 </w:t>
      </w:r>
      <w:r w:rsidR="008438DF">
        <w:rPr>
          <w:szCs w:val="24"/>
        </w:rPr>
        <w:t>пр.п.</w:t>
      </w:r>
      <w:r w:rsidRPr="00046164">
        <w:rPr>
          <w:szCs w:val="24"/>
        </w:rPr>
        <w:t xml:space="preserve"> спрямо 2020</w:t>
      </w:r>
      <w:r w:rsidR="00DF07FD">
        <w:rPr>
          <w:szCs w:val="24"/>
        </w:rPr>
        <w:t> г.</w:t>
      </w:r>
      <w:r w:rsidRPr="00046164">
        <w:rPr>
          <w:szCs w:val="24"/>
        </w:rPr>
        <w:t xml:space="preserve"> За това допринасят фактори като ръстът на доходите; успешното прилагане на мерки за подкрепа на лицата с ограничени от пандемията възможности за полагане на труд, с които безработицата бе задържана на ниско ниво; някои административни мерки като увеличението на минималната работна заплата, минималните осигурителни прагове и др.</w:t>
      </w:r>
    </w:p>
    <w:p w14:paraId="17A9941C" w14:textId="102A0310" w:rsidR="00424201" w:rsidRPr="00046164" w:rsidRDefault="00424201" w:rsidP="004018C2">
      <w:r w:rsidRPr="00046164">
        <w:t>Получените кап</w:t>
      </w:r>
      <w:r w:rsidR="00C707B7" w:rsidRPr="00046164">
        <w:t>италови трансфери нарастват с 0.</w:t>
      </w:r>
      <w:r w:rsidRPr="00046164">
        <w:t xml:space="preserve">6 </w:t>
      </w:r>
      <w:r w:rsidR="008438DF">
        <w:t>пр.п.</w:t>
      </w:r>
      <w:r w:rsidRPr="00046164">
        <w:t xml:space="preserve"> </w:t>
      </w:r>
      <w:r w:rsidR="00C707B7" w:rsidRPr="00046164">
        <w:t>от БВП, което номинално е над 0.</w:t>
      </w:r>
      <w:r w:rsidRPr="00046164">
        <w:t>8 млрд. лв. Това отразява нарасналия размер на разплатените</w:t>
      </w:r>
      <w:r w:rsidR="00BD2C3E">
        <w:t xml:space="preserve"> </w:t>
      </w:r>
      <w:r w:rsidRPr="00046164">
        <w:t xml:space="preserve">и съответно възстановени от </w:t>
      </w:r>
      <w:r w:rsidR="009D5B59">
        <w:rPr>
          <w:szCs w:val="24"/>
        </w:rPr>
        <w:t>Европейската комисия (</w:t>
      </w:r>
      <w:r w:rsidRPr="00046164">
        <w:t>ЕК</w:t>
      </w:r>
      <w:r w:rsidR="009D5B59">
        <w:rPr>
          <w:lang w:val="en-US"/>
        </w:rPr>
        <w:t>)</w:t>
      </w:r>
      <w:r w:rsidRPr="00046164">
        <w:t xml:space="preserve"> средства през 2021</w:t>
      </w:r>
      <w:r w:rsidR="00DF07FD">
        <w:t> г.</w:t>
      </w:r>
      <w:r w:rsidRPr="00046164">
        <w:t xml:space="preserve"> по програмите и фондовете на ЕС, което е свързано с приключването на програмния период 2014</w:t>
      </w:r>
      <w:r w:rsidR="008010F6">
        <w:rPr>
          <w:rFonts w:cstheme="minorHAnsi"/>
          <w:lang w:val="en-US"/>
        </w:rPr>
        <w:t>–</w:t>
      </w:r>
      <w:r w:rsidRPr="00046164">
        <w:t>2021</w:t>
      </w:r>
      <w:r w:rsidR="00DF07FD">
        <w:t> г.</w:t>
      </w:r>
    </w:p>
    <w:p w14:paraId="17BE537E" w14:textId="77777777" w:rsidR="00304828" w:rsidRPr="00046164" w:rsidRDefault="00304828" w:rsidP="00304828">
      <w:pPr>
        <w:rPr>
          <w:szCs w:val="24"/>
        </w:rPr>
      </w:pPr>
      <w:r w:rsidRPr="00046164">
        <w:rPr>
          <w:szCs w:val="24"/>
        </w:rPr>
        <w:t>Общите разходи на сектор „Държавно управление“ през 20</w:t>
      </w:r>
      <w:r w:rsidRPr="00046164">
        <w:rPr>
          <w:szCs w:val="24"/>
          <w:lang w:val="en-US"/>
        </w:rPr>
        <w:t>2</w:t>
      </w:r>
      <w:r w:rsidRPr="00046164">
        <w:rPr>
          <w:szCs w:val="24"/>
        </w:rPr>
        <w:t xml:space="preserve">1 г. са в размер на </w:t>
      </w:r>
      <w:r w:rsidRPr="00046164">
        <w:rPr>
          <w:szCs w:val="24"/>
          <w:lang w:val="en-US"/>
        </w:rPr>
        <w:t>4</w:t>
      </w:r>
      <w:r w:rsidRPr="00046164">
        <w:rPr>
          <w:szCs w:val="24"/>
        </w:rPr>
        <w:t>3.</w:t>
      </w:r>
      <w:r>
        <w:rPr>
          <w:szCs w:val="24"/>
        </w:rPr>
        <w:t>1</w:t>
      </w:r>
      <w:r w:rsidRPr="00046164">
        <w:rPr>
          <w:szCs w:val="24"/>
          <w:lang w:val="en-US"/>
        </w:rPr>
        <w:t>%</w:t>
      </w:r>
      <w:r w:rsidRPr="00046164">
        <w:rPr>
          <w:szCs w:val="24"/>
        </w:rPr>
        <w:t xml:space="preserve"> от БВП, което е с </w:t>
      </w:r>
      <w:r>
        <w:rPr>
          <w:szCs w:val="24"/>
        </w:rPr>
        <w:t>1</w:t>
      </w:r>
      <w:r w:rsidRPr="00046164">
        <w:rPr>
          <w:szCs w:val="24"/>
        </w:rPr>
        <w:t>.</w:t>
      </w:r>
      <w:r>
        <w:rPr>
          <w:szCs w:val="24"/>
        </w:rPr>
        <w:t>0</w:t>
      </w:r>
      <w:r w:rsidRPr="00046164">
        <w:rPr>
          <w:szCs w:val="24"/>
        </w:rPr>
        <w:t xml:space="preserve"> пр. п. по-високо от отчетеното през 2020 г. ниво. Нарастване като дял от БВП спрямо нивото през 2020 г. се отчита при повечето елементи на разходите. Най-значителни увеличения на стойностите се отчитат при разходите за компенсация на наетите, социалните трансфери и разходите за субсидии, докато при разходите за бруто образуването на основен капитал и другите текущи и капиталови разходи се отбелязва намаление.</w:t>
      </w:r>
    </w:p>
    <w:p w14:paraId="2598EC81" w14:textId="01AFAA6A" w:rsidR="00424201" w:rsidRPr="00046164" w:rsidRDefault="00424201" w:rsidP="00046164">
      <w:pPr>
        <w:rPr>
          <w:szCs w:val="24"/>
        </w:rPr>
      </w:pPr>
      <w:r w:rsidRPr="00046164">
        <w:rPr>
          <w:szCs w:val="24"/>
        </w:rPr>
        <w:t>Разходите за компенсация на</w:t>
      </w:r>
      <w:r w:rsidR="00C707B7" w:rsidRPr="00046164">
        <w:rPr>
          <w:szCs w:val="24"/>
        </w:rPr>
        <w:t xml:space="preserve"> наетите лица се увеличават с 0.</w:t>
      </w:r>
      <w:r w:rsidRPr="00046164">
        <w:rPr>
          <w:szCs w:val="24"/>
        </w:rPr>
        <w:t xml:space="preserve">9 </w:t>
      </w:r>
      <w:r w:rsidR="008438DF">
        <w:rPr>
          <w:szCs w:val="24"/>
        </w:rPr>
        <w:t>пр.п.</w:t>
      </w:r>
      <w:r w:rsidRPr="00046164">
        <w:rPr>
          <w:szCs w:val="24"/>
        </w:rPr>
        <w:t xml:space="preserve"> като дял от БВП спрямо 2020</w:t>
      </w:r>
      <w:r w:rsidR="00DF07FD">
        <w:rPr>
          <w:szCs w:val="24"/>
        </w:rPr>
        <w:t> г.</w:t>
      </w:r>
      <w:r w:rsidRPr="00046164">
        <w:rPr>
          <w:szCs w:val="24"/>
        </w:rPr>
        <w:t xml:space="preserve"> Основната причина за това е нарастването на възнагражденията в обществения сектор, в т.ч. реализираното през годината нарастване на средствата за персонал на заетите в бюджетния сектор с 10 на сто, финалната стъпка от увеличението (от 1 януари 2021</w:t>
      </w:r>
      <w:r w:rsidR="00DF07FD">
        <w:rPr>
          <w:szCs w:val="24"/>
        </w:rPr>
        <w:t> г.</w:t>
      </w:r>
      <w:r w:rsidRPr="00046164">
        <w:rPr>
          <w:szCs w:val="24"/>
        </w:rPr>
        <w:t>) на възнагражденията на педагогическия персонал в средните училища, с което заплащането на персонала се удвоява спрямо нивото от 2017</w:t>
      </w:r>
      <w:r w:rsidR="00DF07FD">
        <w:rPr>
          <w:szCs w:val="24"/>
        </w:rPr>
        <w:t> г.</w:t>
      </w:r>
      <w:r w:rsidRPr="00046164">
        <w:rPr>
          <w:szCs w:val="24"/>
        </w:rPr>
        <w:t xml:space="preserve">, целогодишното изплащане на допълнителни суми към възнагражденията </w:t>
      </w:r>
      <w:r w:rsidR="00C707B7" w:rsidRPr="00046164">
        <w:rPr>
          <w:szCs w:val="24"/>
        </w:rPr>
        <w:t xml:space="preserve">на </w:t>
      </w:r>
      <w:r w:rsidRPr="00046164">
        <w:rPr>
          <w:szCs w:val="24"/>
        </w:rPr>
        <w:t xml:space="preserve">лекарите и медицинските специалисти на първа линия в борбата с пандемията от </w:t>
      </w:r>
      <w:r w:rsidRPr="00046164">
        <w:rPr>
          <w:szCs w:val="24"/>
          <w:lang w:val="en-US"/>
        </w:rPr>
        <w:t>COVID</w:t>
      </w:r>
      <w:r w:rsidRPr="00046164">
        <w:rPr>
          <w:szCs w:val="24"/>
        </w:rPr>
        <w:t xml:space="preserve">-19 и др. </w:t>
      </w:r>
    </w:p>
    <w:p w14:paraId="76B5CF5A" w14:textId="5E775811" w:rsidR="00424201" w:rsidRPr="00046164" w:rsidRDefault="00424201" w:rsidP="00046164">
      <w:pPr>
        <w:rPr>
          <w:szCs w:val="24"/>
        </w:rPr>
      </w:pPr>
      <w:r w:rsidRPr="00046164">
        <w:rPr>
          <w:szCs w:val="24"/>
        </w:rPr>
        <w:t>Разходите за издръжка нарастват и номинално – с близо 1 млрд. лв., и к</w:t>
      </w:r>
      <w:r w:rsidR="00C707B7" w:rsidRPr="00046164">
        <w:rPr>
          <w:szCs w:val="24"/>
        </w:rPr>
        <w:t>ато относителен дял в БВП – с 0.</w:t>
      </w:r>
      <w:r w:rsidRPr="00046164">
        <w:rPr>
          <w:szCs w:val="24"/>
        </w:rPr>
        <w:t xml:space="preserve">2 </w:t>
      </w:r>
      <w:r w:rsidR="008438DF">
        <w:rPr>
          <w:szCs w:val="24"/>
        </w:rPr>
        <w:t>пр.п.</w:t>
      </w:r>
      <w:r w:rsidRPr="00046164">
        <w:rPr>
          <w:szCs w:val="24"/>
        </w:rPr>
        <w:t xml:space="preserve">, като основната причина са допълнителните средства за закупуване на медикаменти, ваксини, дезинфектанти, лични предпазни средства, консумативи, медицински изделия и други, свързани с пандемията от </w:t>
      </w:r>
      <w:r w:rsidRPr="00046164">
        <w:rPr>
          <w:szCs w:val="24"/>
          <w:lang w:val="en-US"/>
        </w:rPr>
        <w:t>COVID-19</w:t>
      </w:r>
      <w:r w:rsidRPr="00046164">
        <w:rPr>
          <w:szCs w:val="24"/>
        </w:rPr>
        <w:t xml:space="preserve">. </w:t>
      </w:r>
    </w:p>
    <w:p w14:paraId="37E09C44" w14:textId="0AE274F6" w:rsidR="00424201" w:rsidRPr="00046164" w:rsidRDefault="00424201" w:rsidP="004018C2">
      <w:r w:rsidRPr="00046164">
        <w:t>Размерът на социалните трансфери като отно</w:t>
      </w:r>
      <w:r w:rsidR="00C707B7" w:rsidRPr="00046164">
        <w:t>сителен дял от БВП нараства с 0.</w:t>
      </w:r>
      <w:r w:rsidRPr="00046164">
        <w:t xml:space="preserve">8 </w:t>
      </w:r>
      <w:r w:rsidR="008438DF">
        <w:t>пр.п.</w:t>
      </w:r>
      <w:r w:rsidRPr="00046164">
        <w:t>, като в номинално изражение това са близо 3 млрд. лв. При социалните трансфери в натура, където се отразяват плащанията към изпълнителите на медицинска помощ, номиналното увеличение е с над 460 млн. лв., а делът на изразходваните средства в БВП се запазва почти непроменен в сравн</w:t>
      </w:r>
      <w:r w:rsidR="00C707B7" w:rsidRPr="00046164">
        <w:t>ение с 2020</w:t>
      </w:r>
      <w:r w:rsidR="00DF07FD">
        <w:t> г.</w:t>
      </w:r>
      <w:r w:rsidR="00C707B7" w:rsidRPr="00046164">
        <w:t xml:space="preserve"> – увеличение с 0.</w:t>
      </w:r>
      <w:r w:rsidRPr="00046164">
        <w:t xml:space="preserve">1 </w:t>
      </w:r>
      <w:r w:rsidR="008438DF">
        <w:t>пр.п.</w:t>
      </w:r>
      <w:r w:rsidRPr="00046164">
        <w:t xml:space="preserve"> Това отразява напрегната през цялата 2021</w:t>
      </w:r>
      <w:r w:rsidR="00DF07FD">
        <w:t> г.</w:t>
      </w:r>
      <w:r w:rsidRPr="00046164">
        <w:t xml:space="preserve"> ситуация с коронавируса, когато здравната система продължи действията си за справяне с пандемията и се изправи пред поредица от нови вълни на разпространение на заразата. </w:t>
      </w:r>
      <w:r w:rsidR="00304828" w:rsidRPr="00046164">
        <w:rPr>
          <w:szCs w:val="24"/>
        </w:rPr>
        <w:t xml:space="preserve">Освен нарастване на разходите, конкретно свързани с </w:t>
      </w:r>
      <w:r w:rsidR="00304828" w:rsidRPr="00046164">
        <w:rPr>
          <w:szCs w:val="24"/>
        </w:rPr>
        <w:lastRenderedPageBreak/>
        <w:t>лекуване на пациенти с коронавирусната инфекция и на такива със съпътстващи усложнения</w:t>
      </w:r>
      <w:r w:rsidR="00304828" w:rsidRPr="001073FB">
        <w:rPr>
          <w:szCs w:val="24"/>
        </w:rPr>
        <w:t>.</w:t>
      </w:r>
      <w:r w:rsidR="00304828" w:rsidRPr="001073FB">
        <w:t xml:space="preserve"> Също така имаше нарастване на цените на част от клиничните пътеки.</w:t>
      </w:r>
      <w:r w:rsidR="00304828" w:rsidRPr="00046164">
        <w:rPr>
          <w:szCs w:val="24"/>
        </w:rPr>
        <w:t xml:space="preserve"> </w:t>
      </w:r>
      <w:r w:rsidRPr="00046164">
        <w:t xml:space="preserve">Другата категория социални трансфери, различни от тези в натура, отразяват извършените социални плащания за пенсии, помощи и обезщетения на домакинствата, като </w:t>
      </w:r>
      <w:r w:rsidR="00C707B7" w:rsidRPr="00046164">
        <w:t>делът им в БВП се увеличава с 0.</w:t>
      </w:r>
      <w:r w:rsidRPr="00046164">
        <w:t xml:space="preserve">7 </w:t>
      </w:r>
      <w:r w:rsidR="008438DF">
        <w:t>пр.п.</w:t>
      </w:r>
      <w:r w:rsidRPr="00046164">
        <w:t xml:space="preserve"> спрямо 2020</w:t>
      </w:r>
      <w:r w:rsidR="00DF07FD">
        <w:t> г.</w:t>
      </w:r>
      <w:r w:rsidRPr="00046164">
        <w:t xml:space="preserve"> Тук се отчита нарастването на разходите за пенсии, дължащо се на извършено осъвременяването н</w:t>
      </w:r>
      <w:r w:rsidR="00C707B7" w:rsidRPr="00046164">
        <w:t>а всички пенсии с 5.</w:t>
      </w:r>
      <w:r w:rsidRPr="00046164">
        <w:t>0</w:t>
      </w:r>
      <w:r w:rsidR="000F033A" w:rsidRPr="00046164">
        <w:t>%</w:t>
      </w:r>
      <w:r w:rsidRPr="00046164">
        <w:t xml:space="preserve"> от 1 юли 2021</w:t>
      </w:r>
      <w:r w:rsidR="00DF07FD">
        <w:t> г.</w:t>
      </w:r>
      <w:r w:rsidRPr="00046164">
        <w:t>, увеличението от 1 януари 2021</w:t>
      </w:r>
      <w:r w:rsidR="00DF07FD">
        <w:t> г.</w:t>
      </w:r>
      <w:r w:rsidR="00BD2C3E">
        <w:t xml:space="preserve"> </w:t>
      </w:r>
      <w:r w:rsidRPr="00046164">
        <w:t>на минималната пенсия от 250 лв. на 300 лв. и на максималната от 1 200 на 1 440 лв., плащането на месечна добавка към всички пенсии по 50 лв. в периода януари-септември и по 120 лв. в периода октомври-декември 2021</w:t>
      </w:r>
      <w:r w:rsidR="00DF07FD">
        <w:t> г.</w:t>
      </w:r>
      <w:r w:rsidRPr="00046164">
        <w:t xml:space="preserve"> и др. При разходите за социални трансфери и помощи за домакинствата се отчита увеличение на сумите по обезщетенията за временна нетрудоспособност поради общо заболяване, гледане на болен член от семейството и карантина; обезщетенията за отглеждане на малко дете; помощите по линия на социалното подпомагане и семейните помощи за деца.</w:t>
      </w:r>
    </w:p>
    <w:p w14:paraId="3ED7BE2F" w14:textId="4BB856C7" w:rsidR="00424201" w:rsidRPr="00046164" w:rsidRDefault="00C707B7" w:rsidP="00046164">
      <w:pPr>
        <w:rPr>
          <w:szCs w:val="24"/>
        </w:rPr>
      </w:pPr>
      <w:r w:rsidRPr="00046164">
        <w:rPr>
          <w:szCs w:val="24"/>
        </w:rPr>
        <w:t>Субсидиите нарастват с 0.</w:t>
      </w:r>
      <w:r w:rsidR="00424201" w:rsidRPr="00046164">
        <w:rPr>
          <w:szCs w:val="24"/>
        </w:rPr>
        <w:t xml:space="preserve">4 </w:t>
      </w:r>
      <w:r w:rsidR="008438DF">
        <w:rPr>
          <w:szCs w:val="24"/>
        </w:rPr>
        <w:t>пр.п.</w:t>
      </w:r>
      <w:r w:rsidR="00424201" w:rsidRPr="00046164">
        <w:rPr>
          <w:szCs w:val="24"/>
        </w:rPr>
        <w:t xml:space="preserve"> спрямо предходната година, като основната причина за това са изплатените средства в сферата на енергетиката, както и целогодишното изплащане на средствата за запазване на заетостта по т. нар. мярка „60/40“ и нейните видоизменения.</w:t>
      </w:r>
    </w:p>
    <w:p w14:paraId="75A7F6F9" w14:textId="666DB81C" w:rsidR="00424201" w:rsidRPr="00046164" w:rsidRDefault="00424201" w:rsidP="00046164">
      <w:pPr>
        <w:rPr>
          <w:szCs w:val="24"/>
        </w:rPr>
      </w:pPr>
      <w:r w:rsidRPr="00046164">
        <w:rPr>
          <w:szCs w:val="24"/>
        </w:rPr>
        <w:t>При капиталовите разходи се отчита спад както при бруто образу</w:t>
      </w:r>
      <w:r w:rsidR="007C666F" w:rsidRPr="00046164">
        <w:rPr>
          <w:szCs w:val="24"/>
        </w:rPr>
        <w:t>ването на основен капитал – с 0.</w:t>
      </w:r>
      <w:r w:rsidRPr="00046164">
        <w:rPr>
          <w:szCs w:val="24"/>
        </w:rPr>
        <w:t xml:space="preserve">5 </w:t>
      </w:r>
      <w:r w:rsidR="008438DF">
        <w:rPr>
          <w:szCs w:val="24"/>
        </w:rPr>
        <w:t>пр.п.</w:t>
      </w:r>
      <w:r w:rsidRPr="00046164">
        <w:rPr>
          <w:szCs w:val="24"/>
        </w:rPr>
        <w:t>, така и при останалите елемент</w:t>
      </w:r>
      <w:r w:rsidR="007C666F" w:rsidRPr="00046164">
        <w:rPr>
          <w:szCs w:val="24"/>
        </w:rPr>
        <w:t>и на капиталовите разходи – с 0.</w:t>
      </w:r>
      <w:r w:rsidRPr="00046164">
        <w:rPr>
          <w:szCs w:val="24"/>
        </w:rPr>
        <w:t xml:space="preserve">6 </w:t>
      </w:r>
      <w:r w:rsidR="008438DF">
        <w:rPr>
          <w:szCs w:val="24"/>
        </w:rPr>
        <w:t>пр.п.</w:t>
      </w:r>
      <w:r w:rsidRPr="00046164">
        <w:rPr>
          <w:szCs w:val="24"/>
        </w:rPr>
        <w:t xml:space="preserve"> Номиналното намаление на к</w:t>
      </w:r>
      <w:r w:rsidR="007C666F" w:rsidRPr="00046164">
        <w:rPr>
          <w:szCs w:val="24"/>
        </w:rPr>
        <w:t>апиталовите разходи е с около 0.</w:t>
      </w:r>
      <w:r w:rsidRPr="00046164">
        <w:rPr>
          <w:szCs w:val="24"/>
        </w:rPr>
        <w:t xml:space="preserve">8 млрд. лв. Намалението на капиталовите разходи се обуславя от промените в икономическата ситуация в страната и в резултат на това променените приоритети в бюджетната политика през годината. Възникналата необходимост от допълнителни средства за борбата с пандемията от </w:t>
      </w:r>
      <w:r w:rsidRPr="00046164">
        <w:rPr>
          <w:szCs w:val="24"/>
          <w:lang w:val="en-US"/>
        </w:rPr>
        <w:t>COVID</w:t>
      </w:r>
      <w:r w:rsidRPr="00046164">
        <w:rPr>
          <w:szCs w:val="24"/>
        </w:rPr>
        <w:t>-19 и за компенсиране на бизнеса за нарасналите цени на електроенергията доведе до преструктуриране на разходните към сфери, в които възникна спешна нужда от допълнителни разходи. Част от инвестиционните проекти бяха забавени поради необходимост от анализ до каква степен е спазено относимото законодателство по отношение на възлагането на обществени поръчки, съответно законосъобразно ли са сключени договорите с избраните изпълнители и други. Същевременно забавянето при одобряването на Плана за възстановяване и развитие на България и все още течащият процес по договаряне на новите програми и проекти от новия програмен период 2021</w:t>
      </w:r>
      <w:r w:rsidR="008010F6">
        <w:rPr>
          <w:rFonts w:cstheme="minorHAnsi"/>
          <w:lang w:val="en-US"/>
        </w:rPr>
        <w:t>–</w:t>
      </w:r>
      <w:r w:rsidRPr="00046164">
        <w:rPr>
          <w:szCs w:val="24"/>
        </w:rPr>
        <w:t>2027</w:t>
      </w:r>
      <w:r w:rsidR="00DF07FD">
        <w:rPr>
          <w:szCs w:val="24"/>
        </w:rPr>
        <w:t> г.</w:t>
      </w:r>
      <w:r w:rsidRPr="00046164">
        <w:rPr>
          <w:szCs w:val="24"/>
        </w:rPr>
        <w:t xml:space="preserve"> също оказват влияние за намаления обем на капиталовите разходи. </w:t>
      </w:r>
    </w:p>
    <w:p w14:paraId="70DB7C55" w14:textId="203F1D60" w:rsidR="00AB1E46" w:rsidRPr="00046164" w:rsidRDefault="00424201" w:rsidP="00046164">
      <w:pPr>
        <w:rPr>
          <w:szCs w:val="24"/>
        </w:rPr>
      </w:pPr>
      <w:r w:rsidRPr="00046164">
        <w:rPr>
          <w:szCs w:val="24"/>
        </w:rPr>
        <w:t>През 2021</w:t>
      </w:r>
      <w:r w:rsidR="00DF07FD">
        <w:rPr>
          <w:szCs w:val="24"/>
        </w:rPr>
        <w:t> г.</w:t>
      </w:r>
      <w:r w:rsidRPr="00046164">
        <w:rPr>
          <w:szCs w:val="24"/>
        </w:rPr>
        <w:t xml:space="preserve"> разходите за лихви запазват непроменен в сравнение</w:t>
      </w:r>
      <w:r w:rsidR="007C666F" w:rsidRPr="00046164">
        <w:rPr>
          <w:szCs w:val="24"/>
        </w:rPr>
        <w:t xml:space="preserve"> 2020</w:t>
      </w:r>
      <w:r w:rsidR="00DF07FD">
        <w:rPr>
          <w:szCs w:val="24"/>
        </w:rPr>
        <w:t> г.</w:t>
      </w:r>
      <w:r w:rsidR="007C666F" w:rsidRPr="00046164">
        <w:rPr>
          <w:szCs w:val="24"/>
        </w:rPr>
        <w:t xml:space="preserve"> дела си спрямо БВП – 0.</w:t>
      </w:r>
      <w:r w:rsidRPr="00046164">
        <w:rPr>
          <w:szCs w:val="24"/>
        </w:rPr>
        <w:t>5</w:t>
      </w:r>
      <w:r w:rsidR="000F033A" w:rsidRPr="00046164">
        <w:rPr>
          <w:szCs w:val="24"/>
        </w:rPr>
        <w:t>%</w:t>
      </w:r>
      <w:r w:rsidRPr="00046164">
        <w:rPr>
          <w:szCs w:val="24"/>
        </w:rPr>
        <w:t>.</w:t>
      </w:r>
    </w:p>
    <w:p w14:paraId="2F3DC1BE" w14:textId="0C6063B7" w:rsidR="00AB1E46" w:rsidRPr="004018C2" w:rsidRDefault="00AB1E46" w:rsidP="004018C2">
      <w:pPr>
        <w:pStyle w:val="Heading3"/>
      </w:pPr>
      <w:r w:rsidRPr="004018C2">
        <w:t>Мерки за борба с пандемията от COVID-19 през 202</w:t>
      </w:r>
      <w:r w:rsidR="00266746">
        <w:t>1</w:t>
      </w:r>
      <w:r w:rsidR="00DF07FD">
        <w:t> г.</w:t>
      </w:r>
    </w:p>
    <w:p w14:paraId="66C3665C" w14:textId="77777777" w:rsidR="00304828" w:rsidRPr="00046164" w:rsidRDefault="00304828" w:rsidP="00304828">
      <w:pPr>
        <w:contextualSpacing/>
        <w:rPr>
          <w:szCs w:val="24"/>
        </w:rPr>
      </w:pPr>
      <w:r w:rsidRPr="00046164">
        <w:rPr>
          <w:szCs w:val="24"/>
        </w:rPr>
        <w:t xml:space="preserve">На база на данните за размера на средствата за 2021 г. по мерките, свързани с усилията за ограничаване и овладяване на пандемията от COVID-19, както и социалните и икономическите мерки за намаляване на последствията за населението и бизнеса, може да се обобщи, че по линия на националния бюджет (вкл. националното съфинансиране по програмите и фондовете на ЕС) са мобилизирани безпрецедентни по размер ресурси. Данните на НСИ за 2021 г. сочат, че в хода на извънредната епидемична обстановка, действала през цялата година без прекъсване, </w:t>
      </w:r>
      <w:r>
        <w:rPr>
          <w:szCs w:val="24"/>
        </w:rPr>
        <w:t xml:space="preserve">мерките по линия на </w:t>
      </w:r>
      <w:r w:rsidRPr="00046164">
        <w:rPr>
          <w:szCs w:val="24"/>
        </w:rPr>
        <w:t xml:space="preserve"> приходи</w:t>
      </w:r>
      <w:r>
        <w:rPr>
          <w:szCs w:val="24"/>
        </w:rPr>
        <w:t>те</w:t>
      </w:r>
      <w:r w:rsidRPr="00046164">
        <w:rPr>
          <w:szCs w:val="24"/>
        </w:rPr>
        <w:t xml:space="preserve"> и извършените разходи </w:t>
      </w:r>
      <w:r>
        <w:rPr>
          <w:szCs w:val="24"/>
        </w:rPr>
        <w:t xml:space="preserve"> от</w:t>
      </w:r>
      <w:r w:rsidRPr="00046164">
        <w:rPr>
          <w:szCs w:val="24"/>
        </w:rPr>
        <w:t xml:space="preserve"> националния бюджет за изпълнение на мерки и фискални стимули за овладяване на пандемията от COVID-19 и последствията от нея са в размер на около 6.1 млрд. лв., което представлява 4.6% от БВП. Ресурсът за 2021 г. значително надвишава този за 2020 г., когато извършените разходи и фискалните стимули за мерки срещу пандемията възлизаха на 3.8 млрд. лв. (3.2% от БВП).</w:t>
      </w:r>
    </w:p>
    <w:p w14:paraId="010560A7" w14:textId="2FE5DFBA" w:rsidR="00424201" w:rsidRPr="00046164" w:rsidRDefault="00424201" w:rsidP="004018C2">
      <w:pPr>
        <w:pStyle w:val="Heading4"/>
      </w:pPr>
      <w:r w:rsidRPr="00046164">
        <w:lastRenderedPageBreak/>
        <w:t>Мерки в частта на приходите</w:t>
      </w:r>
      <w:r w:rsidR="001454AE">
        <w:t xml:space="preserve"> </w:t>
      </w:r>
    </w:p>
    <w:p w14:paraId="46598829" w14:textId="06FD7709" w:rsidR="00424201" w:rsidRPr="00046164" w:rsidRDefault="00424201" w:rsidP="00046164">
      <w:pPr>
        <w:ind w:right="-43"/>
        <w:rPr>
          <w:szCs w:val="24"/>
        </w:rPr>
      </w:pPr>
      <w:r w:rsidRPr="00046164">
        <w:rPr>
          <w:szCs w:val="24"/>
        </w:rPr>
        <w:t>В условията на действаща извънредна епидемична обстановка във връзка с разпространението на COVID-19</w:t>
      </w:r>
      <w:r w:rsidRPr="00046164">
        <w:rPr>
          <w:szCs w:val="24"/>
          <w:lang w:val="ru-RU"/>
        </w:rPr>
        <w:t>,</w:t>
      </w:r>
      <w:r w:rsidRPr="00046164">
        <w:rPr>
          <w:szCs w:val="24"/>
        </w:rPr>
        <w:t xml:space="preserve"> през цялата 2021</w:t>
      </w:r>
      <w:r w:rsidR="00DF07FD">
        <w:rPr>
          <w:szCs w:val="24"/>
        </w:rPr>
        <w:t> г.</w:t>
      </w:r>
      <w:r w:rsidRPr="00046164">
        <w:rPr>
          <w:szCs w:val="24"/>
        </w:rPr>
        <w:t xml:space="preserve"> продължи прилагането на приетите през предходната година</w:t>
      </w:r>
      <w:r w:rsidRPr="00046164">
        <w:rPr>
          <w:szCs w:val="24"/>
          <w:lang w:val="ru-RU"/>
        </w:rPr>
        <w:t xml:space="preserve"> </w:t>
      </w:r>
      <w:r w:rsidRPr="00046164">
        <w:rPr>
          <w:szCs w:val="24"/>
        </w:rPr>
        <w:t xml:space="preserve">мерки, свързани с прилагане на намалена ставка за ДДС на определени стоки и услуги от 20% на 9%, прилагане на освобождаване от облагане с мита и ДДС върху вноса на стоки от медицински характер и увеличаване на размера на данъчните облекчения за деца (чл. 22в и чл. 22г от </w:t>
      </w:r>
      <w:r w:rsidR="009D5B59">
        <w:rPr>
          <w:szCs w:val="24"/>
        </w:rPr>
        <w:t xml:space="preserve">закона за </w:t>
      </w:r>
      <w:r w:rsidR="009D5B59" w:rsidRPr="00F17398">
        <w:rPr>
          <w:szCs w:val="24"/>
        </w:rPr>
        <w:t xml:space="preserve">данъците върху доходите на физическите лица </w:t>
      </w:r>
      <w:r w:rsidR="009D5B59">
        <w:rPr>
          <w:szCs w:val="24"/>
        </w:rPr>
        <w:t>(</w:t>
      </w:r>
      <w:r w:rsidRPr="00046164">
        <w:rPr>
          <w:szCs w:val="24"/>
        </w:rPr>
        <w:t>ЗДДФЛ</w:t>
      </w:r>
      <w:r w:rsidR="009D5B59">
        <w:rPr>
          <w:szCs w:val="24"/>
          <w:lang w:val="en-US"/>
        </w:rPr>
        <w:t>)</w:t>
      </w:r>
      <w:r w:rsidRPr="00046164">
        <w:rPr>
          <w:szCs w:val="24"/>
        </w:rPr>
        <w:t>) за придобитите през 2021</w:t>
      </w:r>
      <w:r w:rsidR="00DF07FD">
        <w:rPr>
          <w:szCs w:val="24"/>
        </w:rPr>
        <w:t> г.</w:t>
      </w:r>
      <w:r w:rsidRPr="00046164">
        <w:rPr>
          <w:szCs w:val="24"/>
        </w:rPr>
        <w:t xml:space="preserve"> доходи. С промени в ЗДДС</w:t>
      </w:r>
      <w:r w:rsidR="00BD2C3E">
        <w:rPr>
          <w:szCs w:val="24"/>
        </w:rPr>
        <w:t xml:space="preserve"> </w:t>
      </w:r>
      <w:r w:rsidRPr="00046164">
        <w:rPr>
          <w:szCs w:val="24"/>
        </w:rPr>
        <w:t>беше прието облагане с нулева ставка на доставките на ваксини срещу COVID-19 и услугите, пряко свързани с тези ваксини, както и на медицински изделия за инвитро диагностика на COVID-19 и услугите, пряко свързани с тези изделия, с място на изпълнение на територията на страната. Това данъчно третиране се прилага и по отношение на вътреобщностните придобивания с място на изпълнение на територията на страната на тези стоки. Облекченията са с временен характер и ще се прилагат до 31.12.2022 година.</w:t>
      </w:r>
    </w:p>
    <w:p w14:paraId="73C96E26" w14:textId="73079E39" w:rsidR="00424201" w:rsidRPr="00046164" w:rsidRDefault="00424201" w:rsidP="00046164">
      <w:pPr>
        <w:ind w:right="-43"/>
        <w:rPr>
          <w:szCs w:val="24"/>
        </w:rPr>
      </w:pPr>
      <w:r w:rsidRPr="00046164">
        <w:rPr>
          <w:szCs w:val="24"/>
        </w:rPr>
        <w:t>По предварителни данни на приходните агенции ефектът от действието на мерките през изм</w:t>
      </w:r>
      <w:r w:rsidR="00BA2CBD" w:rsidRPr="00046164">
        <w:rPr>
          <w:szCs w:val="24"/>
        </w:rPr>
        <w:t>иналата 2021</w:t>
      </w:r>
      <w:r w:rsidR="00DF07FD">
        <w:rPr>
          <w:szCs w:val="24"/>
        </w:rPr>
        <w:t> г.</w:t>
      </w:r>
      <w:r w:rsidR="00BA2CBD" w:rsidRPr="00046164">
        <w:rPr>
          <w:szCs w:val="24"/>
        </w:rPr>
        <w:t xml:space="preserve"> се оценява на 0.</w:t>
      </w:r>
      <w:r w:rsidRPr="00046164">
        <w:rPr>
          <w:szCs w:val="24"/>
          <w:lang w:val="en-US"/>
        </w:rPr>
        <w:t>5</w:t>
      </w:r>
      <w:r w:rsidRPr="00046164">
        <w:rPr>
          <w:szCs w:val="24"/>
        </w:rPr>
        <w:t xml:space="preserve"> млрд. </w:t>
      </w:r>
      <w:r w:rsidR="00BA2CBD" w:rsidRPr="00046164">
        <w:rPr>
          <w:szCs w:val="24"/>
        </w:rPr>
        <w:t>лв. по-малко данъчни приходи (0.</w:t>
      </w:r>
      <w:r w:rsidRPr="00046164">
        <w:rPr>
          <w:szCs w:val="24"/>
        </w:rPr>
        <w:t>4</w:t>
      </w:r>
      <w:r w:rsidR="000F033A" w:rsidRPr="00046164">
        <w:rPr>
          <w:szCs w:val="24"/>
        </w:rPr>
        <w:t>%</w:t>
      </w:r>
      <w:r w:rsidRPr="00046164">
        <w:rPr>
          <w:szCs w:val="24"/>
        </w:rPr>
        <w:t xml:space="preserve"> от БВП).</w:t>
      </w:r>
    </w:p>
    <w:p w14:paraId="1193AAA2" w14:textId="77777777" w:rsidR="00424201" w:rsidRPr="00046164" w:rsidRDefault="00424201" w:rsidP="004018C2">
      <w:pPr>
        <w:pStyle w:val="Heading4"/>
      </w:pPr>
      <w:r w:rsidRPr="00046164">
        <w:t>Мерки в частта на разходите</w:t>
      </w:r>
    </w:p>
    <w:p w14:paraId="6905C205" w14:textId="7496499E" w:rsidR="00424201" w:rsidRPr="00046164" w:rsidRDefault="00424201" w:rsidP="00046164">
      <w:pPr>
        <w:contextualSpacing/>
        <w:rPr>
          <w:szCs w:val="24"/>
        </w:rPr>
      </w:pPr>
      <w:r w:rsidRPr="00046164">
        <w:rPr>
          <w:szCs w:val="24"/>
        </w:rPr>
        <w:t>По предварителни данни общият размер на и</w:t>
      </w:r>
      <w:r w:rsidR="00BA2CBD" w:rsidRPr="00046164">
        <w:rPr>
          <w:szCs w:val="24"/>
        </w:rPr>
        <w:t>звършените разходи възлиза на 5.6 млрд. лв. (4.</w:t>
      </w:r>
      <w:r w:rsidRPr="00046164">
        <w:rPr>
          <w:szCs w:val="24"/>
        </w:rPr>
        <w:t>2</w:t>
      </w:r>
      <w:r w:rsidR="000F033A" w:rsidRPr="00046164">
        <w:rPr>
          <w:szCs w:val="24"/>
        </w:rPr>
        <w:t>%</w:t>
      </w:r>
      <w:r w:rsidRPr="00046164">
        <w:rPr>
          <w:szCs w:val="24"/>
        </w:rPr>
        <w:t xml:space="preserve"> от БВП). Основните категории разходни мерки, предприети за ограничаване на негативните социално-икономически последствия от пандемията и за борба с разпространението и за лечение на болните от </w:t>
      </w:r>
      <w:r w:rsidRPr="00046164">
        <w:rPr>
          <w:szCs w:val="24"/>
          <w:lang w:val="en-US"/>
        </w:rPr>
        <w:t xml:space="preserve">COVID-19 </w:t>
      </w:r>
      <w:r w:rsidRPr="00046164">
        <w:rPr>
          <w:szCs w:val="24"/>
        </w:rPr>
        <w:t>през 202</w:t>
      </w:r>
      <w:r w:rsidRPr="00046164">
        <w:rPr>
          <w:szCs w:val="24"/>
          <w:lang w:val="en-US"/>
        </w:rPr>
        <w:t>1</w:t>
      </w:r>
      <w:r w:rsidR="00DF07FD">
        <w:rPr>
          <w:szCs w:val="24"/>
        </w:rPr>
        <w:t> г.</w:t>
      </w:r>
      <w:r w:rsidRPr="00046164">
        <w:rPr>
          <w:szCs w:val="24"/>
        </w:rPr>
        <w:t>, са както следва:</w:t>
      </w:r>
    </w:p>
    <w:p w14:paraId="1CF12A5C" w14:textId="0446307E" w:rsidR="00424201" w:rsidRPr="00046164" w:rsidRDefault="00424201" w:rsidP="009A3730">
      <w:pPr>
        <w:pStyle w:val="Heading5"/>
        <w:numPr>
          <w:ilvl w:val="0"/>
          <w:numId w:val="0"/>
        </w:numPr>
      </w:pPr>
      <w:r w:rsidRPr="00046164">
        <w:t>Мерки в помощ на домакинствата и социално уязвимите групи от населен</w:t>
      </w:r>
      <w:r w:rsidR="00BA2CBD" w:rsidRPr="00046164">
        <w:t>ието:</w:t>
      </w:r>
    </w:p>
    <w:p w14:paraId="6AF2DE84" w14:textId="1CA25EE6" w:rsidR="00424201" w:rsidRPr="00046164" w:rsidRDefault="00424201" w:rsidP="005F0B57">
      <w:pPr>
        <w:pStyle w:val="ListParagraph"/>
        <w:numPr>
          <w:ilvl w:val="0"/>
          <w:numId w:val="10"/>
        </w:numPr>
        <w:tabs>
          <w:tab w:val="clear" w:pos="680"/>
        </w:tabs>
        <w:ind w:left="567" w:hanging="283"/>
        <w:rPr>
          <w:szCs w:val="24"/>
        </w:rPr>
      </w:pPr>
      <w:r w:rsidRPr="00046164">
        <w:rPr>
          <w:szCs w:val="24"/>
        </w:rPr>
        <w:t>с най-голям дял са разходите по мерките, одобрени от правителството като част от социално-икономическия пакет в отговор на епидемичната криза за подкрепа на пенсионерите, които са част от най-уязвимите от разпространението на COVID-19 групи</w:t>
      </w:r>
      <w:r w:rsidRPr="00046164">
        <w:rPr>
          <w:szCs w:val="24"/>
          <w:lang w:val="ru-RU"/>
        </w:rPr>
        <w:t xml:space="preserve"> и включват</w:t>
      </w:r>
      <w:r w:rsidRPr="00046164">
        <w:rPr>
          <w:szCs w:val="24"/>
        </w:rPr>
        <w:t xml:space="preserve"> изплащане на допълнителни суми към пенсиите на всички пенсионери. В изпълнение на параграф 6, ал. 1 и 2 от преходните и заключителни разпоредби на ЗБДОО за 2021</w:t>
      </w:r>
      <w:r w:rsidR="00DF07FD">
        <w:rPr>
          <w:szCs w:val="24"/>
        </w:rPr>
        <w:t> г.</w:t>
      </w:r>
      <w:r w:rsidRPr="00046164">
        <w:rPr>
          <w:szCs w:val="24"/>
        </w:rPr>
        <w:t>, ПМС № 84 от 11 март 2021</w:t>
      </w:r>
      <w:r w:rsidR="00DF07FD">
        <w:rPr>
          <w:szCs w:val="24"/>
        </w:rPr>
        <w:t> г.</w:t>
      </w:r>
      <w:r w:rsidRPr="00046164">
        <w:rPr>
          <w:szCs w:val="24"/>
        </w:rPr>
        <w:t>, ПМС № 168 от 22 април 2021</w:t>
      </w:r>
      <w:r w:rsidR="00DF07FD">
        <w:rPr>
          <w:szCs w:val="24"/>
        </w:rPr>
        <w:t> г.</w:t>
      </w:r>
      <w:r w:rsidRPr="00046164">
        <w:rPr>
          <w:szCs w:val="24"/>
        </w:rPr>
        <w:t>, ПМС № 192 от 27 май 2021</w:t>
      </w:r>
      <w:r w:rsidR="00DF07FD">
        <w:rPr>
          <w:szCs w:val="24"/>
        </w:rPr>
        <w:t> г.</w:t>
      </w:r>
      <w:r w:rsidRPr="00046164">
        <w:rPr>
          <w:szCs w:val="24"/>
        </w:rPr>
        <w:t>, ПМС № 204 от 23 юни 2021</w:t>
      </w:r>
      <w:r w:rsidR="00DF07FD">
        <w:rPr>
          <w:szCs w:val="24"/>
        </w:rPr>
        <w:t> г.</w:t>
      </w:r>
      <w:r w:rsidRPr="00046164">
        <w:rPr>
          <w:szCs w:val="24"/>
        </w:rPr>
        <w:t xml:space="preserve"> и ПМС № 242 от 22 юли 2021</w:t>
      </w:r>
      <w:r w:rsidR="00DF07FD">
        <w:rPr>
          <w:szCs w:val="24"/>
        </w:rPr>
        <w:t> г.</w:t>
      </w:r>
      <w:r w:rsidRPr="00046164">
        <w:rPr>
          <w:szCs w:val="24"/>
        </w:rPr>
        <w:t>, за периода януари</w:t>
      </w:r>
      <w:r w:rsidR="00DF07FD">
        <w:rPr>
          <w:szCs w:val="24"/>
        </w:rPr>
        <w:t xml:space="preserve"> – </w:t>
      </w:r>
      <w:r w:rsidRPr="00046164">
        <w:rPr>
          <w:szCs w:val="24"/>
        </w:rPr>
        <w:t>декември са изплатени допълнителни суми към пенсиите на всички пенсионери, без оглед на размера на получаваната пенсия</w:t>
      </w:r>
      <w:r w:rsidR="00DF07FD">
        <w:rPr>
          <w:szCs w:val="24"/>
        </w:rPr>
        <w:t xml:space="preserve"> – </w:t>
      </w:r>
      <w:r w:rsidRPr="00046164">
        <w:rPr>
          <w:szCs w:val="24"/>
        </w:rPr>
        <w:t xml:space="preserve">по 50 лв. </w:t>
      </w:r>
      <w:r w:rsidRPr="00046164">
        <w:rPr>
          <w:rFonts w:eastAsia="Calibri"/>
          <w:szCs w:val="24"/>
        </w:rPr>
        <w:t>за месеците от януари до септември и по 120 лева за месеците октомври, ноември и декември</w:t>
      </w:r>
      <w:r w:rsidRPr="00046164">
        <w:rPr>
          <w:szCs w:val="24"/>
        </w:rPr>
        <w:t xml:space="preserve"> 2021</w:t>
      </w:r>
      <w:r w:rsidR="00DF07FD">
        <w:rPr>
          <w:szCs w:val="24"/>
        </w:rPr>
        <w:t> г.</w:t>
      </w:r>
      <w:r w:rsidRPr="00046164">
        <w:rPr>
          <w:szCs w:val="24"/>
          <w:lang w:val="ru-RU"/>
        </w:rPr>
        <w:t xml:space="preserve"> Също така на пенсионерите със</w:t>
      </w:r>
      <w:r w:rsidRPr="00046164">
        <w:rPr>
          <w:szCs w:val="24"/>
        </w:rPr>
        <w:t xml:space="preserve"> завършен ваксинационен курс или поставена бустерна доза срещу COVID-19 се изплаща сумата от 75 лева. Общият размер на средствата по тези мерки е 1 747 млн. лв.</w:t>
      </w:r>
    </w:p>
    <w:p w14:paraId="024F58A8" w14:textId="12EC3624" w:rsidR="00424201" w:rsidRPr="00046164" w:rsidRDefault="00424201" w:rsidP="005F0B57">
      <w:pPr>
        <w:pStyle w:val="ListParagraph"/>
        <w:numPr>
          <w:ilvl w:val="0"/>
          <w:numId w:val="10"/>
        </w:numPr>
        <w:tabs>
          <w:tab w:val="clear" w:pos="680"/>
        </w:tabs>
        <w:ind w:left="567" w:hanging="283"/>
        <w:rPr>
          <w:szCs w:val="24"/>
        </w:rPr>
      </w:pPr>
      <w:r w:rsidRPr="00046164">
        <w:rPr>
          <w:szCs w:val="24"/>
        </w:rPr>
        <w:t>по мярката „Увеличаване на разходите за краткосрочни обезщетения и помощи“ от 01.01 до 31.12.2021</w:t>
      </w:r>
      <w:r w:rsidR="00DF07FD">
        <w:rPr>
          <w:szCs w:val="24"/>
        </w:rPr>
        <w:t> г.</w:t>
      </w:r>
      <w:r w:rsidRPr="00046164">
        <w:rPr>
          <w:szCs w:val="24"/>
        </w:rPr>
        <w:t xml:space="preserve"> са изплатени 278 млн. лв. за парични обезщетения за безработица, възникнал поради по-големия брой регистрирани безработни лица, както за изплащане на парични обезщетения за временна неработоспособност на лица, заразили се с COVID</w:t>
      </w:r>
      <w:r w:rsidRPr="00046164">
        <w:rPr>
          <w:szCs w:val="24"/>
          <w:lang w:val="ru-RU"/>
        </w:rPr>
        <w:t xml:space="preserve">-19 </w:t>
      </w:r>
      <w:r w:rsidRPr="00046164">
        <w:rPr>
          <w:szCs w:val="24"/>
        </w:rPr>
        <w:t>и на лица, карантинирани поради близък контакт със заразен с COVID</w:t>
      </w:r>
      <w:r w:rsidRPr="00046164">
        <w:rPr>
          <w:szCs w:val="24"/>
          <w:lang w:val="ru-RU"/>
        </w:rPr>
        <w:t>-19.</w:t>
      </w:r>
    </w:p>
    <w:p w14:paraId="3908CB52"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по мярка „Реализиране на програми за заетост и мерки за обучение за подкрепа на безработните лица и работодателите“ са изплатени 240 млн. лева.</w:t>
      </w:r>
    </w:p>
    <w:p w14:paraId="216CDBAA" w14:textId="5E2F2448" w:rsidR="00424201" w:rsidRPr="00046164" w:rsidRDefault="00424201" w:rsidP="005F0B57">
      <w:pPr>
        <w:pStyle w:val="ListParagraph"/>
        <w:numPr>
          <w:ilvl w:val="0"/>
          <w:numId w:val="10"/>
        </w:numPr>
        <w:tabs>
          <w:tab w:val="clear" w:pos="680"/>
        </w:tabs>
        <w:ind w:left="567" w:hanging="283"/>
        <w:rPr>
          <w:szCs w:val="24"/>
        </w:rPr>
      </w:pPr>
      <w:r w:rsidRPr="00046164">
        <w:rPr>
          <w:szCs w:val="24"/>
        </w:rPr>
        <w:t>за осигуряване на ваксини и лекарствени продукти в борбата с пандемията от COVID-19 са усвоени средства</w:t>
      </w:r>
      <w:r w:rsidR="00BD2C3E">
        <w:rPr>
          <w:szCs w:val="24"/>
        </w:rPr>
        <w:t xml:space="preserve"> </w:t>
      </w:r>
      <w:r w:rsidRPr="00046164">
        <w:rPr>
          <w:szCs w:val="24"/>
        </w:rPr>
        <w:t>в размер на 112 млн. лв.</w:t>
      </w:r>
    </w:p>
    <w:p w14:paraId="6833CF30" w14:textId="68ADB3C8" w:rsidR="00424201" w:rsidRPr="00046164" w:rsidRDefault="00424201" w:rsidP="005F0B57">
      <w:pPr>
        <w:pStyle w:val="ListParagraph"/>
        <w:numPr>
          <w:ilvl w:val="0"/>
          <w:numId w:val="10"/>
        </w:numPr>
        <w:tabs>
          <w:tab w:val="clear" w:pos="680"/>
        </w:tabs>
        <w:ind w:left="567" w:hanging="283"/>
        <w:rPr>
          <w:szCs w:val="24"/>
        </w:rPr>
      </w:pPr>
      <w:r w:rsidRPr="00046164">
        <w:rPr>
          <w:bCs/>
          <w:szCs w:val="24"/>
        </w:rPr>
        <w:lastRenderedPageBreak/>
        <w:t xml:space="preserve">за подкрепа на семейства с деца до 14-годишна възраст, при които родителите не могат да извършват дистанционна работа от вкъщи и нямат възможност да ползват платен отпуск, </w:t>
      </w:r>
      <w:r w:rsidRPr="00046164">
        <w:rPr>
          <w:szCs w:val="24"/>
        </w:rPr>
        <w:t>от Агенцията за социално подпомагане са из</w:t>
      </w:r>
      <w:r w:rsidR="00BA2CBD" w:rsidRPr="00046164">
        <w:rPr>
          <w:szCs w:val="24"/>
        </w:rPr>
        <w:t>платени месечни целеви помощи в</w:t>
      </w:r>
      <w:r w:rsidRPr="00046164">
        <w:rPr>
          <w:szCs w:val="24"/>
        </w:rPr>
        <w:t xml:space="preserve"> размер </w:t>
      </w:r>
      <w:r w:rsidR="00BA2CBD" w:rsidRPr="00046164">
        <w:rPr>
          <w:szCs w:val="24"/>
        </w:rPr>
        <w:t xml:space="preserve">общо </w:t>
      </w:r>
      <w:r w:rsidRPr="00046164">
        <w:rPr>
          <w:szCs w:val="24"/>
        </w:rPr>
        <w:t>на 68 млн. лв.</w:t>
      </w:r>
    </w:p>
    <w:p w14:paraId="26A05AC0"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подкрепа за децата и семействата по Закона за семейните помощи за деца – 3 млн. лв.</w:t>
      </w:r>
    </w:p>
    <w:p w14:paraId="70C64A51"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еднократна помощ за ползване на туристически услуги за вътрешен туризъм на единична стойност 210 лв. за лицата, пряко ангажирани с лечението, предотвратяване на разпространението и преодоляване на последиците от </w:t>
      </w:r>
      <w:r w:rsidRPr="00046164">
        <w:rPr>
          <w:szCs w:val="24"/>
          <w:lang w:val="en-US"/>
        </w:rPr>
        <w:t>COVID</w:t>
      </w:r>
      <w:r w:rsidRPr="00046164">
        <w:rPr>
          <w:szCs w:val="24"/>
        </w:rPr>
        <w:t>-19 – 1 млн. лв.</w:t>
      </w:r>
    </w:p>
    <w:p w14:paraId="021E0C13" w14:textId="7968C695" w:rsidR="00424201" w:rsidRPr="00046164" w:rsidRDefault="00424201" w:rsidP="005F0B57">
      <w:pPr>
        <w:pStyle w:val="ListParagraph"/>
        <w:numPr>
          <w:ilvl w:val="0"/>
          <w:numId w:val="10"/>
        </w:numPr>
        <w:tabs>
          <w:tab w:val="clear" w:pos="680"/>
        </w:tabs>
        <w:ind w:left="567" w:hanging="283"/>
        <w:rPr>
          <w:szCs w:val="24"/>
        </w:rPr>
      </w:pPr>
      <w:r w:rsidRPr="00046164">
        <w:rPr>
          <w:szCs w:val="24"/>
        </w:rPr>
        <w:t>за еднократна финансова подкрепа за хранителни продукти</w:t>
      </w:r>
      <w:r w:rsidR="00DF07FD">
        <w:rPr>
          <w:szCs w:val="24"/>
        </w:rPr>
        <w:t xml:space="preserve"> – </w:t>
      </w:r>
      <w:r w:rsidRPr="00046164">
        <w:rPr>
          <w:szCs w:val="24"/>
        </w:rPr>
        <w:t>48 млн. лв.</w:t>
      </w:r>
    </w:p>
    <w:p w14:paraId="55C1F81D"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осигуряване на възможности за дистанционно обучение в образователната система – 56 млн. лв.</w:t>
      </w:r>
    </w:p>
    <w:p w14:paraId="0D5847C2" w14:textId="77777777" w:rsidR="00424201" w:rsidRPr="00046164" w:rsidRDefault="00424201" w:rsidP="009A3730">
      <w:pPr>
        <w:pStyle w:val="Heading5"/>
        <w:numPr>
          <w:ilvl w:val="0"/>
          <w:numId w:val="0"/>
        </w:numPr>
      </w:pPr>
      <w:r w:rsidRPr="00046164">
        <w:t>Мерки за подкрепа на бизнеса – с най-съществено значение са:</w:t>
      </w:r>
    </w:p>
    <w:p w14:paraId="0EC59214"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най-голям дял имат извършените разходи по мярката „60/40“ в помощ на работодателите за запазване на заетостта на наетите от тях работници и служители в размер на 823 млн. лв.</w:t>
      </w:r>
    </w:p>
    <w:p w14:paraId="4C81D05F" w14:textId="45070278" w:rsidR="00424201" w:rsidRPr="00046164" w:rsidRDefault="00424201" w:rsidP="005F0B57">
      <w:pPr>
        <w:pStyle w:val="ListParagraph"/>
        <w:numPr>
          <w:ilvl w:val="0"/>
          <w:numId w:val="10"/>
        </w:numPr>
        <w:tabs>
          <w:tab w:val="clear" w:pos="680"/>
        </w:tabs>
        <w:ind w:left="567" w:hanging="283"/>
        <w:rPr>
          <w:szCs w:val="24"/>
        </w:rPr>
      </w:pPr>
      <w:r w:rsidRPr="00046164">
        <w:rPr>
          <w:szCs w:val="24"/>
        </w:rPr>
        <w:t>по програмата „Подкрепа чрез раб</w:t>
      </w:r>
      <w:r w:rsidR="00BA2CBD" w:rsidRPr="00046164">
        <w:rPr>
          <w:szCs w:val="24"/>
        </w:rPr>
        <w:t>отен капитал за малки и средни</w:t>
      </w:r>
      <w:r w:rsidRPr="00046164">
        <w:rPr>
          <w:szCs w:val="24"/>
        </w:rPr>
        <w:t xml:space="preserve"> предприятия, засегнати от временните антиепидемични мерки чрез изпълнението на схема за подкрепа от Националната агенция за приходите</w:t>
      </w:r>
      <w:r w:rsidR="009D5B59">
        <w:rPr>
          <w:szCs w:val="24"/>
        </w:rPr>
        <w:t xml:space="preserve"> (НАП)</w:t>
      </w:r>
      <w:r w:rsidRPr="00046164">
        <w:rPr>
          <w:szCs w:val="24"/>
        </w:rPr>
        <w:t>“ по ОП „Иновации и конкурентоспособност“ 2014-2020 – 28 млн. лв.</w:t>
      </w:r>
    </w:p>
    <w:p w14:paraId="2B23B4D0" w14:textId="26A4AFCC" w:rsidR="00424201" w:rsidRPr="00046164" w:rsidRDefault="00424201" w:rsidP="005F0B57">
      <w:pPr>
        <w:pStyle w:val="ListParagraph"/>
        <w:numPr>
          <w:ilvl w:val="0"/>
          <w:numId w:val="10"/>
        </w:numPr>
        <w:tabs>
          <w:tab w:val="clear" w:pos="680"/>
        </w:tabs>
        <w:ind w:left="567" w:hanging="283"/>
        <w:rPr>
          <w:szCs w:val="24"/>
        </w:rPr>
      </w:pPr>
      <w:r w:rsidRPr="00046164">
        <w:rPr>
          <w:szCs w:val="24"/>
        </w:rPr>
        <w:t>по програмата „Подкрепа на малките и средни предприятия</w:t>
      </w:r>
      <w:r w:rsidR="00BA2CBD" w:rsidRPr="00046164">
        <w:rPr>
          <w:szCs w:val="24"/>
        </w:rPr>
        <w:t>,</w:t>
      </w:r>
      <w:r w:rsidRPr="00046164">
        <w:rPr>
          <w:szCs w:val="24"/>
        </w:rPr>
        <w:t xml:space="preserve"> извършващи автобусни превози за преодоляване на икономическите последици от пандемията от </w:t>
      </w:r>
      <w:r w:rsidRPr="00BE5B7B">
        <w:rPr>
          <w:szCs w:val="24"/>
        </w:rPr>
        <w:t>COVID</w:t>
      </w:r>
      <w:r w:rsidRPr="00046164">
        <w:rPr>
          <w:szCs w:val="24"/>
        </w:rPr>
        <w:t>-19“ – 3 млн. лв.</w:t>
      </w:r>
    </w:p>
    <w:p w14:paraId="13DC6369"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по програма „Подкрепа за предприятията, регистрирани по Закона за туризма като туроператори или туристически агенти за преодоляване на икономическите последици от </w:t>
      </w:r>
      <w:r w:rsidRPr="00BE5B7B">
        <w:rPr>
          <w:szCs w:val="24"/>
        </w:rPr>
        <w:t>COVID</w:t>
      </w:r>
      <w:r w:rsidRPr="00046164">
        <w:rPr>
          <w:szCs w:val="24"/>
        </w:rPr>
        <w:t>-19“, финансирана от ОП „Иновации и конкурентоспособност“ 2014-2020 – 1 млн. лв.</w:t>
      </w:r>
    </w:p>
    <w:p w14:paraId="08DE7071" w14:textId="72382A08" w:rsidR="00424201" w:rsidRPr="00046164" w:rsidRDefault="00424201" w:rsidP="005F0B57">
      <w:pPr>
        <w:pStyle w:val="ListParagraph"/>
        <w:numPr>
          <w:ilvl w:val="0"/>
          <w:numId w:val="10"/>
        </w:numPr>
        <w:tabs>
          <w:tab w:val="clear" w:pos="680"/>
        </w:tabs>
        <w:ind w:left="567" w:hanging="283"/>
        <w:rPr>
          <w:szCs w:val="24"/>
        </w:rPr>
      </w:pPr>
      <w:r w:rsidRPr="00046164">
        <w:rPr>
          <w:szCs w:val="24"/>
        </w:rPr>
        <w:t>за финансова подкрепа за български творци и артисти, пряко засегнати от преустановяването на</w:t>
      </w:r>
      <w:r w:rsidR="00BD2C3E">
        <w:rPr>
          <w:szCs w:val="24"/>
        </w:rPr>
        <w:t xml:space="preserve"> </w:t>
      </w:r>
      <w:r w:rsidRPr="00046164">
        <w:rPr>
          <w:szCs w:val="24"/>
        </w:rPr>
        <w:t>масови мероприятия на територията на страната, включително културно-развлекателни</w:t>
      </w:r>
      <w:r w:rsidR="00BA2CBD" w:rsidRPr="00046164">
        <w:rPr>
          <w:szCs w:val="24"/>
        </w:rPr>
        <w:t>,</w:t>
      </w:r>
      <w:r w:rsidRPr="00046164">
        <w:rPr>
          <w:szCs w:val="24"/>
        </w:rPr>
        <w:t xml:space="preserve"> са предоставени 89 млн. лв.</w:t>
      </w:r>
    </w:p>
    <w:p w14:paraId="588C427E"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за подпомагане на засегнатите от негативните ефекти на пандемията земеделски стопани са изплатени 73 млн. лв.</w:t>
      </w:r>
    </w:p>
    <w:p w14:paraId="17DFB265" w14:textId="2EE87440" w:rsidR="00424201" w:rsidRPr="00046164" w:rsidRDefault="00424201" w:rsidP="005F0B57">
      <w:pPr>
        <w:pStyle w:val="ListParagraph"/>
        <w:numPr>
          <w:ilvl w:val="0"/>
          <w:numId w:val="10"/>
        </w:numPr>
        <w:tabs>
          <w:tab w:val="clear" w:pos="680"/>
        </w:tabs>
        <w:ind w:left="567" w:hanging="283"/>
        <w:rPr>
          <w:szCs w:val="24"/>
        </w:rPr>
      </w:pPr>
      <w:r w:rsidRPr="00046164">
        <w:rPr>
          <w:szCs w:val="24"/>
        </w:rPr>
        <w:t>субсидии за туроператори, използващи въздушни превозвачи с валиден оперативен лиценз</w:t>
      </w:r>
      <w:r w:rsidR="00BA2CBD" w:rsidRPr="00046164">
        <w:rPr>
          <w:szCs w:val="24"/>
        </w:rPr>
        <w:t>,</w:t>
      </w:r>
      <w:r w:rsidRPr="00046164">
        <w:rPr>
          <w:szCs w:val="24"/>
        </w:rPr>
        <w:t xml:space="preserve"> за изпълнение на чартърни полети до Република България с цел туризъм – 61 млн. лв.</w:t>
      </w:r>
    </w:p>
    <w:p w14:paraId="7BCB7F44" w14:textId="168D240B" w:rsidR="00424201" w:rsidRPr="00046164" w:rsidRDefault="00424201" w:rsidP="005F0B57">
      <w:pPr>
        <w:pStyle w:val="ListParagraph"/>
        <w:numPr>
          <w:ilvl w:val="0"/>
          <w:numId w:val="10"/>
        </w:numPr>
        <w:tabs>
          <w:tab w:val="clear" w:pos="680"/>
        </w:tabs>
        <w:ind w:left="567" w:hanging="283"/>
        <w:rPr>
          <w:szCs w:val="24"/>
        </w:rPr>
      </w:pPr>
      <w:r w:rsidRPr="00046164">
        <w:rPr>
          <w:szCs w:val="24"/>
        </w:rPr>
        <w:t>субсидии за предприятия, които са засегнати от спад в оборота през 2020</w:t>
      </w:r>
      <w:r w:rsidR="00DF07FD">
        <w:rPr>
          <w:szCs w:val="24"/>
        </w:rPr>
        <w:t> г.</w:t>
      </w:r>
      <w:r w:rsidRPr="00046164">
        <w:rPr>
          <w:szCs w:val="24"/>
        </w:rPr>
        <w:t xml:space="preserve"> от най-малко 30</w:t>
      </w:r>
      <w:r w:rsidR="000F033A" w:rsidRPr="00046164">
        <w:rPr>
          <w:szCs w:val="24"/>
        </w:rPr>
        <w:t>%</w:t>
      </w:r>
      <w:r w:rsidRPr="00046164">
        <w:rPr>
          <w:szCs w:val="24"/>
        </w:rPr>
        <w:t xml:space="preserve"> в сравнение с 2019</w:t>
      </w:r>
      <w:r w:rsidR="00DF07FD">
        <w:rPr>
          <w:szCs w:val="24"/>
        </w:rPr>
        <w:t> г.</w:t>
      </w:r>
      <w:r w:rsidRPr="00046164">
        <w:rPr>
          <w:szCs w:val="24"/>
        </w:rPr>
        <w:t xml:space="preserve"> – 30 млн. лв.</w:t>
      </w:r>
    </w:p>
    <w:p w14:paraId="48DE44D8"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помощ за автобусните превозвачи, които притежават лиценз за превоз на пътници – 40 млн. лв.</w:t>
      </w:r>
    </w:p>
    <w:p w14:paraId="1203F71A"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държавна субсидия за туроператори и туристически агенти – 36 млн. лв. </w:t>
      </w:r>
    </w:p>
    <w:p w14:paraId="3D2B51C0" w14:textId="33CF14CD" w:rsidR="00424201" w:rsidRPr="00046164" w:rsidRDefault="00424201" w:rsidP="009A3730">
      <w:pPr>
        <w:pStyle w:val="Heading5"/>
        <w:numPr>
          <w:ilvl w:val="0"/>
          <w:numId w:val="0"/>
        </w:numPr>
      </w:pPr>
      <w:r w:rsidRPr="00046164">
        <w:lastRenderedPageBreak/>
        <w:t xml:space="preserve">Мерки за органите за подпомагане на органите на държавна управление, натоварени с дейности по овладяване на пандемията и последствията от </w:t>
      </w:r>
      <w:r w:rsidRPr="00046164">
        <w:rPr>
          <w:lang w:val="en-US"/>
        </w:rPr>
        <w:t>COVID-19</w:t>
      </w:r>
      <w:r w:rsidRPr="00046164">
        <w:t xml:space="preserve"> </w:t>
      </w:r>
      <w:r w:rsidR="00E42BDB" w:rsidRPr="00046164">
        <w:t>– с</w:t>
      </w:r>
      <w:r w:rsidRPr="00046164">
        <w:t xml:space="preserve"> най-значителен размер са:</w:t>
      </w:r>
    </w:p>
    <w:p w14:paraId="41EBFA28" w14:textId="27787706"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чрез бюджета на </w:t>
      </w:r>
      <w:r w:rsidR="009D5B59">
        <w:rPr>
          <w:szCs w:val="24"/>
        </w:rPr>
        <w:t>Националната здравноосигурителна каса (</w:t>
      </w:r>
      <w:r w:rsidRPr="00046164">
        <w:rPr>
          <w:szCs w:val="24"/>
        </w:rPr>
        <w:t>НЗОК</w:t>
      </w:r>
      <w:r w:rsidR="009D5B59">
        <w:rPr>
          <w:szCs w:val="24"/>
          <w:lang w:val="en-US"/>
        </w:rPr>
        <w:t>)</w:t>
      </w:r>
      <w:r w:rsidR="00BD2C3E">
        <w:rPr>
          <w:szCs w:val="24"/>
        </w:rPr>
        <w:t xml:space="preserve"> </w:t>
      </w:r>
      <w:r w:rsidRPr="00046164">
        <w:rPr>
          <w:szCs w:val="24"/>
        </w:rPr>
        <w:t>са осигурени средства за изпълнителите на медицинска помощ, на дентална помощ и на медико-диагностични дейности за работа при неблагоприятни условия във връзка с обявената епидемична обстановка и лечението на COVID-19</w:t>
      </w:r>
      <w:r w:rsidR="00DF07FD">
        <w:rPr>
          <w:szCs w:val="24"/>
        </w:rPr>
        <w:t xml:space="preserve"> – </w:t>
      </w:r>
      <w:r w:rsidRPr="00046164">
        <w:rPr>
          <w:szCs w:val="24"/>
        </w:rPr>
        <w:t>726 млн. лв.</w:t>
      </w:r>
    </w:p>
    <w:p w14:paraId="14E8AE58" w14:textId="3317C607" w:rsidR="00424201" w:rsidRPr="00046164" w:rsidRDefault="00424201" w:rsidP="005F0B57">
      <w:pPr>
        <w:pStyle w:val="ListParagraph"/>
        <w:numPr>
          <w:ilvl w:val="0"/>
          <w:numId w:val="10"/>
        </w:numPr>
        <w:tabs>
          <w:tab w:val="clear" w:pos="680"/>
        </w:tabs>
        <w:ind w:left="567" w:hanging="283"/>
        <w:rPr>
          <w:szCs w:val="24"/>
        </w:rPr>
      </w:pPr>
      <w:r w:rsidRPr="00046164">
        <w:rPr>
          <w:szCs w:val="24"/>
        </w:rPr>
        <w:t>разходите за подкрепа на персонала на първа линия, пряко ангажиран с дейности по предотвратяване разпространението на COVID-19</w:t>
      </w:r>
      <w:r w:rsidR="00BD2C3E">
        <w:rPr>
          <w:szCs w:val="24"/>
        </w:rPr>
        <w:t xml:space="preserve"> </w:t>
      </w:r>
      <w:r w:rsidRPr="00046164">
        <w:rPr>
          <w:szCs w:val="24"/>
        </w:rPr>
        <w:t>са в размер на 714 млн. лв.</w:t>
      </w:r>
    </w:p>
    <w:p w14:paraId="3D752954" w14:textId="375929CE" w:rsidR="00424201" w:rsidRPr="00046164" w:rsidRDefault="00424201" w:rsidP="005F0B57">
      <w:pPr>
        <w:pStyle w:val="ListParagraph"/>
        <w:numPr>
          <w:ilvl w:val="0"/>
          <w:numId w:val="10"/>
        </w:numPr>
        <w:tabs>
          <w:tab w:val="clear" w:pos="680"/>
        </w:tabs>
        <w:ind w:left="567" w:hanging="283"/>
        <w:rPr>
          <w:szCs w:val="24"/>
        </w:rPr>
      </w:pPr>
      <w:r w:rsidRPr="00046164">
        <w:rPr>
          <w:szCs w:val="24"/>
        </w:rPr>
        <w:t>за подкрепа на медицинския персонал, който работи в условията на извънредна епидемична обстановка, са изплатени средства под формата на месечни добавки към възнагражденията на лекарите (600 лв.), на специалисти от професионално направление „Здравни грижи“ (360 лв.) и на санитари (120 лв.). Средствата с източник</w:t>
      </w:r>
      <w:r w:rsidR="00BD2C3E">
        <w:rPr>
          <w:szCs w:val="24"/>
        </w:rPr>
        <w:t xml:space="preserve"> </w:t>
      </w:r>
      <w:r w:rsidRPr="00046164">
        <w:rPr>
          <w:szCs w:val="24"/>
        </w:rPr>
        <w:t>държавния бюджет са в размер на 198 млн.</w:t>
      </w:r>
      <w:r w:rsidRPr="00BE5B7B">
        <w:rPr>
          <w:szCs w:val="24"/>
        </w:rPr>
        <w:t> </w:t>
      </w:r>
      <w:r w:rsidRPr="00046164">
        <w:rPr>
          <w:szCs w:val="24"/>
        </w:rPr>
        <w:t>лв.</w:t>
      </w:r>
    </w:p>
    <w:p w14:paraId="52BF60AB"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разходи във връзка с изпълнението на Националния ваксинационен план срещу </w:t>
      </w:r>
      <w:r w:rsidRPr="00BE5B7B">
        <w:rPr>
          <w:szCs w:val="24"/>
        </w:rPr>
        <w:t>COVID</w:t>
      </w:r>
      <w:r w:rsidRPr="00046164">
        <w:rPr>
          <w:szCs w:val="24"/>
        </w:rPr>
        <w:t>-19 – 6 млн. лв.</w:t>
      </w:r>
    </w:p>
    <w:p w14:paraId="12EC6235"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за осигуряване на лични предпазни средства (маски, ръкавици, калцуни, предпазно облекло, защитни очила) за нуждите на държавната администрация и лечебните заведения, както и дезинфектанти, дезинфекция на работните помещения, термометри за измерване от разстояние, консумативи, реактиви, медикаменти, PCR тестове и др. са изразходвани 101 млн. лв.</w:t>
      </w:r>
    </w:p>
    <w:p w14:paraId="118035D1"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разходи за предпазни средства (маски, ръкавици и др.), дезинфектанти (лични и за помещенията) в училищата и за осигуряване на изследване за </w:t>
      </w:r>
      <w:r w:rsidRPr="00BE5B7B">
        <w:rPr>
          <w:szCs w:val="24"/>
        </w:rPr>
        <w:t>COVID</w:t>
      </w:r>
      <w:r w:rsidRPr="00046164">
        <w:rPr>
          <w:szCs w:val="24"/>
        </w:rPr>
        <w:t xml:space="preserve">-19 с щадящи бързи антигенни тестове на учениците от </w:t>
      </w:r>
      <w:r w:rsidRPr="00BE5B7B">
        <w:rPr>
          <w:szCs w:val="24"/>
        </w:rPr>
        <w:t>I</w:t>
      </w:r>
      <w:r w:rsidRPr="00046164">
        <w:rPr>
          <w:szCs w:val="24"/>
        </w:rPr>
        <w:t xml:space="preserve"> до </w:t>
      </w:r>
      <w:r w:rsidRPr="00BE5B7B">
        <w:rPr>
          <w:szCs w:val="24"/>
        </w:rPr>
        <w:t xml:space="preserve">XII </w:t>
      </w:r>
      <w:r w:rsidRPr="00046164">
        <w:rPr>
          <w:szCs w:val="24"/>
        </w:rPr>
        <w:t>клас – 55 млн. лв.</w:t>
      </w:r>
    </w:p>
    <w:p w14:paraId="7E9D4CFE" w14:textId="41544506"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капиталови трансфери и разходи към лечебните заведения – </w:t>
      </w:r>
      <w:r w:rsidR="00C2594D">
        <w:rPr>
          <w:szCs w:val="24"/>
        </w:rPr>
        <w:t>18</w:t>
      </w:r>
      <w:r w:rsidRPr="00046164">
        <w:rPr>
          <w:szCs w:val="24"/>
        </w:rPr>
        <w:t xml:space="preserve"> млн. лв.</w:t>
      </w:r>
    </w:p>
    <w:p w14:paraId="739FA3B5" w14:textId="77777777" w:rsidR="00424201" w:rsidRPr="00841455" w:rsidRDefault="00424201" w:rsidP="005F0B57">
      <w:pPr>
        <w:pStyle w:val="ListParagraph"/>
        <w:numPr>
          <w:ilvl w:val="0"/>
          <w:numId w:val="10"/>
        </w:numPr>
        <w:tabs>
          <w:tab w:val="clear" w:pos="680"/>
        </w:tabs>
        <w:ind w:left="567" w:hanging="283"/>
        <w:rPr>
          <w:spacing w:val="-2"/>
          <w:szCs w:val="24"/>
        </w:rPr>
      </w:pPr>
      <w:r w:rsidRPr="00841455">
        <w:rPr>
          <w:spacing w:val="-2"/>
          <w:szCs w:val="24"/>
        </w:rPr>
        <w:t>допълнения към възнагражденията на персонала в болничните заведения – 1 млн. лв.</w:t>
      </w:r>
    </w:p>
    <w:p w14:paraId="28448A28" w14:textId="77C4EA47" w:rsidR="00AE05B8" w:rsidRPr="00046164" w:rsidRDefault="00424201" w:rsidP="00BE5B7B">
      <w:r w:rsidRPr="00046164">
        <w:t>От 1 април 2022</w:t>
      </w:r>
      <w:r w:rsidR="00DF07FD">
        <w:t> г.</w:t>
      </w:r>
      <w:r w:rsidRPr="00046164">
        <w:t xml:space="preserve"> извънредната епидемична обстановка на територията на България бе прекратена поради ниския брой на заразените и спадналия натиск върху здравната система. С това решение бе прекратено и действието на прилаганите противоепидемични ограниченията за бизнеса, както и това на част от социално-икономическите мерки за намаляване на негативните последствия от пандемията. Правителството предвижда да продължи действието на някои от мерките с най-голямо значение за населението и бизнеса до средата на 2022 година (в т.ч. програмите за запазване на заетостта, добавки към доходите на пенсионерите, подпомагане на лицата, ангажиране на първа линия в борбата с пандемията) след което те следва да бъдат прекратени. През второто полугодие на 2022</w:t>
      </w:r>
      <w:r w:rsidR="00DF07FD">
        <w:t> г.</w:t>
      </w:r>
      <w:r w:rsidRPr="00046164">
        <w:t xml:space="preserve"> ще продължат да се извършват единствено преките разходи за сектора на здравеопазването за закупуване на ваксини, медикаменти и консумативи за ограничаването на разпространението и лечение</w:t>
      </w:r>
      <w:r w:rsidR="00E42BDB" w:rsidRPr="00046164">
        <w:t>то</w:t>
      </w:r>
      <w:r w:rsidRPr="00046164">
        <w:t xml:space="preserve"> на </w:t>
      </w:r>
      <w:r w:rsidRPr="00046164">
        <w:rPr>
          <w:lang w:val="en-US"/>
        </w:rPr>
        <w:t>COVID-19</w:t>
      </w:r>
      <w:r w:rsidRPr="00046164">
        <w:t xml:space="preserve"> и други.</w:t>
      </w:r>
    </w:p>
    <w:p w14:paraId="2D2CF30B" w14:textId="763EEF09" w:rsidR="00AB1E46" w:rsidRPr="00D661BA" w:rsidRDefault="00AB1E46" w:rsidP="00D661BA">
      <w:pPr>
        <w:pStyle w:val="Heading3"/>
      </w:pPr>
      <w:r w:rsidRPr="00D661BA">
        <w:t>Бюджетни акценти за 202</w:t>
      </w:r>
      <w:r w:rsidR="00AE05B8" w:rsidRPr="00D661BA">
        <w:t>2</w:t>
      </w:r>
      <w:r w:rsidR="00DF07FD">
        <w:t> г.</w:t>
      </w:r>
    </w:p>
    <w:p w14:paraId="16DC0C5F" w14:textId="673C99E7" w:rsidR="00424201" w:rsidRPr="00046164" w:rsidRDefault="00424201" w:rsidP="00D661BA">
      <w:r w:rsidRPr="00046164">
        <w:t>А</w:t>
      </w:r>
      <w:r w:rsidRPr="00046164" w:rsidDel="00134960">
        <w:t>ктивираната</w:t>
      </w:r>
      <w:r w:rsidRPr="00046164">
        <w:t xml:space="preserve"> през 2020</w:t>
      </w:r>
      <w:r w:rsidR="00DF07FD">
        <w:t> г.</w:t>
      </w:r>
      <w:r w:rsidRPr="00046164">
        <w:t xml:space="preserve"> </w:t>
      </w:r>
      <w:r w:rsidR="00E42BDB" w:rsidRPr="00046164">
        <w:t>от Европейската комисия обща</w:t>
      </w:r>
      <w:r w:rsidRPr="00046164" w:rsidDel="00134960">
        <w:t xml:space="preserve"> предпазна клауза </w:t>
      </w:r>
      <w:r w:rsidRPr="00046164">
        <w:t>от Пакта за стабилност и растеж</w:t>
      </w:r>
      <w:r w:rsidRPr="00046164" w:rsidDel="00134960">
        <w:t xml:space="preserve"> </w:t>
      </w:r>
      <w:r w:rsidRPr="00046164">
        <w:t>ще продължи да действа и през 2022</w:t>
      </w:r>
      <w:r w:rsidR="00DF07FD">
        <w:t> г.</w:t>
      </w:r>
      <w:r w:rsidRPr="00046164">
        <w:t>, отчитайки все още значителната несигурност по отношение на развитието на пандемията. Отчитайки състоянието на икономиката и текущото развитие на пандемията в страната</w:t>
      </w:r>
      <w:r w:rsidR="00E42BDB" w:rsidRPr="00046164">
        <w:t>,</w:t>
      </w:r>
      <w:r w:rsidRPr="00046164">
        <w:t xml:space="preserve"> правителството планира </w:t>
      </w:r>
      <w:r w:rsidR="00E42BDB" w:rsidRPr="00046164">
        <w:t>увеличение на дефицита до 5.</w:t>
      </w:r>
      <w:r w:rsidRPr="00046164">
        <w:t>3</w:t>
      </w:r>
      <w:r w:rsidR="000F033A" w:rsidRPr="00046164">
        <w:t>%</w:t>
      </w:r>
      <w:r w:rsidRPr="00046164">
        <w:t xml:space="preserve"> от БВП през 2022</w:t>
      </w:r>
      <w:r w:rsidR="00DF07FD">
        <w:t> г.</w:t>
      </w:r>
      <w:r w:rsidRPr="00046164">
        <w:t>, след което последователно с</w:t>
      </w:r>
      <w:r w:rsidR="00E42BDB" w:rsidRPr="00046164">
        <w:t>е предвижда той да се свие до 2.</w:t>
      </w:r>
      <w:r w:rsidRPr="00046164">
        <w:t>5</w:t>
      </w:r>
      <w:r w:rsidR="000F033A" w:rsidRPr="00046164">
        <w:t>%</w:t>
      </w:r>
      <w:r w:rsidRPr="00046164">
        <w:t xml:space="preserve"> от БВП през 2025</w:t>
      </w:r>
      <w:r w:rsidR="00DF07FD">
        <w:t> г.</w:t>
      </w:r>
      <w:r w:rsidRPr="00046164">
        <w:t xml:space="preserve"> Следва да се отбележи, че </w:t>
      </w:r>
      <w:r w:rsidR="00E42BDB" w:rsidRPr="00046164">
        <w:t>в базовия</w:t>
      </w:r>
      <w:r w:rsidRPr="00046164">
        <w:t xml:space="preserve"> сценарий на бюджета за 2022</w:t>
      </w:r>
      <w:r w:rsidR="00DF07FD">
        <w:t> г.</w:t>
      </w:r>
      <w:r w:rsidRPr="00046164">
        <w:t xml:space="preserve"> не са отразени новите политики, които правителството </w:t>
      </w:r>
      <w:r w:rsidRPr="00046164">
        <w:lastRenderedPageBreak/>
        <w:t>възнамерява да провежда с предстоящото приемане на своята управленска програма. Бюджетните измерения на тези политики се очаква да бъдат обвързани в рамката за настоящата година и в средносрочен план в актуализираната средносрочна прогноза</w:t>
      </w:r>
      <w:r w:rsidR="00E42BDB" w:rsidRPr="00046164">
        <w:t>, която ще бъде публикувана</w:t>
      </w:r>
      <w:r w:rsidRPr="00046164">
        <w:t xml:space="preserve"> </w:t>
      </w:r>
      <w:r w:rsidR="00E42BDB" w:rsidRPr="00046164">
        <w:t>през есента на</w:t>
      </w:r>
      <w:r w:rsidRPr="00046164">
        <w:t xml:space="preserve"> настоящата година, като в момента се извършва анализ на приоритетите и политиките в отделните сектори. Поради тази причина още с внасянето на законопроекта за държавния бюджет за 2022</w:t>
      </w:r>
      <w:r w:rsidR="00DF07FD">
        <w:t> г.</w:t>
      </w:r>
      <w:r w:rsidRPr="00046164">
        <w:t xml:space="preserve"> правителството обяви, че на следващ етап ще бъде изготвена и внесена актуализация на бюджета за 2022</w:t>
      </w:r>
      <w:r w:rsidR="00DF07FD">
        <w:t> г.</w:t>
      </w:r>
      <w:r w:rsidRPr="00046164">
        <w:t xml:space="preserve">, в която приоритетните политики ще бъдат обвързани във фискалната рамка за годината. </w:t>
      </w:r>
    </w:p>
    <w:p w14:paraId="12D3459F" w14:textId="10106170" w:rsidR="00424201" w:rsidRPr="00046164" w:rsidRDefault="00424201" w:rsidP="00046164">
      <w:pPr>
        <w:rPr>
          <w:szCs w:val="24"/>
        </w:rPr>
      </w:pPr>
      <w:r w:rsidRPr="00046164">
        <w:rPr>
          <w:szCs w:val="24"/>
        </w:rPr>
        <w:t>Базовият сценарий, залегнал в одобрения от Народното събрание годи</w:t>
      </w:r>
      <w:r w:rsidR="00E42BDB" w:rsidRPr="00046164">
        <w:rPr>
          <w:szCs w:val="24"/>
        </w:rPr>
        <w:t>шен закон за бюджета за 2022</w:t>
      </w:r>
      <w:r w:rsidR="00DF07FD">
        <w:rPr>
          <w:szCs w:val="24"/>
        </w:rPr>
        <w:t> г.</w:t>
      </w:r>
      <w:r w:rsidR="00E42BDB" w:rsidRPr="00046164">
        <w:rPr>
          <w:szCs w:val="24"/>
        </w:rPr>
        <w:t xml:space="preserve">, </w:t>
      </w:r>
      <w:r w:rsidRPr="00046164">
        <w:rPr>
          <w:szCs w:val="24"/>
        </w:rPr>
        <w:t>предвижда постепенно нормализиране на ситуацията с пандемията в Българя до средата на 2022</w:t>
      </w:r>
      <w:r w:rsidR="00DF07FD">
        <w:rPr>
          <w:szCs w:val="24"/>
        </w:rPr>
        <w:t> г.</w:t>
      </w:r>
      <w:r w:rsidRPr="00046164">
        <w:rPr>
          <w:szCs w:val="24"/>
        </w:rPr>
        <w:t>, след което необходимостта от прилагане на повечето ограничителни мерки и мерки за подкрепа на бизнеса и уязвимите групи от населението поетапно ще отпаднат. В тази връзка е важно да се отбележи, че извънредната епидемична обстановка в страната вече е прекратена, считано от 01 април 2022</w:t>
      </w:r>
      <w:r w:rsidR="00DF07FD">
        <w:rPr>
          <w:szCs w:val="24"/>
        </w:rPr>
        <w:t> г.</w:t>
      </w:r>
      <w:r w:rsidRPr="00046164">
        <w:rPr>
          <w:szCs w:val="24"/>
        </w:rPr>
        <w:t>, с което отпаднаха и основните ограничения за бизнеса, наложени поради пандемията. Това развитие до голяма степен съответства на заложения сценарий в разчетите към ЗДБРБ за 2022</w:t>
      </w:r>
      <w:r w:rsidR="00DF07FD">
        <w:rPr>
          <w:szCs w:val="24"/>
        </w:rPr>
        <w:t> г.</w:t>
      </w:r>
      <w:r w:rsidRPr="00046164">
        <w:rPr>
          <w:szCs w:val="24"/>
        </w:rPr>
        <w:t xml:space="preserve"> при допускане за запазване на ниските нива на разпространение на вируса през третото и четвъртото тримесечие на годината.</w:t>
      </w:r>
    </w:p>
    <w:p w14:paraId="4E22A593" w14:textId="48E49C98" w:rsidR="00424201" w:rsidRPr="00046164" w:rsidRDefault="00424201" w:rsidP="00046164">
      <w:pPr>
        <w:rPr>
          <w:szCs w:val="24"/>
        </w:rPr>
      </w:pPr>
      <w:r w:rsidRPr="00046164">
        <w:rPr>
          <w:szCs w:val="24"/>
        </w:rPr>
        <w:t>Успешното управление на пандемията през 2022</w:t>
      </w:r>
      <w:r w:rsidR="00DF07FD">
        <w:rPr>
          <w:szCs w:val="24"/>
        </w:rPr>
        <w:t> г.</w:t>
      </w:r>
      <w:r w:rsidRPr="00046164">
        <w:rPr>
          <w:szCs w:val="24"/>
        </w:rPr>
        <w:t xml:space="preserve"> ще позволи фокусът на водените политики да бъде насочен към ускоряване на икономическия растеж с акцент върху публичните инвестиции, иновациите, растежа и цялостния икономически напредък. В израз на този приоритет</w:t>
      </w:r>
      <w:r w:rsidR="00E42BDB" w:rsidRPr="00046164">
        <w:rPr>
          <w:szCs w:val="24"/>
        </w:rPr>
        <w:t>,</w:t>
      </w:r>
      <w:r w:rsidRPr="00046164">
        <w:rPr>
          <w:szCs w:val="24"/>
        </w:rPr>
        <w:t xml:space="preserve"> при изготвянето на държавния бюджет за 2022</w:t>
      </w:r>
      <w:r w:rsidR="00DF07FD">
        <w:rPr>
          <w:szCs w:val="24"/>
        </w:rPr>
        <w:t> г.</w:t>
      </w:r>
      <w:r w:rsidRPr="00046164">
        <w:rPr>
          <w:szCs w:val="24"/>
        </w:rPr>
        <w:t xml:space="preserve"> </w:t>
      </w:r>
      <w:r w:rsidR="00E42BDB" w:rsidRPr="00046164">
        <w:rPr>
          <w:szCs w:val="24"/>
        </w:rPr>
        <w:t>б</w:t>
      </w:r>
      <w:r w:rsidRPr="00046164">
        <w:rPr>
          <w:szCs w:val="24"/>
        </w:rPr>
        <w:t>е предвидено значително увеличение на разходите за брутообразуване на основен капи</w:t>
      </w:r>
      <w:r w:rsidR="00E42BDB" w:rsidRPr="00046164">
        <w:rPr>
          <w:szCs w:val="24"/>
        </w:rPr>
        <w:t xml:space="preserve">тал, което в краткосрочен план </w:t>
      </w:r>
      <w:r w:rsidRPr="00046164">
        <w:rPr>
          <w:szCs w:val="24"/>
        </w:rPr>
        <w:t xml:space="preserve">води до нарастване на планирания дефицит, но очакваните ефекти по линия на мултипликатора на инвестиционните разходи значително ще надвиши временното влошаване на бюджетното салдо. </w:t>
      </w:r>
      <w:r w:rsidR="00E42BDB" w:rsidRPr="00046164">
        <w:rPr>
          <w:szCs w:val="24"/>
        </w:rPr>
        <w:t>Акцент</w:t>
      </w:r>
      <w:r w:rsidRPr="00046164">
        <w:rPr>
          <w:szCs w:val="24"/>
        </w:rPr>
        <w:t xml:space="preserve"> на тази политика е създаването на условия за постигане на устойчиво интегрирано развитие на районите и общините в страната, подпомагане на икономическото и социално развитие на трансграничните региони и намаляване на регионалните различия посредством подобряване на инфраструктурата в граничните райони, насърчаване на сътрудничеството между регионите, както и насърчаване на съвместното трансгранично сътрудничество и балансирано териториално развитие чрез укрепване на мрежата от градове-центрове, подобряване свързаността в районите и качеството на средата в населените места. Важна роля за постигане на тези цели има политиката в областта на транспорта, която е насочена към подобряване на свързаността чрез развитие на базисната транспортна инфраструктура, повишаване на качеството на предлаганите транспортни услуги и устойчивото развитие на транспорта. </w:t>
      </w:r>
    </w:p>
    <w:p w14:paraId="2236D6D0" w14:textId="5C7F86D7" w:rsidR="00424201" w:rsidRPr="00046164" w:rsidRDefault="00424201" w:rsidP="00046164">
      <w:pPr>
        <w:rPr>
          <w:szCs w:val="24"/>
        </w:rPr>
      </w:pPr>
      <w:r w:rsidRPr="00046164">
        <w:rPr>
          <w:szCs w:val="24"/>
        </w:rPr>
        <w:t>От друга страна към ефектите от пандемията върху икономиката след втората половина на 2021</w:t>
      </w:r>
      <w:r w:rsidR="00DF07FD">
        <w:rPr>
          <w:szCs w:val="24"/>
        </w:rPr>
        <w:t> г.</w:t>
      </w:r>
      <w:r w:rsidRPr="00046164">
        <w:rPr>
          <w:szCs w:val="24"/>
        </w:rPr>
        <w:t xml:space="preserve"> се добавиха и ефектите от значителното увеличение на цените на електроенергията запазващи се устойчиво и до момента. Поради това развитие програмите за компенсиране на небитовите потребители на електрическа енергия и природен газ, прилагани през последното тримесечие на 2021</w:t>
      </w:r>
      <w:r w:rsidR="00DF07FD">
        <w:rPr>
          <w:szCs w:val="24"/>
        </w:rPr>
        <w:t> г.</w:t>
      </w:r>
      <w:r w:rsidR="00E42BDB" w:rsidRPr="00046164">
        <w:rPr>
          <w:szCs w:val="24"/>
        </w:rPr>
        <w:t>,</w:t>
      </w:r>
      <w:r w:rsidRPr="00046164">
        <w:rPr>
          <w:szCs w:val="24"/>
        </w:rPr>
        <w:t xml:space="preserve"> бяха продължени до края на месец април 2022</w:t>
      </w:r>
      <w:r w:rsidR="00DF07FD">
        <w:rPr>
          <w:szCs w:val="24"/>
        </w:rPr>
        <w:t> г.</w:t>
      </w:r>
      <w:r w:rsidRPr="00046164">
        <w:rPr>
          <w:szCs w:val="24"/>
        </w:rPr>
        <w:t xml:space="preserve"> Удължаването на програмите е в рамките на разходните тавани по годишния закон за бюджета като планирани разходи по бюджета на </w:t>
      </w:r>
      <w:r w:rsidR="00286430" w:rsidRPr="00046164">
        <w:rPr>
          <w:szCs w:val="24"/>
        </w:rPr>
        <w:t>Фонд</w:t>
      </w:r>
      <w:r w:rsidR="00286430">
        <w:rPr>
          <w:szCs w:val="24"/>
        </w:rPr>
        <w:t xml:space="preserve"> „С</w:t>
      </w:r>
      <w:r w:rsidR="00286430" w:rsidRPr="00046164">
        <w:rPr>
          <w:szCs w:val="24"/>
        </w:rPr>
        <w:t>игурността на електроенергийната система</w:t>
      </w:r>
      <w:r w:rsidR="00286430">
        <w:rPr>
          <w:szCs w:val="24"/>
        </w:rPr>
        <w:t>“</w:t>
      </w:r>
      <w:r w:rsidR="00286430" w:rsidRPr="00046164">
        <w:rPr>
          <w:szCs w:val="24"/>
        </w:rPr>
        <w:t>,</w:t>
      </w:r>
      <w:r w:rsidRPr="00046164">
        <w:rPr>
          <w:szCs w:val="24"/>
        </w:rPr>
        <w:t xml:space="preserve"> включително и за сметка на допълнителни приходи.</w:t>
      </w:r>
    </w:p>
    <w:p w14:paraId="2CDBBE4F" w14:textId="78CA780E" w:rsidR="00424201" w:rsidRPr="00046164" w:rsidDel="00134960" w:rsidRDefault="00424201" w:rsidP="00046164">
      <w:pPr>
        <w:rPr>
          <w:szCs w:val="24"/>
        </w:rPr>
      </w:pPr>
      <w:r w:rsidRPr="00046164">
        <w:rPr>
          <w:szCs w:val="24"/>
        </w:rPr>
        <w:t>С избухването на конфликта в Украйна в края на месец февруари 2022</w:t>
      </w:r>
      <w:r w:rsidR="00DF07FD">
        <w:rPr>
          <w:szCs w:val="24"/>
        </w:rPr>
        <w:t> г.</w:t>
      </w:r>
      <w:r w:rsidRPr="00046164">
        <w:rPr>
          <w:szCs w:val="24"/>
        </w:rPr>
        <w:t xml:space="preserve"> към посоченото поскъпване на цена</w:t>
      </w:r>
      <w:r w:rsidR="00312179" w:rsidRPr="00046164">
        <w:rPr>
          <w:szCs w:val="24"/>
        </w:rPr>
        <w:t>та на електроенергията се добавиха</w:t>
      </w:r>
      <w:r w:rsidRPr="00046164">
        <w:rPr>
          <w:szCs w:val="24"/>
        </w:rPr>
        <w:t xml:space="preserve"> и шоковете при пазарите на енергоносителите, основни суровини, метали и т.н. Скокът на цените и нарушените вериги за доставка са сериозен проблем както за производителите, така и за потребителите и представлява сериозна заплаха за продължаващото икономическо възстановяване след пандемията от COVID-19. Към тези развития следва да се добави и хуманитарния аспект </w:t>
      </w:r>
      <w:r w:rsidRPr="00046164">
        <w:rPr>
          <w:szCs w:val="24"/>
        </w:rPr>
        <w:lastRenderedPageBreak/>
        <w:t>на кризата, свързан с потоци от бежанци, който изисква също съответен ресурс по линия на правителството. Отчитайки рисковете, произтичащи от избухването на войната в Украйна и преките и косвени ефекти за бюджета от каналите, чрез които кризата оказва влияние върху икономиката и фиска</w:t>
      </w:r>
      <w:r w:rsidR="00312179" w:rsidRPr="00046164">
        <w:rPr>
          <w:szCs w:val="24"/>
        </w:rPr>
        <w:t>,</w:t>
      </w:r>
      <w:r w:rsidRPr="00046164">
        <w:rPr>
          <w:szCs w:val="24"/>
        </w:rPr>
        <w:t xml:space="preserve"> в рамките на подготовката на актуализацията на бюджета за 2022</w:t>
      </w:r>
      <w:r w:rsidR="00DF07FD">
        <w:rPr>
          <w:szCs w:val="24"/>
        </w:rPr>
        <w:t> г.</w:t>
      </w:r>
      <w:r w:rsidRPr="00046164">
        <w:rPr>
          <w:szCs w:val="24"/>
        </w:rPr>
        <w:t xml:space="preserve"> ще бъде изготвен бюджетен сценарий, който да отразява настъпилите промени при основните макроикономически индикатори и ще предвиди съответните ресурси за минимизиране на негативните последствия за икономиката.</w:t>
      </w:r>
    </w:p>
    <w:p w14:paraId="0520A0E3" w14:textId="77777777" w:rsidR="00424201" w:rsidRPr="00046164" w:rsidRDefault="00424201" w:rsidP="00046164">
      <w:pPr>
        <w:contextualSpacing/>
        <w:rPr>
          <w:szCs w:val="24"/>
        </w:rPr>
      </w:pPr>
    </w:p>
    <w:p w14:paraId="4FC8E32E" w14:textId="06A677F6" w:rsidR="00424201" w:rsidRPr="00046164" w:rsidRDefault="00424201" w:rsidP="00046164">
      <w:pPr>
        <w:rPr>
          <w:szCs w:val="24"/>
        </w:rPr>
      </w:pPr>
      <w:r w:rsidRPr="00046164">
        <w:rPr>
          <w:szCs w:val="24"/>
        </w:rPr>
        <w:t xml:space="preserve">В следващата част са разгледани основните </w:t>
      </w:r>
      <w:r w:rsidRPr="00046164">
        <w:rPr>
          <w:b/>
          <w:szCs w:val="24"/>
        </w:rPr>
        <w:t>приоритети на политиката по приходите и основните разходни направления</w:t>
      </w:r>
      <w:r w:rsidRPr="00046164">
        <w:rPr>
          <w:szCs w:val="24"/>
        </w:rPr>
        <w:t>, заложени в закона за бюджета за 2022</w:t>
      </w:r>
      <w:r w:rsidR="00DF07FD">
        <w:rPr>
          <w:szCs w:val="24"/>
        </w:rPr>
        <w:t> г.</w:t>
      </w:r>
    </w:p>
    <w:p w14:paraId="68C036D2" w14:textId="77777777" w:rsidR="00424201" w:rsidRPr="00046164" w:rsidRDefault="00424201" w:rsidP="00046164">
      <w:pPr>
        <w:rPr>
          <w:szCs w:val="24"/>
        </w:rPr>
      </w:pPr>
      <w:r w:rsidRPr="00046164">
        <w:rPr>
          <w:b/>
          <w:szCs w:val="24"/>
        </w:rPr>
        <w:t>Политиката по приходите</w:t>
      </w:r>
      <w:r w:rsidRPr="00046164">
        <w:rPr>
          <w:szCs w:val="24"/>
        </w:rPr>
        <w:t xml:space="preserve"> продължава да се придържа към установените принципи и насоки през последните години, като основните ѝ цели отново са насочени към поддържане на икономическия растеж, стимулиране търсенето и предлагането на труд, подобряване на бизнес средата, борбата с данъчните злоупотреби и повишаване на фискалната устойчивост в дългосрочен план. Запазват се основните приоритети, свързани с подобряване на събираемостта на приходите, справяне със сенчестата икономика и намаляване на административната тежест и разходите за бизнеса и гражданите. С предвидените мерки се цели гарантирането на необходимия финансов ресурс за изпълнение на разходните политики на правителството.</w:t>
      </w:r>
    </w:p>
    <w:p w14:paraId="310411B2" w14:textId="77777777" w:rsidR="00424201" w:rsidRPr="00046164" w:rsidRDefault="00424201" w:rsidP="00D661BA">
      <w:pPr>
        <w:pStyle w:val="Heading4"/>
      </w:pPr>
      <w:r w:rsidRPr="00046164">
        <w:t>Мерки в частта на приходите:</w:t>
      </w:r>
    </w:p>
    <w:p w14:paraId="0427B9BA" w14:textId="77777777" w:rsidR="00424201" w:rsidRPr="00046164" w:rsidRDefault="00424201" w:rsidP="005F0B57">
      <w:pPr>
        <w:pStyle w:val="ListParagraph"/>
        <w:numPr>
          <w:ilvl w:val="0"/>
          <w:numId w:val="10"/>
        </w:numPr>
        <w:tabs>
          <w:tab w:val="clear" w:pos="680"/>
        </w:tabs>
        <w:ind w:left="567" w:hanging="283"/>
        <w:rPr>
          <w:szCs w:val="24"/>
        </w:rPr>
      </w:pPr>
      <w:r w:rsidRPr="00046164">
        <w:rPr>
          <w:szCs w:val="24"/>
        </w:rPr>
        <w:t>запазване на ниските данъчни ставки за корпоративни данъци и данъка върху доходите на физическите лица, както и на основната ставка на ДДС, като важен стимул за инвестиции, потребление, икономически растеж и заетост. Запазване на данъчните стимули за определени сектори и дейности.</w:t>
      </w:r>
    </w:p>
    <w:p w14:paraId="030CC2CE" w14:textId="2A5AD298" w:rsidR="00424201" w:rsidRPr="00046164" w:rsidRDefault="00424201" w:rsidP="005F0B57">
      <w:pPr>
        <w:pStyle w:val="ListParagraph"/>
        <w:numPr>
          <w:ilvl w:val="0"/>
          <w:numId w:val="10"/>
        </w:numPr>
        <w:tabs>
          <w:tab w:val="clear" w:pos="680"/>
        </w:tabs>
        <w:ind w:left="567" w:hanging="283"/>
        <w:rPr>
          <w:szCs w:val="24"/>
        </w:rPr>
      </w:pPr>
      <w:r w:rsidRPr="00046164">
        <w:rPr>
          <w:szCs w:val="24"/>
        </w:rPr>
        <w:t>размерите и съотношенията осигурител/осигурен на осигурителните вноски за фондовете на държавното обществено осигуряване</w:t>
      </w:r>
      <w:r w:rsidR="009D5B59">
        <w:rPr>
          <w:szCs w:val="24"/>
        </w:rPr>
        <w:t xml:space="preserve"> (ДОО)</w:t>
      </w:r>
      <w:r w:rsidRPr="00046164">
        <w:rPr>
          <w:szCs w:val="24"/>
        </w:rPr>
        <w:t xml:space="preserve"> и на здравноосигурителната вноска се запазват непроменени през 2022</w:t>
      </w:r>
      <w:r w:rsidR="00DF07FD">
        <w:rPr>
          <w:szCs w:val="24"/>
        </w:rPr>
        <w:t> г.</w:t>
      </w:r>
      <w:r w:rsidRPr="00046164">
        <w:rPr>
          <w:szCs w:val="24"/>
        </w:rPr>
        <w:t xml:space="preserve"> в сравнение с 2021 г.</w:t>
      </w:r>
    </w:p>
    <w:p w14:paraId="1B9A0F16" w14:textId="728B2603" w:rsidR="00424201" w:rsidRPr="00046164" w:rsidRDefault="00424201" w:rsidP="005F0B57">
      <w:pPr>
        <w:pStyle w:val="ListParagraph"/>
        <w:numPr>
          <w:ilvl w:val="0"/>
          <w:numId w:val="10"/>
        </w:numPr>
        <w:tabs>
          <w:tab w:val="clear" w:pos="680"/>
        </w:tabs>
        <w:ind w:left="567" w:hanging="283"/>
        <w:rPr>
          <w:szCs w:val="24"/>
        </w:rPr>
      </w:pPr>
      <w:r w:rsidRPr="00046164">
        <w:rPr>
          <w:szCs w:val="24"/>
        </w:rPr>
        <w:t>с най-голям бюджетен ефект са мерките, свързани с промяна на политиката по доходите – увеличение на минималната работна заплата от 650 на 710 лв. от 1 април 2022</w:t>
      </w:r>
      <w:r w:rsidR="00DF07FD">
        <w:rPr>
          <w:szCs w:val="24"/>
        </w:rPr>
        <w:t> г.</w:t>
      </w:r>
      <w:r w:rsidRPr="00046164">
        <w:rPr>
          <w:szCs w:val="24"/>
        </w:rPr>
        <w:t>, нарастване на минималните осигурителни прагове и на минималните осигурителни доходи на самоосигуряващите се лица и минималния осигурителен доход на земеделските стопани и тютюнопроизводители, увеличение на максималния осигурителен доход от 3000 на 3400 лв. от 1 април 2022</w:t>
      </w:r>
      <w:r w:rsidR="00DF07FD">
        <w:rPr>
          <w:szCs w:val="24"/>
        </w:rPr>
        <w:t> г.</w:t>
      </w:r>
      <w:r w:rsidRPr="00046164">
        <w:rPr>
          <w:szCs w:val="24"/>
        </w:rPr>
        <w:t xml:space="preserve"> Посочените мерки водят до допълнителни приходи от социално-осиг</w:t>
      </w:r>
      <w:r w:rsidR="00312179" w:rsidRPr="00046164">
        <w:rPr>
          <w:szCs w:val="24"/>
        </w:rPr>
        <w:t>урителни вноски в размер на 267.4 млн. лв. (0.</w:t>
      </w:r>
      <w:r w:rsidRPr="00046164">
        <w:rPr>
          <w:szCs w:val="24"/>
        </w:rPr>
        <w:t>18</w:t>
      </w:r>
      <w:r w:rsidR="000F033A" w:rsidRPr="00046164">
        <w:rPr>
          <w:szCs w:val="24"/>
        </w:rPr>
        <w:t>%</w:t>
      </w:r>
      <w:r w:rsidRPr="00046164">
        <w:rPr>
          <w:szCs w:val="24"/>
        </w:rPr>
        <w:t xml:space="preserve"> от прогнозния БВП) и от здравноосиг</w:t>
      </w:r>
      <w:r w:rsidR="00312179" w:rsidRPr="00046164">
        <w:rPr>
          <w:szCs w:val="24"/>
        </w:rPr>
        <w:t>урителни вноски в размер на 102.6 млн. лв. (0.</w:t>
      </w:r>
      <w:r w:rsidRPr="00046164">
        <w:rPr>
          <w:szCs w:val="24"/>
        </w:rPr>
        <w:t>07</w:t>
      </w:r>
      <w:r w:rsidR="000F033A" w:rsidRPr="00046164">
        <w:rPr>
          <w:szCs w:val="24"/>
        </w:rPr>
        <w:t>%</w:t>
      </w:r>
      <w:r w:rsidRPr="00046164">
        <w:rPr>
          <w:szCs w:val="24"/>
        </w:rPr>
        <w:t xml:space="preserve"> от прогнозния БВП).</w:t>
      </w:r>
    </w:p>
    <w:p w14:paraId="004185F5" w14:textId="12F5E0DB" w:rsidR="00424201" w:rsidRPr="00046164" w:rsidRDefault="00424201" w:rsidP="005F0B57">
      <w:pPr>
        <w:pStyle w:val="ListParagraph"/>
        <w:numPr>
          <w:ilvl w:val="0"/>
          <w:numId w:val="10"/>
        </w:numPr>
        <w:tabs>
          <w:tab w:val="clear" w:pos="680"/>
        </w:tabs>
        <w:ind w:left="567" w:hanging="283"/>
        <w:rPr>
          <w:szCs w:val="24"/>
        </w:rPr>
      </w:pPr>
      <w:r w:rsidRPr="00046164">
        <w:rPr>
          <w:szCs w:val="24"/>
        </w:rPr>
        <w:t>различните мерки, предприети в областите на данъчната и осигурителната политики, имат разнопосочно влияние върху приходите от ДДФЛ. Увеличението на минималната работна заплата и на минималните осигурителни прагове и доходи водят до нарастване на приходите от ДДФЛ. В противоположна посока е влиянието на увеличението на максималния осигурителен доход и отмяната на данъка върху придобити о</w:t>
      </w:r>
      <w:r w:rsidR="00312179" w:rsidRPr="00046164">
        <w:rPr>
          <w:szCs w:val="24"/>
        </w:rPr>
        <w:t>т местни физически лица доходи</w:t>
      </w:r>
      <w:r w:rsidRPr="00046164">
        <w:rPr>
          <w:szCs w:val="24"/>
        </w:rPr>
        <w:t xml:space="preserve"> от лихви по банкови сметки. Нетният ефект от тези мерки върху приходите от </w:t>
      </w:r>
      <w:r w:rsidR="007C0ACD">
        <w:rPr>
          <w:szCs w:val="24"/>
        </w:rPr>
        <w:t>ДДФЛ</w:t>
      </w:r>
      <w:r w:rsidR="007C0ACD" w:rsidRPr="00046164">
        <w:rPr>
          <w:szCs w:val="24"/>
        </w:rPr>
        <w:t xml:space="preserve"> </w:t>
      </w:r>
      <w:r w:rsidRPr="00046164">
        <w:rPr>
          <w:szCs w:val="24"/>
        </w:rPr>
        <w:t xml:space="preserve">е </w:t>
      </w:r>
      <w:r w:rsidR="007C0ACD">
        <w:rPr>
          <w:szCs w:val="24"/>
        </w:rPr>
        <w:t xml:space="preserve">в </w:t>
      </w:r>
      <w:r w:rsidRPr="00046164">
        <w:rPr>
          <w:szCs w:val="24"/>
        </w:rPr>
        <w:t>полож</w:t>
      </w:r>
      <w:r w:rsidR="00312179" w:rsidRPr="00046164">
        <w:rPr>
          <w:szCs w:val="24"/>
        </w:rPr>
        <w:t>ителна посока и се оценява на 4.</w:t>
      </w:r>
      <w:r w:rsidRPr="00046164">
        <w:rPr>
          <w:szCs w:val="24"/>
        </w:rPr>
        <w:t xml:space="preserve">8 млн. лв. </w:t>
      </w:r>
    </w:p>
    <w:p w14:paraId="6CBCACA4" w14:textId="3D2D5363" w:rsidR="00424201" w:rsidRPr="00046164" w:rsidRDefault="00424201" w:rsidP="005F0B57">
      <w:pPr>
        <w:pStyle w:val="ListParagraph"/>
        <w:numPr>
          <w:ilvl w:val="0"/>
          <w:numId w:val="10"/>
        </w:numPr>
        <w:tabs>
          <w:tab w:val="clear" w:pos="680"/>
        </w:tabs>
        <w:ind w:left="567" w:hanging="283"/>
        <w:rPr>
          <w:szCs w:val="24"/>
        </w:rPr>
      </w:pPr>
      <w:r w:rsidRPr="00046164">
        <w:rPr>
          <w:szCs w:val="24"/>
        </w:rPr>
        <w:t>намалението на ставката на данъка върху разходите в натура води до нама</w:t>
      </w:r>
      <w:r w:rsidR="00312179" w:rsidRPr="00046164">
        <w:rPr>
          <w:szCs w:val="24"/>
        </w:rPr>
        <w:t>ление на данъчните приходи с 11.0 млн. лв. (0.</w:t>
      </w:r>
      <w:r w:rsidRPr="00046164">
        <w:rPr>
          <w:szCs w:val="24"/>
        </w:rPr>
        <w:t>01</w:t>
      </w:r>
      <w:r w:rsidR="000F033A" w:rsidRPr="00046164">
        <w:rPr>
          <w:szCs w:val="24"/>
        </w:rPr>
        <w:t>%</w:t>
      </w:r>
      <w:r w:rsidRPr="00046164">
        <w:rPr>
          <w:szCs w:val="24"/>
        </w:rPr>
        <w:t xml:space="preserve"> от прогнозния БВП)</w:t>
      </w:r>
    </w:p>
    <w:p w14:paraId="712D19D7" w14:textId="28401A2F" w:rsidR="006E2F4C" w:rsidRPr="000639F1" w:rsidRDefault="006E2F4C" w:rsidP="006E2F4C">
      <w:pPr>
        <w:pStyle w:val="ListParagraph"/>
        <w:numPr>
          <w:ilvl w:val="0"/>
          <w:numId w:val="10"/>
        </w:numPr>
        <w:tabs>
          <w:tab w:val="clear" w:pos="680"/>
        </w:tabs>
        <w:ind w:left="567" w:hanging="283"/>
        <w:rPr>
          <w:szCs w:val="24"/>
        </w:rPr>
      </w:pPr>
      <w:r w:rsidRPr="000639F1">
        <w:rPr>
          <w:szCs w:val="24"/>
        </w:rPr>
        <w:lastRenderedPageBreak/>
        <w:t xml:space="preserve">през 2022 г. очакваните допълнителни социално-осигурителни вноски от промяна в избора на осигуряване само в първия стълб на пенсионната система (от универсален пенсионен фонд във фонд на ДОО) са с общ допълнителен положителен ефект от </w:t>
      </w:r>
      <w:r w:rsidRPr="006E2F4C">
        <w:rPr>
          <w:szCs w:val="24"/>
        </w:rPr>
        <w:t>27</w:t>
      </w:r>
      <w:r w:rsidRPr="000639F1">
        <w:rPr>
          <w:szCs w:val="24"/>
        </w:rPr>
        <w:t>.</w:t>
      </w:r>
      <w:r w:rsidRPr="006E2F4C">
        <w:rPr>
          <w:szCs w:val="24"/>
        </w:rPr>
        <w:t>8</w:t>
      </w:r>
      <w:r w:rsidRPr="000639F1">
        <w:rPr>
          <w:szCs w:val="24"/>
        </w:rPr>
        <w:t xml:space="preserve"> млн. лв.</w:t>
      </w:r>
      <w:r w:rsidR="00327E64">
        <w:rPr>
          <w:szCs w:val="24"/>
        </w:rPr>
        <w:t xml:space="preserve"> </w:t>
      </w:r>
      <w:r w:rsidRPr="000639F1">
        <w:rPr>
          <w:szCs w:val="24"/>
        </w:rPr>
        <w:t>(0.0</w:t>
      </w:r>
      <w:r w:rsidRPr="006E2F4C">
        <w:rPr>
          <w:szCs w:val="24"/>
        </w:rPr>
        <w:t>2</w:t>
      </w:r>
      <w:r w:rsidRPr="000639F1">
        <w:rPr>
          <w:szCs w:val="24"/>
        </w:rPr>
        <w:t>% от прогнозния БВП).</w:t>
      </w:r>
    </w:p>
    <w:p w14:paraId="09BCB77D" w14:textId="04E44647" w:rsidR="00424201" w:rsidRPr="00046164" w:rsidRDefault="00424201" w:rsidP="005F0B57">
      <w:pPr>
        <w:pStyle w:val="ListParagraph"/>
        <w:numPr>
          <w:ilvl w:val="0"/>
          <w:numId w:val="10"/>
        </w:numPr>
        <w:tabs>
          <w:tab w:val="clear" w:pos="680"/>
        </w:tabs>
        <w:ind w:left="567" w:hanging="283"/>
        <w:rPr>
          <w:szCs w:val="24"/>
        </w:rPr>
      </w:pPr>
      <w:r w:rsidRPr="00046164">
        <w:rPr>
          <w:szCs w:val="24"/>
        </w:rPr>
        <w:t>със значителен положителен ефект са допълнителните приходи, свързани с оперирането на ТОЛ системата в страната. През 2022</w:t>
      </w:r>
      <w:r w:rsidR="00DF07FD">
        <w:rPr>
          <w:szCs w:val="24"/>
        </w:rPr>
        <w:t> г.</w:t>
      </w:r>
      <w:r w:rsidRPr="00046164">
        <w:rPr>
          <w:szCs w:val="24"/>
        </w:rPr>
        <w:t xml:space="preserve"> се предвижда разширяване на обхвата от републиканската пътна мрежа, за която се заплащат ТОЛ такси от товарните автомобили, както и актуализация на тарифата за изминато разстояние. Размерът на очаква</w:t>
      </w:r>
      <w:r w:rsidR="00312179" w:rsidRPr="00046164">
        <w:rPr>
          <w:szCs w:val="24"/>
        </w:rPr>
        <w:t>ните допълнителни приходи е 290.0 млн. лв. (0.</w:t>
      </w:r>
      <w:r w:rsidRPr="00046164">
        <w:rPr>
          <w:szCs w:val="24"/>
        </w:rPr>
        <w:t>20</w:t>
      </w:r>
      <w:r w:rsidR="000F033A" w:rsidRPr="00046164">
        <w:rPr>
          <w:szCs w:val="24"/>
        </w:rPr>
        <w:t>%</w:t>
      </w:r>
      <w:r w:rsidRPr="00046164">
        <w:rPr>
          <w:szCs w:val="24"/>
        </w:rPr>
        <w:t xml:space="preserve"> от прогнозния БВП).</w:t>
      </w:r>
    </w:p>
    <w:p w14:paraId="27D7DC07" w14:textId="00FD69E8" w:rsidR="00424201" w:rsidRPr="00046164" w:rsidRDefault="00424201" w:rsidP="005F0B57">
      <w:pPr>
        <w:pStyle w:val="ListParagraph"/>
        <w:numPr>
          <w:ilvl w:val="0"/>
          <w:numId w:val="10"/>
        </w:numPr>
        <w:tabs>
          <w:tab w:val="clear" w:pos="680"/>
        </w:tabs>
        <w:ind w:left="567" w:hanging="283"/>
        <w:rPr>
          <w:szCs w:val="24"/>
        </w:rPr>
      </w:pPr>
      <w:r w:rsidRPr="00046164">
        <w:rPr>
          <w:szCs w:val="24"/>
        </w:rPr>
        <w:t>от 1 април 2022</w:t>
      </w:r>
      <w:r w:rsidR="00DF07FD">
        <w:rPr>
          <w:szCs w:val="24"/>
        </w:rPr>
        <w:t> г.</w:t>
      </w:r>
      <w:r w:rsidRPr="00046164">
        <w:rPr>
          <w:szCs w:val="24"/>
        </w:rPr>
        <w:t xml:space="preserve"> като социална мярка за подкрепа на семействата с деца, които посещават детска градина или детска ясла, е отпадането на таксите за ползването на детските градини и детските ясли. Намален</w:t>
      </w:r>
      <w:r w:rsidR="00312179" w:rsidRPr="00046164">
        <w:rPr>
          <w:szCs w:val="24"/>
        </w:rPr>
        <w:t>ието на приходите от такси е 35.</w:t>
      </w:r>
      <w:r w:rsidRPr="00046164">
        <w:rPr>
          <w:szCs w:val="24"/>
        </w:rPr>
        <w:t xml:space="preserve">6 млн. лв. </w:t>
      </w:r>
      <w:r w:rsidR="00312179" w:rsidRPr="00046164">
        <w:rPr>
          <w:szCs w:val="24"/>
        </w:rPr>
        <w:t>(0.</w:t>
      </w:r>
      <w:r w:rsidRPr="00046164">
        <w:rPr>
          <w:szCs w:val="24"/>
        </w:rPr>
        <w:t>02</w:t>
      </w:r>
      <w:r w:rsidR="000F033A" w:rsidRPr="00046164">
        <w:rPr>
          <w:szCs w:val="24"/>
        </w:rPr>
        <w:t>%</w:t>
      </w:r>
      <w:r w:rsidRPr="00046164">
        <w:rPr>
          <w:szCs w:val="24"/>
        </w:rPr>
        <w:t xml:space="preserve"> от прогнозния БВП).</w:t>
      </w:r>
    </w:p>
    <w:p w14:paraId="1F20B310" w14:textId="3DF2D49B" w:rsidR="00424201" w:rsidRPr="00046164" w:rsidRDefault="00424201" w:rsidP="00046164">
      <w:pPr>
        <w:rPr>
          <w:szCs w:val="24"/>
        </w:rPr>
      </w:pPr>
      <w:r w:rsidRPr="00046164">
        <w:rPr>
          <w:szCs w:val="24"/>
        </w:rPr>
        <w:t>Параметрите на политиките по разходите за 2021</w:t>
      </w:r>
      <w:r w:rsidR="00DF07FD">
        <w:rPr>
          <w:szCs w:val="24"/>
        </w:rPr>
        <w:t> г.</w:t>
      </w:r>
      <w:r w:rsidRPr="00046164">
        <w:rPr>
          <w:szCs w:val="24"/>
        </w:rPr>
        <w:t xml:space="preserve"> са съобразени с възможностите на бюджета за финансиране на държавните дейности, перспективите за развитие на публичните сфери, икономическите измерения от пандемията от COVID-19, ускоряване на икономическия растеж, както и с необходимостта от обезпечаване на ресурси за намаляване на натиска от високите цени на електроенергията върху икономиката.</w:t>
      </w:r>
    </w:p>
    <w:p w14:paraId="263C06BD" w14:textId="77777777" w:rsidR="00424201" w:rsidRPr="00046164" w:rsidRDefault="00424201" w:rsidP="00D661BA">
      <w:pPr>
        <w:pStyle w:val="Heading4"/>
      </w:pPr>
      <w:r w:rsidRPr="00046164">
        <w:t>Политика по доходите</w:t>
      </w:r>
    </w:p>
    <w:p w14:paraId="67DB5ADF" w14:textId="64E9D2B0" w:rsidR="00424201" w:rsidRPr="00046164" w:rsidRDefault="00424201" w:rsidP="00046164">
      <w:pPr>
        <w:rPr>
          <w:szCs w:val="24"/>
        </w:rPr>
      </w:pPr>
      <w:r w:rsidRPr="00046164">
        <w:rPr>
          <w:szCs w:val="24"/>
        </w:rPr>
        <w:t>От 1 април 2022</w:t>
      </w:r>
      <w:r w:rsidR="00DF07FD">
        <w:rPr>
          <w:szCs w:val="24"/>
        </w:rPr>
        <w:t> г.</w:t>
      </w:r>
      <w:r w:rsidRPr="00046164">
        <w:rPr>
          <w:szCs w:val="24"/>
        </w:rPr>
        <w:t xml:space="preserve"> се увеличава минималната работна заплата (МРЗ) за страната от 650 на 710 лв., като това се предвижда да повиш</w:t>
      </w:r>
      <w:r w:rsidR="00312179" w:rsidRPr="00046164">
        <w:rPr>
          <w:szCs w:val="24"/>
        </w:rPr>
        <w:t>и разходите за персонал със 136.0 млн. лв. (0.</w:t>
      </w:r>
      <w:r w:rsidRPr="00046164">
        <w:rPr>
          <w:szCs w:val="24"/>
        </w:rPr>
        <w:t>09</w:t>
      </w:r>
      <w:r w:rsidR="000F033A" w:rsidRPr="00046164">
        <w:rPr>
          <w:szCs w:val="24"/>
        </w:rPr>
        <w:t>%</w:t>
      </w:r>
      <w:r w:rsidRPr="00046164">
        <w:rPr>
          <w:szCs w:val="24"/>
        </w:rPr>
        <w:t xml:space="preserve"> от прогнозния БВП).</w:t>
      </w:r>
    </w:p>
    <w:p w14:paraId="653A1186" w14:textId="576019DB" w:rsidR="00424201" w:rsidRPr="00046164" w:rsidRDefault="00424201" w:rsidP="00046164">
      <w:pPr>
        <w:rPr>
          <w:rFonts w:eastAsia="Times New Roman"/>
          <w:szCs w:val="24"/>
        </w:rPr>
      </w:pPr>
      <w:r w:rsidRPr="00046164">
        <w:rPr>
          <w:szCs w:val="24"/>
        </w:rPr>
        <w:t>През 2022</w:t>
      </w:r>
      <w:r w:rsidR="00DF07FD">
        <w:rPr>
          <w:szCs w:val="24"/>
        </w:rPr>
        <w:t> г.</w:t>
      </w:r>
      <w:r w:rsidRPr="00046164">
        <w:rPr>
          <w:szCs w:val="24"/>
        </w:rPr>
        <w:t xml:space="preserve"> за осъществяване на политиката </w:t>
      </w:r>
      <w:r w:rsidRPr="00046164">
        <w:rPr>
          <w:rFonts w:eastAsia="Times New Roman"/>
          <w:szCs w:val="24"/>
        </w:rPr>
        <w:t>за увеличение на заплатите на педагогическите специалисти за достигане на средна работна заплата в сферата до размер от не по-малко от 125 на сто от средната работна заплата за страната</w:t>
      </w:r>
      <w:r w:rsidR="00312179" w:rsidRPr="00046164">
        <w:rPr>
          <w:rFonts w:eastAsia="Times New Roman"/>
          <w:szCs w:val="24"/>
        </w:rPr>
        <w:t xml:space="preserve"> са предвидени допълнително 239.5 млн. лв. (0.</w:t>
      </w:r>
      <w:r w:rsidRPr="00046164">
        <w:rPr>
          <w:rFonts w:eastAsia="Times New Roman"/>
          <w:szCs w:val="24"/>
        </w:rPr>
        <w:t>16</w:t>
      </w:r>
      <w:r w:rsidR="000F033A" w:rsidRPr="00046164">
        <w:rPr>
          <w:rFonts w:eastAsia="Times New Roman"/>
          <w:szCs w:val="24"/>
        </w:rPr>
        <w:t>%</w:t>
      </w:r>
      <w:r w:rsidRPr="00046164">
        <w:rPr>
          <w:rFonts w:eastAsia="Times New Roman"/>
          <w:szCs w:val="24"/>
        </w:rPr>
        <w:t xml:space="preserve"> от прогнозния БВП).</w:t>
      </w:r>
    </w:p>
    <w:p w14:paraId="7FBF2CD3" w14:textId="3CA08860" w:rsidR="00424201" w:rsidRPr="00046164" w:rsidRDefault="00424201" w:rsidP="00046164">
      <w:pPr>
        <w:rPr>
          <w:rFonts w:eastAsia="Calibri"/>
          <w:szCs w:val="24"/>
        </w:rPr>
      </w:pPr>
      <w:r w:rsidRPr="00046164">
        <w:rPr>
          <w:rFonts w:eastAsia="Calibri"/>
          <w:szCs w:val="24"/>
        </w:rPr>
        <w:t>Заложено е индексиране на основните и допълнителните възнаграждения на заетите в съдебната система, които се определят съгласно разписаните в Закона за съдебната власт механизми. Ефектът от тази мярка е увеличение на план</w:t>
      </w:r>
      <w:r w:rsidR="00312179" w:rsidRPr="00046164">
        <w:rPr>
          <w:rFonts w:eastAsia="Calibri"/>
          <w:szCs w:val="24"/>
        </w:rPr>
        <w:t>ираните разходи за заплати с 95.0 млн. лв. (0.</w:t>
      </w:r>
      <w:r w:rsidRPr="00046164">
        <w:rPr>
          <w:rFonts w:eastAsia="Calibri"/>
          <w:szCs w:val="24"/>
        </w:rPr>
        <w:t>06</w:t>
      </w:r>
      <w:r w:rsidR="000F033A" w:rsidRPr="00046164">
        <w:rPr>
          <w:rFonts w:eastAsia="Calibri"/>
          <w:szCs w:val="24"/>
        </w:rPr>
        <w:t>%</w:t>
      </w:r>
      <w:r w:rsidRPr="00046164">
        <w:rPr>
          <w:rFonts w:eastAsia="Calibri"/>
          <w:szCs w:val="24"/>
        </w:rPr>
        <w:t xml:space="preserve"> от прогнозния БВП).</w:t>
      </w:r>
    </w:p>
    <w:p w14:paraId="5CF6E61E" w14:textId="77777777" w:rsidR="00424201" w:rsidRPr="00046164" w:rsidRDefault="00424201" w:rsidP="00D661BA">
      <w:pPr>
        <w:pStyle w:val="Heading4"/>
      </w:pPr>
      <w:r w:rsidRPr="00046164">
        <w:t>Мерки по отношение на пенсиите, социалните помощи и обезщетения, и социалното подпомагане:</w:t>
      </w:r>
    </w:p>
    <w:p w14:paraId="06E6EBE9" w14:textId="77777777" w:rsidR="00424201" w:rsidRPr="00046164" w:rsidRDefault="00424201" w:rsidP="00046164">
      <w:pPr>
        <w:rPr>
          <w:szCs w:val="24"/>
        </w:rPr>
      </w:pPr>
      <w:r w:rsidRPr="00046164">
        <w:rPr>
          <w:szCs w:val="24"/>
        </w:rPr>
        <w:t xml:space="preserve">В областта на </w:t>
      </w:r>
      <w:r w:rsidRPr="00046164">
        <w:rPr>
          <w:szCs w:val="24"/>
          <w:u w:val="single"/>
        </w:rPr>
        <w:t>пенсионната политика</w:t>
      </w:r>
      <w:r w:rsidRPr="00046164">
        <w:rPr>
          <w:szCs w:val="24"/>
        </w:rPr>
        <w:t xml:space="preserve"> разходите са повлияни от следните мерки:</w:t>
      </w:r>
    </w:p>
    <w:p w14:paraId="63F50968" w14:textId="77ADA0C3" w:rsidR="00424201" w:rsidRPr="00046164" w:rsidRDefault="00424201" w:rsidP="005F0B57">
      <w:pPr>
        <w:pStyle w:val="ListParagraph"/>
        <w:numPr>
          <w:ilvl w:val="0"/>
          <w:numId w:val="10"/>
        </w:numPr>
        <w:tabs>
          <w:tab w:val="clear" w:pos="680"/>
        </w:tabs>
        <w:ind w:left="567" w:hanging="283"/>
        <w:rPr>
          <w:szCs w:val="24"/>
        </w:rPr>
      </w:pPr>
      <w:r w:rsidRPr="00046164">
        <w:rPr>
          <w:szCs w:val="24"/>
        </w:rPr>
        <w:t>целогодишното изплащане на у</w:t>
      </w:r>
      <w:r w:rsidR="00312179" w:rsidRPr="00046164">
        <w:rPr>
          <w:szCs w:val="24"/>
        </w:rPr>
        <w:t>величените от 1 юли 2021</w:t>
      </w:r>
      <w:r w:rsidR="00DF07FD">
        <w:rPr>
          <w:szCs w:val="24"/>
        </w:rPr>
        <w:t> г.</w:t>
      </w:r>
      <w:r w:rsidR="00312179" w:rsidRPr="00046164">
        <w:rPr>
          <w:szCs w:val="24"/>
        </w:rPr>
        <w:t xml:space="preserve"> с 5</w:t>
      </w:r>
      <w:r w:rsidRPr="00046164">
        <w:rPr>
          <w:szCs w:val="24"/>
        </w:rPr>
        <w:t>% размери на пенсиите за трудова дейност, на социалната пенсия за старост, както и на свързаните с нейни</w:t>
      </w:r>
      <w:r w:rsidR="00312179" w:rsidRPr="00046164">
        <w:rPr>
          <w:szCs w:val="24"/>
        </w:rPr>
        <w:t>я размер пенсии и добавки – 280.</w:t>
      </w:r>
      <w:r w:rsidRPr="00046164">
        <w:rPr>
          <w:szCs w:val="24"/>
        </w:rPr>
        <w:t>0 млн. лв. допълн</w:t>
      </w:r>
      <w:r w:rsidR="00312179" w:rsidRPr="00046164">
        <w:rPr>
          <w:szCs w:val="24"/>
        </w:rPr>
        <w:t>ителни разходи (0.</w:t>
      </w:r>
      <w:r w:rsidRPr="00EC430A">
        <w:rPr>
          <w:szCs w:val="24"/>
        </w:rPr>
        <w:t>19</w:t>
      </w:r>
      <w:r w:rsidR="000F033A" w:rsidRPr="00046164">
        <w:rPr>
          <w:szCs w:val="24"/>
        </w:rPr>
        <w:t>%</w:t>
      </w:r>
      <w:r w:rsidRPr="00046164">
        <w:rPr>
          <w:szCs w:val="24"/>
        </w:rPr>
        <w:t xml:space="preserve"> от прогнозния БВП).</w:t>
      </w:r>
    </w:p>
    <w:p w14:paraId="4A76CAB9" w14:textId="427941C0" w:rsidR="00424201" w:rsidRPr="00046164" w:rsidRDefault="00424201" w:rsidP="005F0B57">
      <w:pPr>
        <w:pStyle w:val="ListParagraph"/>
        <w:numPr>
          <w:ilvl w:val="0"/>
          <w:numId w:val="10"/>
        </w:numPr>
        <w:tabs>
          <w:tab w:val="clear" w:pos="680"/>
        </w:tabs>
        <w:ind w:left="567" w:hanging="283"/>
        <w:rPr>
          <w:szCs w:val="24"/>
        </w:rPr>
      </w:pPr>
      <w:r w:rsidRPr="00046164">
        <w:rPr>
          <w:szCs w:val="24"/>
        </w:rPr>
        <w:t>увеличаване на минималния размер на пенсията за осигурителен стаж и възраст от 300 на 370 лв., считано от 25 декември</w:t>
      </w:r>
      <w:r w:rsidR="00312179" w:rsidRPr="00046164">
        <w:rPr>
          <w:szCs w:val="24"/>
        </w:rPr>
        <w:t xml:space="preserve"> 2021</w:t>
      </w:r>
      <w:r w:rsidR="00DF07FD">
        <w:rPr>
          <w:szCs w:val="24"/>
        </w:rPr>
        <w:t> г.</w:t>
      </w:r>
      <w:r w:rsidR="00312179" w:rsidRPr="00046164">
        <w:rPr>
          <w:szCs w:val="24"/>
        </w:rPr>
        <w:t xml:space="preserve"> – очакваният ефект 775.</w:t>
      </w:r>
      <w:r w:rsidRPr="00046164">
        <w:rPr>
          <w:szCs w:val="24"/>
        </w:rPr>
        <w:t>0 млн. лв. допълн</w:t>
      </w:r>
      <w:r w:rsidR="00312179" w:rsidRPr="00046164">
        <w:rPr>
          <w:szCs w:val="24"/>
        </w:rPr>
        <w:t>ителни разходи през годината (0.</w:t>
      </w:r>
      <w:r w:rsidRPr="00046164">
        <w:rPr>
          <w:szCs w:val="24"/>
        </w:rPr>
        <w:t>53</w:t>
      </w:r>
      <w:r w:rsidR="000F033A" w:rsidRPr="00046164">
        <w:rPr>
          <w:szCs w:val="24"/>
        </w:rPr>
        <w:t>%</w:t>
      </w:r>
      <w:r w:rsidRPr="00046164">
        <w:rPr>
          <w:szCs w:val="24"/>
        </w:rPr>
        <w:t xml:space="preserve"> от прогнозния БВП).</w:t>
      </w:r>
    </w:p>
    <w:p w14:paraId="4A4C0348" w14:textId="592A7FC3"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нарастването на тежестта на всяка година осигурителен </w:t>
      </w:r>
      <w:r w:rsidR="00312179" w:rsidRPr="00046164">
        <w:rPr>
          <w:szCs w:val="24"/>
        </w:rPr>
        <w:t>стаж в пенсионната формула от 1.2 на сто на 1.</w:t>
      </w:r>
      <w:r w:rsidRPr="00046164">
        <w:rPr>
          <w:szCs w:val="24"/>
        </w:rPr>
        <w:t>35 на ст</w:t>
      </w:r>
      <w:r w:rsidR="00312179" w:rsidRPr="00046164">
        <w:rPr>
          <w:szCs w:val="24"/>
        </w:rPr>
        <w:t>о е с общ бюджетен ефект от 760.0 млн. лв. за 2022</w:t>
      </w:r>
      <w:r w:rsidR="00DF07FD">
        <w:rPr>
          <w:szCs w:val="24"/>
        </w:rPr>
        <w:t> г.</w:t>
      </w:r>
      <w:r w:rsidR="00312179" w:rsidRPr="00046164">
        <w:rPr>
          <w:szCs w:val="24"/>
        </w:rPr>
        <w:t xml:space="preserve"> (0.</w:t>
      </w:r>
      <w:r w:rsidRPr="00046164">
        <w:rPr>
          <w:szCs w:val="24"/>
        </w:rPr>
        <w:t>52</w:t>
      </w:r>
      <w:r w:rsidR="000F033A" w:rsidRPr="00046164">
        <w:rPr>
          <w:szCs w:val="24"/>
        </w:rPr>
        <w:t>%</w:t>
      </w:r>
      <w:r w:rsidRPr="00046164">
        <w:rPr>
          <w:szCs w:val="24"/>
        </w:rPr>
        <w:t xml:space="preserve"> от прогнозния БВП).</w:t>
      </w:r>
    </w:p>
    <w:p w14:paraId="6126C675" w14:textId="5EA8DE70" w:rsidR="00424201" w:rsidRPr="00046164" w:rsidRDefault="00424201" w:rsidP="005F0B57">
      <w:pPr>
        <w:pStyle w:val="ListParagraph"/>
        <w:numPr>
          <w:ilvl w:val="0"/>
          <w:numId w:val="10"/>
        </w:numPr>
        <w:tabs>
          <w:tab w:val="clear" w:pos="680"/>
        </w:tabs>
        <w:ind w:left="567" w:hanging="283"/>
        <w:rPr>
          <w:szCs w:val="24"/>
        </w:rPr>
      </w:pPr>
      <w:r w:rsidRPr="00046164">
        <w:rPr>
          <w:szCs w:val="24"/>
        </w:rPr>
        <w:lastRenderedPageBreak/>
        <w:t>увеличаване на максималния размер на получаваните една и</w:t>
      </w:r>
      <w:r w:rsidR="00312179" w:rsidRPr="00046164">
        <w:rPr>
          <w:szCs w:val="24"/>
        </w:rPr>
        <w:t xml:space="preserve">ли повече пенсии от 1 440 на </w:t>
      </w:r>
      <w:r w:rsidRPr="00046164">
        <w:rPr>
          <w:szCs w:val="24"/>
        </w:rPr>
        <w:t>1 500 лв., считано от 25 декември 2021</w:t>
      </w:r>
      <w:r w:rsidR="00DF07FD">
        <w:rPr>
          <w:szCs w:val="24"/>
        </w:rPr>
        <w:t> г.</w:t>
      </w:r>
      <w:r w:rsidRPr="00046164">
        <w:rPr>
          <w:szCs w:val="24"/>
        </w:rPr>
        <w:t xml:space="preserve">, се очаква да </w:t>
      </w:r>
      <w:r w:rsidR="00312179" w:rsidRPr="00046164">
        <w:rPr>
          <w:szCs w:val="24"/>
        </w:rPr>
        <w:t>има ефект върху разходите от 30.5 млн. лв. (0.</w:t>
      </w:r>
      <w:r w:rsidRPr="00046164">
        <w:rPr>
          <w:szCs w:val="24"/>
        </w:rPr>
        <w:t>02</w:t>
      </w:r>
      <w:r w:rsidR="000F033A" w:rsidRPr="00046164">
        <w:rPr>
          <w:szCs w:val="24"/>
        </w:rPr>
        <w:t>%</w:t>
      </w:r>
      <w:r w:rsidRPr="00046164">
        <w:rPr>
          <w:szCs w:val="24"/>
        </w:rPr>
        <w:t xml:space="preserve"> от прогнозния БВП).</w:t>
      </w:r>
    </w:p>
    <w:p w14:paraId="27986686" w14:textId="6DC88FB2"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преизчисляването на индивидуалния коефициент, когато лицето се осигурява и в универсален пенсионен </w:t>
      </w:r>
      <w:r w:rsidR="00312179" w:rsidRPr="00046164">
        <w:rPr>
          <w:szCs w:val="24"/>
        </w:rPr>
        <w:t>фонд (</w:t>
      </w:r>
      <w:r w:rsidRPr="00046164">
        <w:rPr>
          <w:szCs w:val="24"/>
        </w:rPr>
        <w:t>т.нар. редукция), съгласно новите нормативни разпоредби и прилагането на нова редукция, ако това е по-благоприятно за пенсионера, се очаква да д</w:t>
      </w:r>
      <w:r w:rsidR="00312179" w:rsidRPr="00046164">
        <w:rPr>
          <w:szCs w:val="24"/>
        </w:rPr>
        <w:t>оведе до ръст на разходите с 49.5 млн. лв. (0.</w:t>
      </w:r>
      <w:r w:rsidRPr="00046164">
        <w:rPr>
          <w:szCs w:val="24"/>
        </w:rPr>
        <w:t>03</w:t>
      </w:r>
      <w:r w:rsidR="000F033A" w:rsidRPr="00046164">
        <w:rPr>
          <w:szCs w:val="24"/>
        </w:rPr>
        <w:t>%</w:t>
      </w:r>
      <w:r w:rsidRPr="00046164">
        <w:rPr>
          <w:szCs w:val="24"/>
        </w:rPr>
        <w:t xml:space="preserve"> от прогнозния БВП).</w:t>
      </w:r>
    </w:p>
    <w:p w14:paraId="1CA1EB5D" w14:textId="7CB7C5D7" w:rsidR="00424201" w:rsidRPr="00046164" w:rsidRDefault="00424201" w:rsidP="005F0B57">
      <w:pPr>
        <w:pStyle w:val="ListParagraph"/>
        <w:numPr>
          <w:ilvl w:val="0"/>
          <w:numId w:val="10"/>
        </w:numPr>
        <w:tabs>
          <w:tab w:val="clear" w:pos="680"/>
        </w:tabs>
        <w:ind w:left="567" w:hanging="283"/>
        <w:rPr>
          <w:szCs w:val="24"/>
        </w:rPr>
      </w:pPr>
      <w:r w:rsidRPr="00046164">
        <w:rPr>
          <w:szCs w:val="24"/>
        </w:rPr>
        <w:t>изчисляването по нов начин на индивидуалния коефициент за пенсии за трудова дейност, отпуснати след 31 август 2021</w:t>
      </w:r>
      <w:r w:rsidR="00DF07FD">
        <w:rPr>
          <w:szCs w:val="24"/>
        </w:rPr>
        <w:t> г.</w:t>
      </w:r>
      <w:r w:rsidR="00312179" w:rsidRPr="00046164">
        <w:rPr>
          <w:szCs w:val="24"/>
        </w:rPr>
        <w:t>,</w:t>
      </w:r>
      <w:r w:rsidRPr="00046164">
        <w:rPr>
          <w:szCs w:val="24"/>
        </w:rPr>
        <w:t xml:space="preserve"> се о</w:t>
      </w:r>
      <w:r w:rsidR="00312179" w:rsidRPr="00046164">
        <w:rPr>
          <w:szCs w:val="24"/>
        </w:rPr>
        <w:t>чаква да увеличи разходите с 35.0 млн. лв. (0.</w:t>
      </w:r>
      <w:r w:rsidRPr="00046164">
        <w:rPr>
          <w:szCs w:val="24"/>
        </w:rPr>
        <w:t>02</w:t>
      </w:r>
      <w:r w:rsidR="000F033A" w:rsidRPr="00046164">
        <w:rPr>
          <w:szCs w:val="24"/>
        </w:rPr>
        <w:t>%</w:t>
      </w:r>
      <w:r w:rsidRPr="00046164">
        <w:rPr>
          <w:szCs w:val="24"/>
        </w:rPr>
        <w:t xml:space="preserve"> от прогнозния БВП).</w:t>
      </w:r>
    </w:p>
    <w:p w14:paraId="590E899C" w14:textId="0FB46AA6" w:rsidR="0084573C" w:rsidRPr="00046164" w:rsidRDefault="0084573C" w:rsidP="0084573C">
      <w:pPr>
        <w:pStyle w:val="ListParagraph"/>
        <w:numPr>
          <w:ilvl w:val="0"/>
          <w:numId w:val="10"/>
        </w:numPr>
        <w:tabs>
          <w:tab w:val="clear" w:pos="680"/>
        </w:tabs>
        <w:ind w:left="567" w:hanging="283"/>
        <w:rPr>
          <w:szCs w:val="24"/>
        </w:rPr>
      </w:pPr>
      <w:r w:rsidRPr="00046164">
        <w:rPr>
          <w:szCs w:val="24"/>
        </w:rPr>
        <w:t xml:space="preserve">увеличението на размера на социалната пенсия за старост от 148.71 лв. на 170 лв., считано от 25 декември 2021 г., и размера на социалната пенсия за инвалидност за лицата с трайно намалена работоспособност/вид и степен на увреждане са с общ ефект </w:t>
      </w:r>
      <w:r>
        <w:rPr>
          <w:szCs w:val="24"/>
        </w:rPr>
        <w:t xml:space="preserve">на увеличение на </w:t>
      </w:r>
      <w:r w:rsidRPr="00046164">
        <w:rPr>
          <w:szCs w:val="24"/>
        </w:rPr>
        <w:t>разходите от 56.0 млн. лв.</w:t>
      </w:r>
      <w:r w:rsidR="00327E64">
        <w:rPr>
          <w:szCs w:val="24"/>
        </w:rPr>
        <w:t xml:space="preserve"> </w:t>
      </w:r>
      <w:r w:rsidRPr="00046164">
        <w:rPr>
          <w:szCs w:val="24"/>
        </w:rPr>
        <w:t>(0.04% от прогнозния БВП).</w:t>
      </w:r>
    </w:p>
    <w:p w14:paraId="43B04956" w14:textId="4FDB2C22" w:rsidR="00424201" w:rsidRPr="00046164" w:rsidRDefault="00424201" w:rsidP="005F0B57">
      <w:pPr>
        <w:pStyle w:val="ListParagraph"/>
        <w:numPr>
          <w:ilvl w:val="0"/>
          <w:numId w:val="10"/>
        </w:numPr>
        <w:tabs>
          <w:tab w:val="clear" w:pos="680"/>
        </w:tabs>
        <w:ind w:left="567" w:hanging="283"/>
        <w:rPr>
          <w:szCs w:val="24"/>
        </w:rPr>
      </w:pPr>
      <w:r w:rsidRPr="00046164">
        <w:rPr>
          <w:szCs w:val="24"/>
        </w:rPr>
        <w:t>о</w:t>
      </w:r>
      <w:r w:rsidR="00312179" w:rsidRPr="00046164">
        <w:rPr>
          <w:szCs w:val="24"/>
        </w:rPr>
        <w:t>съвременяване на пенсиите с 6.1</w:t>
      </w:r>
      <w:r w:rsidRPr="00046164">
        <w:rPr>
          <w:szCs w:val="24"/>
        </w:rPr>
        <w:t>% от 1 юли 2022</w:t>
      </w:r>
      <w:r w:rsidR="00DF07FD">
        <w:rPr>
          <w:szCs w:val="24"/>
        </w:rPr>
        <w:t> г.</w:t>
      </w:r>
      <w:r w:rsidRPr="00046164">
        <w:rPr>
          <w:szCs w:val="24"/>
        </w:rPr>
        <w:t>, увеличаване със същия процент на минималния размер на пенсия за осигурителен стаж и възраст и на размера на социалната пенсия за старост, както и на обвързаните с тях минимални ра</w:t>
      </w:r>
      <w:r w:rsidR="00312179" w:rsidRPr="00046164">
        <w:rPr>
          <w:szCs w:val="24"/>
        </w:rPr>
        <w:t>змери на пенсии и добавки – 416.</w:t>
      </w:r>
      <w:r w:rsidR="0084573C">
        <w:rPr>
          <w:szCs w:val="24"/>
        </w:rPr>
        <w:t>9</w:t>
      </w:r>
      <w:r w:rsidRPr="00046164">
        <w:rPr>
          <w:szCs w:val="24"/>
        </w:rPr>
        <w:t xml:space="preserve"> млн. лв. допълнително (0</w:t>
      </w:r>
      <w:r w:rsidR="00312179" w:rsidRPr="00046164">
        <w:rPr>
          <w:szCs w:val="24"/>
        </w:rPr>
        <w:t>.</w:t>
      </w:r>
      <w:r w:rsidRPr="00046164">
        <w:rPr>
          <w:szCs w:val="24"/>
        </w:rPr>
        <w:t>28</w:t>
      </w:r>
      <w:r w:rsidR="000F033A" w:rsidRPr="00046164">
        <w:rPr>
          <w:szCs w:val="24"/>
        </w:rPr>
        <w:t>%</w:t>
      </w:r>
      <w:r w:rsidRPr="00046164">
        <w:rPr>
          <w:szCs w:val="24"/>
        </w:rPr>
        <w:t xml:space="preserve"> от прогнозния БВП).</w:t>
      </w:r>
    </w:p>
    <w:p w14:paraId="5CFA53C3" w14:textId="2371833A" w:rsidR="00424201" w:rsidRPr="00046164" w:rsidRDefault="00424201" w:rsidP="005F0B57">
      <w:pPr>
        <w:pStyle w:val="ListParagraph"/>
        <w:numPr>
          <w:ilvl w:val="0"/>
          <w:numId w:val="10"/>
        </w:numPr>
        <w:tabs>
          <w:tab w:val="clear" w:pos="680"/>
        </w:tabs>
        <w:ind w:left="567" w:hanging="283"/>
        <w:rPr>
          <w:szCs w:val="24"/>
        </w:rPr>
      </w:pPr>
      <w:r w:rsidRPr="00046164">
        <w:rPr>
          <w:szCs w:val="24"/>
        </w:rPr>
        <w:t>промяната в условията за пенсиониране</w:t>
      </w:r>
      <w:r w:rsidR="00312179" w:rsidRPr="00046164">
        <w:rPr>
          <w:szCs w:val="24"/>
        </w:rPr>
        <w:t>,</w:t>
      </w:r>
      <w:r w:rsidRPr="00046164">
        <w:rPr>
          <w:szCs w:val="24"/>
        </w:rPr>
        <w:t xml:space="preserve"> в т.ч. повишаване на изискуемите възраст и осигурителен стаж при пенсиониране за работещите при условията на трета категория труд и минималната възраст за пенсиониране на лицата, работещи в сферата на сигурността, и тези, работещи в условията на първа и втора категория труд, които не отговарят на условията за пенсиониране от професионален пенсионен фонд. Финансовият ефект от промяната в условията за пе</w:t>
      </w:r>
      <w:r w:rsidR="00312179" w:rsidRPr="00046164">
        <w:rPr>
          <w:szCs w:val="24"/>
        </w:rPr>
        <w:t>нсиониране е оценен на около 30.</w:t>
      </w:r>
      <w:r w:rsidRPr="00046164">
        <w:rPr>
          <w:szCs w:val="24"/>
        </w:rPr>
        <w:t>0 млн. лв. намал</w:t>
      </w:r>
      <w:r w:rsidR="00312179" w:rsidRPr="00046164">
        <w:rPr>
          <w:szCs w:val="24"/>
        </w:rPr>
        <w:t>ение на разходите за пенсии ( 0.</w:t>
      </w:r>
      <w:r w:rsidRPr="00046164">
        <w:rPr>
          <w:szCs w:val="24"/>
        </w:rPr>
        <w:t>02</w:t>
      </w:r>
      <w:r w:rsidR="000F033A" w:rsidRPr="00046164">
        <w:rPr>
          <w:szCs w:val="24"/>
        </w:rPr>
        <w:t>%</w:t>
      </w:r>
      <w:r w:rsidRPr="00046164">
        <w:rPr>
          <w:szCs w:val="24"/>
        </w:rPr>
        <w:t xml:space="preserve"> от прогнозния БВП).</w:t>
      </w:r>
    </w:p>
    <w:p w14:paraId="0A6C52C9" w14:textId="05381871"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по-малкият обем на изплащаните добавки към пенсиите в условията на извънредна епидемична обстановка във връзка с разпространението на </w:t>
      </w:r>
      <w:r w:rsidRPr="00046164">
        <w:rPr>
          <w:szCs w:val="24"/>
          <w:lang w:val="en-US"/>
        </w:rPr>
        <w:t>COVID</w:t>
      </w:r>
      <w:r w:rsidRPr="00046164">
        <w:rPr>
          <w:szCs w:val="24"/>
        </w:rPr>
        <w:t xml:space="preserve">-19 и подпомагането на най-уязвимите групи в обществото, сред които са и пенсионерите, ще намали разходите за пенсии със </w:t>
      </w:r>
      <w:r w:rsidRPr="0084573C">
        <w:rPr>
          <w:szCs w:val="24"/>
        </w:rPr>
        <w:t>846</w:t>
      </w:r>
      <w:r w:rsidR="00EE1313" w:rsidRPr="0084573C">
        <w:rPr>
          <w:szCs w:val="24"/>
          <w:lang w:val="en-US"/>
        </w:rPr>
        <w:t>.</w:t>
      </w:r>
      <w:r w:rsidRPr="0084573C">
        <w:rPr>
          <w:szCs w:val="24"/>
        </w:rPr>
        <w:t>8</w:t>
      </w:r>
      <w:r w:rsidRPr="00046164">
        <w:rPr>
          <w:szCs w:val="24"/>
          <w:lang w:val="en-US"/>
        </w:rPr>
        <w:t xml:space="preserve"> </w:t>
      </w:r>
      <w:r w:rsidR="00EE1313" w:rsidRPr="00046164">
        <w:rPr>
          <w:szCs w:val="24"/>
        </w:rPr>
        <w:t>млн. лв. (0.</w:t>
      </w:r>
      <w:r w:rsidRPr="00046164">
        <w:rPr>
          <w:szCs w:val="24"/>
        </w:rPr>
        <w:t>57</w:t>
      </w:r>
      <w:r w:rsidR="000F033A" w:rsidRPr="00046164">
        <w:rPr>
          <w:szCs w:val="24"/>
        </w:rPr>
        <w:t>%</w:t>
      </w:r>
      <w:r w:rsidRPr="00046164">
        <w:rPr>
          <w:szCs w:val="24"/>
        </w:rPr>
        <w:t xml:space="preserve"> от прогнозния БВП). </w:t>
      </w:r>
    </w:p>
    <w:p w14:paraId="78B08E8E" w14:textId="04975783" w:rsidR="00424201" w:rsidRPr="00046164" w:rsidRDefault="00424201" w:rsidP="005F0B57">
      <w:pPr>
        <w:pStyle w:val="ListParagraph"/>
        <w:numPr>
          <w:ilvl w:val="0"/>
          <w:numId w:val="10"/>
        </w:numPr>
        <w:tabs>
          <w:tab w:val="clear" w:pos="680"/>
        </w:tabs>
        <w:ind w:left="567" w:hanging="283"/>
        <w:rPr>
          <w:szCs w:val="24"/>
        </w:rPr>
      </w:pPr>
      <w:r w:rsidRPr="00046164">
        <w:rPr>
          <w:szCs w:val="24"/>
        </w:rPr>
        <w:t>през м. април 2022</w:t>
      </w:r>
      <w:r w:rsidR="00DF07FD">
        <w:rPr>
          <w:szCs w:val="24"/>
        </w:rPr>
        <w:t> г.</w:t>
      </w:r>
      <w:r w:rsidRPr="00046164">
        <w:rPr>
          <w:szCs w:val="24"/>
        </w:rPr>
        <w:t xml:space="preserve"> на всички пенсионери, които са една от най-уязвимите социални група в обществото и доходите на които в най-голяма степен са засегнати от увеличението на цените на основните потребителски стоки, ще бъде предоставена еднократна помощ в размер на 70 лв. на човек. Общата сума, с която ще се увелич</w:t>
      </w:r>
      <w:r w:rsidR="00EE1313" w:rsidRPr="00046164">
        <w:rPr>
          <w:szCs w:val="24"/>
        </w:rPr>
        <w:t>ат разходите, е в размер на 142.9 млн. лв. (0.</w:t>
      </w:r>
      <w:r w:rsidRPr="00046164">
        <w:rPr>
          <w:szCs w:val="24"/>
        </w:rPr>
        <w:t>10</w:t>
      </w:r>
      <w:r w:rsidR="000F033A" w:rsidRPr="00046164">
        <w:rPr>
          <w:szCs w:val="24"/>
        </w:rPr>
        <w:t>%</w:t>
      </w:r>
      <w:r w:rsidRPr="00046164">
        <w:rPr>
          <w:szCs w:val="24"/>
        </w:rPr>
        <w:t xml:space="preserve"> от прогнозния БВП).</w:t>
      </w:r>
    </w:p>
    <w:p w14:paraId="2859DDDD" w14:textId="67A04459" w:rsidR="00424201" w:rsidRPr="00046164" w:rsidRDefault="00424201" w:rsidP="005F0B57">
      <w:pPr>
        <w:pStyle w:val="ListParagraph"/>
        <w:numPr>
          <w:ilvl w:val="0"/>
          <w:numId w:val="10"/>
        </w:numPr>
        <w:tabs>
          <w:tab w:val="clear" w:pos="680"/>
        </w:tabs>
        <w:ind w:left="567" w:hanging="283"/>
        <w:rPr>
          <w:szCs w:val="24"/>
        </w:rPr>
      </w:pPr>
      <w:r w:rsidRPr="00046164">
        <w:rPr>
          <w:szCs w:val="24"/>
        </w:rPr>
        <w:t xml:space="preserve">Основните характеристики на политиката в областта на </w:t>
      </w:r>
      <w:r w:rsidRPr="00046164">
        <w:rPr>
          <w:szCs w:val="24"/>
          <w:u w:val="single"/>
        </w:rPr>
        <w:t>социалните обезщетения и помощи,</w:t>
      </w:r>
      <w:r w:rsidRPr="00046164">
        <w:rPr>
          <w:szCs w:val="24"/>
        </w:rPr>
        <w:t xml:space="preserve"> изплащани от държавното обществено осигуряване през 2022</w:t>
      </w:r>
      <w:r w:rsidR="00DF07FD">
        <w:rPr>
          <w:szCs w:val="24"/>
        </w:rPr>
        <w:t> г.</w:t>
      </w:r>
      <w:r w:rsidRPr="00046164">
        <w:rPr>
          <w:szCs w:val="24"/>
        </w:rPr>
        <w:t>, продължават да са устойчивост на подпомагането, предвидимост за засегнатите лица и стъпки в посока на разширяване на покритието на социалните рискове. Това се изразява в запазване на сроковете, доходите и другите критерии за отпускане на основните видове помощи и обезщетения. Увеличаването на минималния дневен размер на паричното обезщетение за безработица от 12 на 15 лв. от 1 април 2022</w:t>
      </w:r>
      <w:r w:rsidR="00DF07FD">
        <w:rPr>
          <w:szCs w:val="24"/>
        </w:rPr>
        <w:t> г.</w:t>
      </w:r>
      <w:r w:rsidRPr="00046164">
        <w:rPr>
          <w:szCs w:val="24"/>
        </w:rPr>
        <w:t xml:space="preserve"> и на </w:t>
      </w:r>
      <w:r w:rsidR="00EE1313" w:rsidRPr="00046164">
        <w:rPr>
          <w:szCs w:val="24"/>
        </w:rPr>
        <w:t>максималния дневен размер от 74.29 на 85.</w:t>
      </w:r>
      <w:r w:rsidRPr="00046164">
        <w:rPr>
          <w:szCs w:val="24"/>
        </w:rPr>
        <w:t>71 лв. от</w:t>
      </w:r>
      <w:r w:rsidR="00EE1313" w:rsidRPr="00046164">
        <w:rPr>
          <w:szCs w:val="24"/>
        </w:rPr>
        <w:t xml:space="preserve"> същата дата ще е с ефект от 38.8 млн. лв. (0.</w:t>
      </w:r>
      <w:r w:rsidRPr="00046164">
        <w:rPr>
          <w:szCs w:val="24"/>
        </w:rPr>
        <w:t>03</w:t>
      </w:r>
      <w:r w:rsidR="000F033A" w:rsidRPr="00046164">
        <w:rPr>
          <w:szCs w:val="24"/>
        </w:rPr>
        <w:t>%</w:t>
      </w:r>
      <w:r w:rsidRPr="00046164">
        <w:rPr>
          <w:szCs w:val="24"/>
        </w:rPr>
        <w:t xml:space="preserve"> от прогнозния БВП). Увеличаване от 1 април 2022</w:t>
      </w:r>
      <w:r w:rsidR="00DF07FD">
        <w:rPr>
          <w:szCs w:val="24"/>
        </w:rPr>
        <w:t> г.</w:t>
      </w:r>
      <w:r w:rsidRPr="00046164">
        <w:rPr>
          <w:szCs w:val="24"/>
        </w:rPr>
        <w:t xml:space="preserve"> на максималния размер на гарантираните вземания на работниците и служителите при несъстоятелност на работодателя от 1 625 лв. на 1 775 лв. Нарастването на паричното обезщетение за отглеждане на малко дете през втората година от майчинството (от </w:t>
      </w:r>
      <w:r w:rsidRPr="00046164">
        <w:rPr>
          <w:szCs w:val="24"/>
        </w:rPr>
        <w:lastRenderedPageBreak/>
        <w:t>380 на 650 лв., считано от 1 октомври 2021</w:t>
      </w:r>
      <w:r w:rsidR="00DF07FD">
        <w:rPr>
          <w:szCs w:val="24"/>
        </w:rPr>
        <w:t> г.</w:t>
      </w:r>
      <w:r w:rsidRPr="00046164">
        <w:rPr>
          <w:szCs w:val="24"/>
        </w:rPr>
        <w:t>, и от 650 на 710 лв., считано от 1 април 2022</w:t>
      </w:r>
      <w:r w:rsidR="00DF07FD">
        <w:rPr>
          <w:szCs w:val="24"/>
        </w:rPr>
        <w:t> г.</w:t>
      </w:r>
      <w:r w:rsidRPr="00046164">
        <w:rPr>
          <w:szCs w:val="24"/>
        </w:rPr>
        <w:t>) се прогноз</w:t>
      </w:r>
      <w:r w:rsidR="00EE1313" w:rsidRPr="00046164">
        <w:rPr>
          <w:szCs w:val="24"/>
        </w:rPr>
        <w:t>ира да покачи разходите със 119.2 млн. лв. (0.</w:t>
      </w:r>
      <w:r w:rsidRPr="00046164">
        <w:rPr>
          <w:szCs w:val="24"/>
        </w:rPr>
        <w:t>08</w:t>
      </w:r>
      <w:r w:rsidR="000F033A" w:rsidRPr="00046164">
        <w:rPr>
          <w:szCs w:val="24"/>
        </w:rPr>
        <w:t>%</w:t>
      </w:r>
      <w:r w:rsidRPr="00046164">
        <w:rPr>
          <w:szCs w:val="24"/>
        </w:rPr>
        <w:t xml:space="preserve"> от прогнозния БВП). </w:t>
      </w:r>
    </w:p>
    <w:p w14:paraId="4E5F2586" w14:textId="77777777" w:rsidR="0084573C" w:rsidRPr="00046164" w:rsidRDefault="0084573C" w:rsidP="0084573C">
      <w:pPr>
        <w:pStyle w:val="ListParagraph"/>
        <w:numPr>
          <w:ilvl w:val="0"/>
          <w:numId w:val="10"/>
        </w:numPr>
        <w:tabs>
          <w:tab w:val="clear" w:pos="680"/>
        </w:tabs>
        <w:ind w:left="567" w:hanging="283"/>
        <w:rPr>
          <w:szCs w:val="24"/>
        </w:rPr>
      </w:pPr>
      <w:r w:rsidRPr="00046164">
        <w:rPr>
          <w:szCs w:val="24"/>
        </w:rPr>
        <w:t xml:space="preserve">Поради затихването на епидемията от </w:t>
      </w:r>
      <w:r w:rsidRPr="0084573C">
        <w:rPr>
          <w:szCs w:val="24"/>
        </w:rPr>
        <w:t>COVID</w:t>
      </w:r>
      <w:r w:rsidRPr="00046164">
        <w:rPr>
          <w:szCs w:val="24"/>
        </w:rPr>
        <w:t xml:space="preserve">-19 и отпадането на редица ограничения в социалния и икономически живот в страната, е планираното продължаване до края на първото полугодие на 2022 г. на действието на мерките за запазване на заетостта. Чрез тези мерки държавата поема 60 на сто, </w:t>
      </w:r>
      <w:r>
        <w:rPr>
          <w:szCs w:val="24"/>
        </w:rPr>
        <w:t xml:space="preserve">в последствие 50 на сто, </w:t>
      </w:r>
      <w:r w:rsidRPr="00046164">
        <w:rPr>
          <w:szCs w:val="24"/>
        </w:rPr>
        <w:t>а в определени случаи и 80 на сто</w:t>
      </w:r>
      <w:r>
        <w:rPr>
          <w:szCs w:val="24"/>
        </w:rPr>
        <w:t xml:space="preserve"> (в зависимост от загубата на оборот на съответното предприятие)</w:t>
      </w:r>
      <w:r w:rsidRPr="00046164">
        <w:rPr>
          <w:szCs w:val="24"/>
        </w:rPr>
        <w:t xml:space="preserve">, от размера на осигурителния доход и дължимите осигурителни вноски за сметка на осигурителя на заетите в предприятия, чийто бизнес е пострадал в най-голяма степен от въведените извънредни мерки за овладяване разпространението на заразата от COVID-19 (т.нар. мярка „60/40“, „80/20“ и др.). Това се очаква да доведе до намаляване на </w:t>
      </w:r>
      <w:r w:rsidRPr="0084573C">
        <w:rPr>
          <w:szCs w:val="24"/>
          <w:u w:val="single"/>
        </w:rPr>
        <w:t xml:space="preserve">разходите за субсидии на нефинансови предприятия </w:t>
      </w:r>
      <w:r w:rsidRPr="00046164">
        <w:rPr>
          <w:szCs w:val="24"/>
        </w:rPr>
        <w:t xml:space="preserve">за 2022 г. с </w:t>
      </w:r>
      <w:r w:rsidRPr="0084573C">
        <w:rPr>
          <w:szCs w:val="24"/>
        </w:rPr>
        <w:t>528</w:t>
      </w:r>
      <w:r w:rsidRPr="0022229A">
        <w:rPr>
          <w:szCs w:val="24"/>
        </w:rPr>
        <w:t>.</w:t>
      </w:r>
      <w:r w:rsidRPr="0084573C">
        <w:rPr>
          <w:szCs w:val="24"/>
        </w:rPr>
        <w:t>7</w:t>
      </w:r>
      <w:r w:rsidRPr="00046164">
        <w:rPr>
          <w:szCs w:val="24"/>
        </w:rPr>
        <w:t xml:space="preserve"> млн. лв. (0.</w:t>
      </w:r>
      <w:r w:rsidRPr="0084573C">
        <w:rPr>
          <w:szCs w:val="24"/>
        </w:rPr>
        <w:t>36</w:t>
      </w:r>
      <w:r w:rsidRPr="00046164">
        <w:rPr>
          <w:szCs w:val="24"/>
        </w:rPr>
        <w:t>% от прогнозния БВП).</w:t>
      </w:r>
    </w:p>
    <w:p w14:paraId="371E3C5E" w14:textId="77777777" w:rsidR="00424201" w:rsidRPr="00EC430A" w:rsidRDefault="00424201" w:rsidP="00046164">
      <w:pPr>
        <w:rPr>
          <w:szCs w:val="24"/>
          <w:u w:val="single"/>
        </w:rPr>
      </w:pPr>
      <w:r w:rsidRPr="00EC430A">
        <w:rPr>
          <w:szCs w:val="24"/>
          <w:u w:val="single"/>
        </w:rPr>
        <w:t>Политика в областта на социалното подпомагане</w:t>
      </w:r>
    </w:p>
    <w:p w14:paraId="1DFEB0C0" w14:textId="305FA3AC" w:rsidR="00424201" w:rsidRPr="00046164" w:rsidRDefault="00424201" w:rsidP="00046164">
      <w:pPr>
        <w:pStyle w:val="Default"/>
        <w:rPr>
          <w:rFonts w:cs="Times New Roman"/>
          <w:color w:val="auto"/>
        </w:rPr>
      </w:pPr>
      <w:r w:rsidRPr="00046164">
        <w:rPr>
          <w:rFonts w:cs="Times New Roman"/>
          <w:color w:val="auto"/>
        </w:rPr>
        <w:t xml:space="preserve">Политиката по </w:t>
      </w:r>
      <w:r w:rsidRPr="00046164">
        <w:rPr>
          <w:rFonts w:cs="Times New Roman"/>
          <w:color w:val="auto"/>
          <w:u w:val="single"/>
        </w:rPr>
        <w:t>социалното подпомагане</w:t>
      </w:r>
      <w:r w:rsidRPr="00046164">
        <w:rPr>
          <w:rFonts w:cs="Times New Roman"/>
          <w:color w:val="auto"/>
        </w:rPr>
        <w:t xml:space="preserve"> е насочена към гарантиране на задоволяването на основните жизненоважни потребности на хората, изпаднали в критична ситуация, като се прилага ясен, точен и обективно обоснован механизъм. </w:t>
      </w:r>
      <w:r w:rsidRPr="00046164">
        <w:rPr>
          <w:rFonts w:eastAsia="Times New Roman" w:cs="Times New Roman"/>
          <w:color w:val="auto"/>
        </w:rPr>
        <w:t>Разширява се обхватът на подпомаганите лица и семейства чрез увеличаване на индивидуалните коефициенти за достъп до социални помощи. За плавна промяна, чрез корекция в посока увеличаване на индивидуалните проценти, които определят границата за достъп и на размера на получаваните социални помощи за най-уязвими групи от населението и за допълване на средствата за изплащане на целеви помощи за отопление във връзка с увеличаването на правоимащите и поскъпването на енергоносителите</w:t>
      </w:r>
      <w:r w:rsidR="00EE1313" w:rsidRPr="00046164">
        <w:rPr>
          <w:rFonts w:eastAsia="Times New Roman" w:cs="Times New Roman"/>
          <w:color w:val="auto"/>
        </w:rPr>
        <w:t>,</w:t>
      </w:r>
      <w:r w:rsidRPr="00046164">
        <w:rPr>
          <w:rFonts w:eastAsia="Times New Roman" w:cs="Times New Roman"/>
          <w:color w:val="auto"/>
        </w:rPr>
        <w:t xml:space="preserve"> </w:t>
      </w:r>
      <w:r w:rsidR="00EE1313" w:rsidRPr="00046164">
        <w:rPr>
          <w:rFonts w:cs="Times New Roman"/>
          <w:color w:val="auto"/>
        </w:rPr>
        <w:t>са предвидени допълнително 56.7 млн. лв. (0.</w:t>
      </w:r>
      <w:r w:rsidRPr="00046164">
        <w:rPr>
          <w:rFonts w:cs="Times New Roman"/>
          <w:color w:val="auto"/>
        </w:rPr>
        <w:t>04</w:t>
      </w:r>
      <w:r w:rsidR="000F033A" w:rsidRPr="00046164">
        <w:rPr>
          <w:rFonts w:cs="Times New Roman"/>
          <w:color w:val="auto"/>
        </w:rPr>
        <w:t>%</w:t>
      </w:r>
      <w:r w:rsidRPr="00046164">
        <w:rPr>
          <w:rFonts w:cs="Times New Roman"/>
          <w:color w:val="auto"/>
        </w:rPr>
        <w:t xml:space="preserve"> от прогнозния БВП).</w:t>
      </w:r>
      <w:r w:rsidRPr="00046164">
        <w:rPr>
          <w:rFonts w:cs="Times New Roman"/>
          <w:color w:val="auto"/>
          <w:lang w:val="en-US"/>
        </w:rPr>
        <w:t xml:space="preserve"> </w:t>
      </w:r>
    </w:p>
    <w:p w14:paraId="4ECF7DFB" w14:textId="519583A8" w:rsidR="00424201" w:rsidRPr="00046164" w:rsidRDefault="00424201" w:rsidP="00046164">
      <w:pPr>
        <w:pStyle w:val="Default"/>
        <w:rPr>
          <w:rFonts w:cs="Times New Roman"/>
          <w:color w:val="auto"/>
        </w:rPr>
      </w:pPr>
      <w:r w:rsidRPr="00046164">
        <w:rPr>
          <w:rFonts w:cs="Times New Roman"/>
          <w:color w:val="auto"/>
        </w:rPr>
        <w:t xml:space="preserve">Финансовата подкрепа за </w:t>
      </w:r>
      <w:r w:rsidRPr="00046164">
        <w:rPr>
          <w:rFonts w:cs="Times New Roman"/>
          <w:color w:val="auto"/>
          <w:u w:val="single"/>
        </w:rPr>
        <w:t>хората с увреждания</w:t>
      </w:r>
      <w:r w:rsidRPr="00046164">
        <w:rPr>
          <w:rFonts w:cs="Times New Roman"/>
          <w:color w:val="auto"/>
        </w:rPr>
        <w:t xml:space="preserve"> е предназначена за компенсиране на разходите, свързани с преодоляване на затрудненията, предизвикани от вида и степента на увреждане. За 2022</w:t>
      </w:r>
      <w:r w:rsidR="00DF07FD">
        <w:rPr>
          <w:rFonts w:cs="Times New Roman"/>
          <w:color w:val="auto"/>
        </w:rPr>
        <w:t> г.</w:t>
      </w:r>
      <w:r w:rsidRPr="00046164">
        <w:rPr>
          <w:rFonts w:cs="Times New Roman"/>
          <w:color w:val="auto"/>
        </w:rPr>
        <w:t xml:space="preserve"> са осигурени </w:t>
      </w:r>
      <w:r w:rsidR="00EE1313" w:rsidRPr="00046164">
        <w:rPr>
          <w:rFonts w:eastAsia="Batang" w:cs="Times New Roman"/>
          <w:color w:val="auto"/>
        </w:rPr>
        <w:t>допълнително 57.</w:t>
      </w:r>
      <w:r w:rsidR="00C7743F" w:rsidRPr="00046164">
        <w:rPr>
          <w:rFonts w:eastAsia="Batang" w:cs="Times New Roman"/>
          <w:color w:val="auto"/>
        </w:rPr>
        <w:t>3 млн. лв. (0.</w:t>
      </w:r>
      <w:r w:rsidRPr="00046164">
        <w:rPr>
          <w:rFonts w:eastAsia="Batang" w:cs="Times New Roman"/>
          <w:color w:val="auto"/>
        </w:rPr>
        <w:t>04</w:t>
      </w:r>
      <w:r w:rsidR="000F033A" w:rsidRPr="00046164">
        <w:rPr>
          <w:rFonts w:eastAsia="Batang" w:cs="Times New Roman"/>
          <w:color w:val="auto"/>
        </w:rPr>
        <w:t>%</w:t>
      </w:r>
      <w:r w:rsidRPr="00046164">
        <w:rPr>
          <w:rFonts w:eastAsia="Batang" w:cs="Times New Roman"/>
          <w:color w:val="auto"/>
        </w:rPr>
        <w:t xml:space="preserve"> от прогнозния БВП) за създаване на условия и възможности за социално приобщаване и предоставяне на целенасочена и насърчителна подкрепа на уязвимите групи от хора с увреждания, в т.ч. за увеличаване финансовата подкрепа по Закона за хората с уврежданията в резултат на нарастването на линията на бедност и за гарантиране на безвъзмездна преводаческа услуга по Закона за българския жестов език. Друг механизъм за подкрепа на хора с увреждания</w:t>
      </w:r>
      <w:r w:rsidR="00BD2C3E">
        <w:rPr>
          <w:rFonts w:eastAsia="Batang" w:cs="Times New Roman"/>
          <w:color w:val="auto"/>
        </w:rPr>
        <w:t xml:space="preserve"> </w:t>
      </w:r>
      <w:r w:rsidRPr="00046164">
        <w:rPr>
          <w:rFonts w:eastAsia="Batang" w:cs="Times New Roman"/>
          <w:color w:val="auto"/>
        </w:rPr>
        <w:t>е личната помощ. За обезпечаване на кумулативния ефект от увеличаването на МРЗ за</w:t>
      </w:r>
      <w:r w:rsidR="00187F3F" w:rsidRPr="00046164">
        <w:rPr>
          <w:rFonts w:eastAsia="Batang" w:cs="Times New Roman"/>
          <w:color w:val="auto"/>
        </w:rPr>
        <w:t xml:space="preserve"> страната и на коефициента от 1.2 на 1.</w:t>
      </w:r>
      <w:r w:rsidRPr="00046164">
        <w:rPr>
          <w:rFonts w:eastAsia="Batang" w:cs="Times New Roman"/>
          <w:color w:val="auto"/>
        </w:rPr>
        <w:t>4 при определяне на</w:t>
      </w:r>
      <w:r w:rsidR="00BD2C3E">
        <w:rPr>
          <w:rFonts w:eastAsia="Batang" w:cs="Times New Roman"/>
          <w:color w:val="auto"/>
        </w:rPr>
        <w:t xml:space="preserve"> </w:t>
      </w:r>
      <w:r w:rsidRPr="00046164">
        <w:rPr>
          <w:rFonts w:eastAsia="Batang" w:cs="Times New Roman"/>
          <w:color w:val="auto"/>
        </w:rPr>
        <w:t>възнаграждението на личните асистенти по Закона за личната помощ и възнагражденията на приемните семейства по Закона за защита на детет</w:t>
      </w:r>
      <w:r w:rsidR="00187F3F" w:rsidRPr="00046164">
        <w:rPr>
          <w:rFonts w:eastAsia="Batang" w:cs="Times New Roman"/>
          <w:color w:val="auto"/>
        </w:rPr>
        <w:t>о са осигурени допълнително 144.</w:t>
      </w:r>
      <w:r w:rsidRPr="00046164">
        <w:rPr>
          <w:rFonts w:eastAsia="Batang" w:cs="Times New Roman"/>
          <w:color w:val="auto"/>
        </w:rPr>
        <w:t xml:space="preserve">5 млн. лв. </w:t>
      </w:r>
      <w:r w:rsidR="00187F3F" w:rsidRPr="00046164">
        <w:rPr>
          <w:rFonts w:cs="Times New Roman"/>
          <w:color w:val="auto"/>
        </w:rPr>
        <w:t>(0.</w:t>
      </w:r>
      <w:r w:rsidRPr="00046164">
        <w:rPr>
          <w:rFonts w:cs="Times New Roman"/>
          <w:color w:val="auto"/>
        </w:rPr>
        <w:t xml:space="preserve">10% от прогнозния БВП). </w:t>
      </w:r>
    </w:p>
    <w:p w14:paraId="0920E3EC" w14:textId="7BCFAD11" w:rsidR="00424201" w:rsidRPr="00046164" w:rsidRDefault="00424201" w:rsidP="00046164">
      <w:pPr>
        <w:pStyle w:val="Default"/>
        <w:rPr>
          <w:rFonts w:cs="Times New Roman"/>
          <w:color w:val="auto"/>
        </w:rPr>
      </w:pPr>
      <w:r w:rsidRPr="00046164">
        <w:rPr>
          <w:rFonts w:cs="Times New Roman"/>
          <w:color w:val="auto"/>
        </w:rPr>
        <w:t xml:space="preserve">Съществена част от </w:t>
      </w:r>
      <w:r w:rsidRPr="00046164">
        <w:rPr>
          <w:rFonts w:cs="Times New Roman"/>
          <w:color w:val="auto"/>
          <w:u w:val="single"/>
        </w:rPr>
        <w:t>политиката за социално включване</w:t>
      </w:r>
      <w:r w:rsidRPr="00046164">
        <w:rPr>
          <w:rFonts w:cs="Times New Roman"/>
          <w:color w:val="auto"/>
        </w:rPr>
        <w:t xml:space="preserve"> е предоставянето на материална подкрепа за семействата с деца и семействата, които полагат грижи за деца в риск. </w:t>
      </w:r>
      <w:r w:rsidRPr="00046164">
        <w:rPr>
          <w:rFonts w:eastAsia="Batang" w:cs="Times New Roman"/>
          <w:bCs/>
          <w:color w:val="auto"/>
        </w:rPr>
        <w:t>С оглед повишаване ефективността на семейните помощи за деца</w:t>
      </w:r>
      <w:r w:rsidRPr="00046164">
        <w:rPr>
          <w:rFonts w:eastAsia="Batang" w:cs="Times New Roman"/>
          <w:color w:val="auto"/>
        </w:rPr>
        <w:t xml:space="preserve"> се предвижда увеличаване от 1 април 2022</w:t>
      </w:r>
      <w:r w:rsidR="00DF07FD">
        <w:rPr>
          <w:rFonts w:eastAsia="Batang" w:cs="Times New Roman"/>
          <w:color w:val="auto"/>
        </w:rPr>
        <w:t> г.</w:t>
      </w:r>
      <w:r w:rsidRPr="00046164">
        <w:rPr>
          <w:rFonts w:eastAsia="Batang" w:cs="Times New Roman"/>
          <w:color w:val="auto"/>
        </w:rPr>
        <w:t xml:space="preserve"> на доходния критерий за получаване на семейна помощ за дете, съответно от 410 лв. на 510 лв. – за получаване на пъ</w:t>
      </w:r>
      <w:r w:rsidR="00187F3F" w:rsidRPr="00046164">
        <w:rPr>
          <w:rFonts w:eastAsia="Batang" w:cs="Times New Roman"/>
          <w:color w:val="auto"/>
        </w:rPr>
        <w:t>лния размер на помощта и от 410.01 лв. до 510 лв. на 510.</w:t>
      </w:r>
      <w:r w:rsidRPr="00046164">
        <w:rPr>
          <w:rFonts w:eastAsia="Batang" w:cs="Times New Roman"/>
          <w:color w:val="auto"/>
        </w:rPr>
        <w:t>01 лв. до 610 лв., включително – за получаване на 80 на сто от пълния размер на помощта. Наред с доходния критерий от 1 април 2022</w:t>
      </w:r>
      <w:r w:rsidR="00DF07FD">
        <w:rPr>
          <w:rFonts w:eastAsia="Batang" w:cs="Times New Roman"/>
          <w:color w:val="auto"/>
        </w:rPr>
        <w:t> г.</w:t>
      </w:r>
      <w:r w:rsidRPr="00046164">
        <w:rPr>
          <w:rFonts w:eastAsia="Batang" w:cs="Times New Roman"/>
          <w:color w:val="auto"/>
        </w:rPr>
        <w:t xml:space="preserve"> се предвижда и увеличаване на размерите на месечните помощи за отглеждане на дете до завършване на средно образование, но не повече от 20-годишна възраст, съответно: за семейства с едно дете</w:t>
      </w:r>
      <w:r w:rsidR="00DF07FD">
        <w:rPr>
          <w:rFonts w:eastAsia="Batang" w:cs="Times New Roman"/>
          <w:color w:val="auto"/>
        </w:rPr>
        <w:t xml:space="preserve"> – </w:t>
      </w:r>
      <w:r w:rsidRPr="00046164">
        <w:rPr>
          <w:rFonts w:eastAsia="Batang" w:cs="Times New Roman"/>
          <w:color w:val="auto"/>
        </w:rPr>
        <w:t>с 10 лв. (от 40 лв. на 50 лв.), за семейства с две деца</w:t>
      </w:r>
      <w:r w:rsidR="00DF07FD">
        <w:rPr>
          <w:rFonts w:eastAsia="Batang" w:cs="Times New Roman"/>
          <w:color w:val="auto"/>
        </w:rPr>
        <w:t xml:space="preserve"> – </w:t>
      </w:r>
      <w:r w:rsidRPr="00046164">
        <w:rPr>
          <w:rFonts w:eastAsia="Batang" w:cs="Times New Roman"/>
          <w:color w:val="auto"/>
        </w:rPr>
        <w:t>с 20 лв. (от 90 лв. на 110 лв.), за семейства с три деца</w:t>
      </w:r>
      <w:r w:rsidR="00DF07FD">
        <w:rPr>
          <w:rFonts w:eastAsia="Batang" w:cs="Times New Roman"/>
          <w:color w:val="auto"/>
        </w:rPr>
        <w:t xml:space="preserve"> – </w:t>
      </w:r>
      <w:r w:rsidRPr="00046164">
        <w:rPr>
          <w:rFonts w:eastAsia="Batang" w:cs="Times New Roman"/>
          <w:color w:val="auto"/>
        </w:rPr>
        <w:t>с 30 лв. (от 135 лв. на 165 лв.) и за семейства с четири деца</w:t>
      </w:r>
      <w:r w:rsidR="00DF07FD">
        <w:rPr>
          <w:rFonts w:eastAsia="Batang" w:cs="Times New Roman"/>
          <w:color w:val="auto"/>
        </w:rPr>
        <w:t xml:space="preserve"> – </w:t>
      </w:r>
      <w:r w:rsidRPr="00046164">
        <w:rPr>
          <w:rFonts w:eastAsia="Batang" w:cs="Times New Roman"/>
          <w:color w:val="auto"/>
        </w:rPr>
        <w:t xml:space="preserve">с </w:t>
      </w:r>
      <w:r w:rsidRPr="00046164">
        <w:rPr>
          <w:rFonts w:eastAsia="Batang" w:cs="Times New Roman"/>
          <w:color w:val="auto"/>
        </w:rPr>
        <w:lastRenderedPageBreak/>
        <w:t xml:space="preserve">30 лв. (от 145 лв. на 175 лв.). Допълнително предвидените средства за реализиране на </w:t>
      </w:r>
      <w:r w:rsidR="00187F3F" w:rsidRPr="00046164">
        <w:rPr>
          <w:rFonts w:eastAsia="Batang" w:cs="Times New Roman"/>
          <w:color w:val="auto"/>
        </w:rPr>
        <w:t>тази политика са в размер на 90.</w:t>
      </w:r>
      <w:r w:rsidRPr="00046164">
        <w:rPr>
          <w:rFonts w:eastAsia="Batang" w:cs="Times New Roman"/>
          <w:color w:val="auto"/>
        </w:rPr>
        <w:t xml:space="preserve">0 млн. лв. </w:t>
      </w:r>
      <w:r w:rsidR="00187F3F" w:rsidRPr="00046164">
        <w:rPr>
          <w:rFonts w:cs="Times New Roman"/>
          <w:color w:val="auto"/>
        </w:rPr>
        <w:t>(0.</w:t>
      </w:r>
      <w:r w:rsidRPr="00046164">
        <w:rPr>
          <w:rFonts w:cs="Times New Roman"/>
          <w:color w:val="auto"/>
        </w:rPr>
        <w:t>06</w:t>
      </w:r>
      <w:r w:rsidR="000F033A" w:rsidRPr="00046164">
        <w:rPr>
          <w:rFonts w:cs="Times New Roman"/>
          <w:color w:val="auto"/>
        </w:rPr>
        <w:t>%</w:t>
      </w:r>
      <w:r w:rsidRPr="00046164">
        <w:rPr>
          <w:rFonts w:cs="Times New Roman"/>
          <w:color w:val="auto"/>
        </w:rPr>
        <w:t xml:space="preserve"> от прогнозния БВП). </w:t>
      </w:r>
    </w:p>
    <w:p w14:paraId="6ED061E6" w14:textId="06BA1FF3" w:rsidR="00424201" w:rsidRPr="00046164" w:rsidRDefault="00424201" w:rsidP="00046164">
      <w:pPr>
        <w:pStyle w:val="Default"/>
        <w:rPr>
          <w:rFonts w:cs="Times New Roman"/>
          <w:color w:val="auto"/>
          <w:lang w:val="en-US"/>
        </w:rPr>
      </w:pPr>
      <w:r w:rsidRPr="00046164">
        <w:rPr>
          <w:rFonts w:cs="Times New Roman"/>
          <w:color w:val="auto"/>
        </w:rPr>
        <w:t>За увеличените стандартите за финансиране на социалните услуги, предоставяни</w:t>
      </w:r>
      <w:r w:rsidR="00BD2C3E">
        <w:rPr>
          <w:rFonts w:cs="Times New Roman"/>
          <w:color w:val="auto"/>
        </w:rPr>
        <w:t xml:space="preserve"> </w:t>
      </w:r>
      <w:r w:rsidRPr="00046164">
        <w:rPr>
          <w:rFonts w:cs="Times New Roman"/>
          <w:color w:val="auto"/>
        </w:rPr>
        <w:t xml:space="preserve">от общините, което включва издръжка на </w:t>
      </w:r>
      <w:r w:rsidRPr="00046164">
        <w:rPr>
          <w:rFonts w:eastAsia="Times New Roman" w:cs="Times New Roman"/>
          <w:color w:val="auto"/>
        </w:rPr>
        <w:t>специализираните институции за предоставяне на социални услуги, социалните услуги, предоставяни в общността и асистентската подкрепа,</w:t>
      </w:r>
      <w:r w:rsidR="00187F3F" w:rsidRPr="00046164">
        <w:rPr>
          <w:rFonts w:eastAsia="Times New Roman" w:cs="Times New Roman"/>
          <w:color w:val="auto"/>
        </w:rPr>
        <w:t xml:space="preserve"> са предвидени допълнително 111.7 млн. лв. (0.</w:t>
      </w:r>
      <w:r w:rsidRPr="00046164">
        <w:rPr>
          <w:rFonts w:eastAsia="Times New Roman" w:cs="Times New Roman"/>
          <w:color w:val="auto"/>
        </w:rPr>
        <w:t>08</w:t>
      </w:r>
      <w:r w:rsidR="000F033A" w:rsidRPr="00046164">
        <w:rPr>
          <w:rFonts w:eastAsia="Times New Roman" w:cs="Times New Roman"/>
          <w:color w:val="auto"/>
        </w:rPr>
        <w:t>%</w:t>
      </w:r>
      <w:r w:rsidRPr="00046164">
        <w:rPr>
          <w:rFonts w:eastAsia="Times New Roman" w:cs="Times New Roman"/>
          <w:color w:val="auto"/>
        </w:rPr>
        <w:t xml:space="preserve"> от прогнозния БВП). </w:t>
      </w:r>
    </w:p>
    <w:p w14:paraId="4B489643" w14:textId="77777777" w:rsidR="00424201" w:rsidRPr="00046164" w:rsidRDefault="00424201" w:rsidP="00D661BA">
      <w:pPr>
        <w:pStyle w:val="Heading4"/>
      </w:pPr>
      <w:r w:rsidRPr="00046164">
        <w:t>Политики в сферата на здравеопазването</w:t>
      </w:r>
    </w:p>
    <w:p w14:paraId="3AB95CC9" w14:textId="37E198DD" w:rsidR="00424201" w:rsidRPr="00046164" w:rsidRDefault="00424201" w:rsidP="005F0B57">
      <w:pPr>
        <w:pStyle w:val="ListParagraph"/>
        <w:numPr>
          <w:ilvl w:val="0"/>
          <w:numId w:val="10"/>
        </w:numPr>
        <w:tabs>
          <w:tab w:val="clear" w:pos="680"/>
        </w:tabs>
        <w:ind w:left="567" w:hanging="283"/>
        <w:rPr>
          <w:szCs w:val="24"/>
          <w:lang w:eastAsia="zh-CN"/>
        </w:rPr>
      </w:pPr>
      <w:r w:rsidRPr="00046164">
        <w:rPr>
          <w:szCs w:val="24"/>
          <w:lang w:eastAsia="zh-CN"/>
        </w:rPr>
        <w:t xml:space="preserve">Провежданите политики </w:t>
      </w:r>
      <w:r w:rsidR="00187F3F" w:rsidRPr="00046164">
        <w:rPr>
          <w:szCs w:val="24"/>
          <w:lang w:eastAsia="zh-CN"/>
        </w:rPr>
        <w:t xml:space="preserve">в областта на здравеопазването </w:t>
      </w:r>
      <w:r w:rsidRPr="00046164">
        <w:rPr>
          <w:szCs w:val="24"/>
          <w:lang w:eastAsia="zh-CN"/>
        </w:rPr>
        <w:t>продължават да с</w:t>
      </w:r>
      <w:r w:rsidR="0084573C">
        <w:rPr>
          <w:szCs w:val="24"/>
          <w:lang w:eastAsia="zh-CN"/>
        </w:rPr>
        <w:t>е</w:t>
      </w:r>
      <w:r w:rsidRPr="00046164">
        <w:rPr>
          <w:szCs w:val="24"/>
          <w:lang w:eastAsia="zh-CN"/>
        </w:rPr>
        <w:t xml:space="preserve"> </w:t>
      </w:r>
      <w:r w:rsidR="0084573C">
        <w:rPr>
          <w:szCs w:val="24"/>
          <w:lang w:eastAsia="zh-CN"/>
        </w:rPr>
        <w:t>прилагат</w:t>
      </w:r>
      <w:r w:rsidRPr="00046164">
        <w:rPr>
          <w:szCs w:val="24"/>
          <w:lang w:eastAsia="zh-CN"/>
        </w:rPr>
        <w:t xml:space="preserve"> в следните области: политика в областта на промоцията, превенцията и контрола на общественото здраве, чиято цел е гарантиране на качествено и ефективно посрещане на здравните потребности на гражданите; политика в областта на диагностиката и лечението, която е насочена към подобряване на здравното благополучие и качеството на живот на българските граждани и намаляване на здравните неравенства чрез дейностите в областта на диагностиката и лечението на заболявания и организацията на медицинската помощ; основният обхват на политиката в областта на лекарствените продукти и медицинските изделия е </w:t>
      </w:r>
      <w:r w:rsidRPr="00046164">
        <w:rPr>
          <w:szCs w:val="24"/>
        </w:rPr>
        <w:t>осигуряване</w:t>
      </w:r>
      <w:r w:rsidRPr="00046164">
        <w:rPr>
          <w:szCs w:val="24"/>
          <w:lang w:eastAsia="zh-CN"/>
        </w:rPr>
        <w:t xml:space="preserve"> на лекарствени продукти, които отговарят на стандартите за качество, безопасност и ефикасност за задоволяване на потребностите на населението.</w:t>
      </w:r>
    </w:p>
    <w:p w14:paraId="742959B1" w14:textId="2DE3D070" w:rsidR="00424201" w:rsidRPr="00046164" w:rsidRDefault="0084573C" w:rsidP="005F0B57">
      <w:pPr>
        <w:pStyle w:val="ListParagraph"/>
        <w:numPr>
          <w:ilvl w:val="0"/>
          <w:numId w:val="10"/>
        </w:numPr>
        <w:tabs>
          <w:tab w:val="clear" w:pos="680"/>
        </w:tabs>
        <w:ind w:left="567" w:hanging="283"/>
        <w:rPr>
          <w:rFonts w:eastAsia="Times New Roman"/>
          <w:szCs w:val="24"/>
          <w:lang w:eastAsia="zh-CN"/>
        </w:rPr>
      </w:pPr>
      <w:r w:rsidRPr="00046164">
        <w:rPr>
          <w:szCs w:val="24"/>
        </w:rPr>
        <w:t>Общият размер на разчетените разходи за здравеопазване за 2022 г. е 8 </w:t>
      </w:r>
      <w:r>
        <w:rPr>
          <w:szCs w:val="24"/>
        </w:rPr>
        <w:t>346</w:t>
      </w:r>
      <w:r w:rsidRPr="00046164">
        <w:rPr>
          <w:szCs w:val="24"/>
        </w:rPr>
        <w:t>.</w:t>
      </w:r>
      <w:r>
        <w:rPr>
          <w:szCs w:val="24"/>
        </w:rPr>
        <w:t>7</w:t>
      </w:r>
      <w:r w:rsidRPr="00046164">
        <w:rPr>
          <w:szCs w:val="24"/>
        </w:rPr>
        <w:t xml:space="preserve"> млн. лв., което представлява 5.</w:t>
      </w:r>
      <w:r>
        <w:rPr>
          <w:szCs w:val="24"/>
        </w:rPr>
        <w:t>7</w:t>
      </w:r>
      <w:r w:rsidRPr="00046164">
        <w:rPr>
          <w:szCs w:val="24"/>
        </w:rPr>
        <w:t xml:space="preserve">% от БВП. </w:t>
      </w:r>
      <w:r w:rsidR="00424201" w:rsidRPr="00046164">
        <w:rPr>
          <w:rFonts w:eastAsia="Times New Roman"/>
          <w:szCs w:val="24"/>
          <w:lang w:eastAsia="zh-CN"/>
        </w:rPr>
        <w:t>С цел подобряване на ефективността на разходите и функционирането на здравния сектор социалните трансфери в нат</w:t>
      </w:r>
      <w:r w:rsidR="00187F3F" w:rsidRPr="00046164">
        <w:rPr>
          <w:rFonts w:eastAsia="Times New Roman"/>
          <w:szCs w:val="24"/>
          <w:lang w:eastAsia="zh-CN"/>
        </w:rPr>
        <w:t xml:space="preserve">ура се увеличават нетно със </w:t>
      </w:r>
      <w:r w:rsidR="00187F3F" w:rsidRPr="00EC430A">
        <w:rPr>
          <w:szCs w:val="24"/>
        </w:rPr>
        <w:t>139</w:t>
      </w:r>
      <w:r w:rsidR="00187F3F" w:rsidRPr="00046164">
        <w:rPr>
          <w:rFonts w:eastAsia="Times New Roman"/>
          <w:szCs w:val="24"/>
          <w:lang w:eastAsia="zh-CN"/>
        </w:rPr>
        <w:t>.</w:t>
      </w:r>
      <w:r w:rsidR="00424201" w:rsidRPr="00046164">
        <w:rPr>
          <w:rFonts w:eastAsia="Times New Roman"/>
          <w:szCs w:val="24"/>
          <w:lang w:eastAsia="zh-CN"/>
        </w:rPr>
        <w:t xml:space="preserve">3 млн. лв. </w:t>
      </w:r>
      <w:r w:rsidR="00187F3F" w:rsidRPr="00046164">
        <w:rPr>
          <w:szCs w:val="24"/>
        </w:rPr>
        <w:t>(0.</w:t>
      </w:r>
      <w:r w:rsidR="00424201" w:rsidRPr="00046164">
        <w:rPr>
          <w:szCs w:val="24"/>
        </w:rPr>
        <w:t>09</w:t>
      </w:r>
      <w:r w:rsidR="000F033A" w:rsidRPr="00046164">
        <w:rPr>
          <w:szCs w:val="24"/>
        </w:rPr>
        <w:t>%</w:t>
      </w:r>
      <w:r w:rsidR="00424201" w:rsidRPr="00046164">
        <w:rPr>
          <w:szCs w:val="24"/>
        </w:rPr>
        <w:t xml:space="preserve"> от прогнозния БВП)</w:t>
      </w:r>
      <w:r w:rsidR="00424201" w:rsidRPr="00046164">
        <w:rPr>
          <w:rFonts w:eastAsia="Times New Roman"/>
          <w:szCs w:val="24"/>
          <w:lang w:eastAsia="zh-CN"/>
        </w:rPr>
        <w:t>. Това е резултат от нарастването на средствата за заплащане на извършените дейности по клинични пътеки в различните сектори на системата на здравеопазване и намалението на средствата за работа на изпълнителите на медицинска помощ</w:t>
      </w:r>
      <w:r w:rsidR="00BD2C3E">
        <w:rPr>
          <w:rFonts w:eastAsia="Times New Roman"/>
          <w:szCs w:val="24"/>
          <w:lang w:eastAsia="zh-CN"/>
        </w:rPr>
        <w:t xml:space="preserve"> </w:t>
      </w:r>
      <w:r w:rsidR="00424201" w:rsidRPr="00046164">
        <w:rPr>
          <w:rFonts w:eastAsia="Times New Roman"/>
          <w:szCs w:val="24"/>
          <w:lang w:eastAsia="zh-CN"/>
        </w:rPr>
        <w:t>при неблагоприятни условия във връзка с прекратяване на епидемичната обстановка, част от които се отчитат като социални трансфери в натура (здравноосигурителни плащания).</w:t>
      </w:r>
    </w:p>
    <w:p w14:paraId="76F387F9" w14:textId="32817938" w:rsidR="00424201" w:rsidRPr="00046164" w:rsidRDefault="00424201" w:rsidP="005F0B57">
      <w:pPr>
        <w:pStyle w:val="ListParagraph"/>
        <w:numPr>
          <w:ilvl w:val="0"/>
          <w:numId w:val="10"/>
        </w:numPr>
        <w:tabs>
          <w:tab w:val="clear" w:pos="680"/>
        </w:tabs>
        <w:ind w:left="567" w:hanging="283"/>
        <w:rPr>
          <w:szCs w:val="24"/>
        </w:rPr>
      </w:pPr>
      <w:r w:rsidRPr="00046164">
        <w:rPr>
          <w:szCs w:val="24"/>
        </w:rPr>
        <w:t>Продължава действието на разпоредбите на ЗЗО, с които се въвежда поетапно повишаване на частта от минималния осигурителен доход, върху който се определят здравноосигурителните вноски за лицата, които се осигуряват за сметка на държавния бюджет – от 55 на сто през 2016</w:t>
      </w:r>
      <w:r w:rsidR="00DF07FD">
        <w:rPr>
          <w:szCs w:val="24"/>
        </w:rPr>
        <w:t> г.</w:t>
      </w:r>
      <w:r w:rsidRPr="00046164">
        <w:rPr>
          <w:szCs w:val="24"/>
        </w:rPr>
        <w:t xml:space="preserve"> на 85 на сто от минималния осигурителен доход за самоосигуряващите се лица от 1 януари 2022</w:t>
      </w:r>
      <w:r w:rsidR="00DF07FD">
        <w:rPr>
          <w:szCs w:val="24"/>
        </w:rPr>
        <w:t> г.</w:t>
      </w:r>
      <w:r w:rsidRPr="00046164">
        <w:rPr>
          <w:szCs w:val="24"/>
        </w:rPr>
        <w:t xml:space="preserve">, като всяка следваща година съотношението се увеличава с 5 </w:t>
      </w:r>
      <w:r w:rsidR="008438DF">
        <w:rPr>
          <w:szCs w:val="24"/>
        </w:rPr>
        <w:t>пр.п.</w:t>
      </w:r>
      <w:r w:rsidRPr="00046164">
        <w:rPr>
          <w:szCs w:val="24"/>
        </w:rPr>
        <w:t xml:space="preserve"> до достигане на пълния размер на минималния осигурителен доход за самоосигуряващите се лица. Същевременно с нарастването на минималната работна заплата се увеличава и минималния осигурителен доход, върху който държавата прави вноските. Общата превеждана сума в резултат </w:t>
      </w:r>
      <w:r w:rsidR="00187F3F" w:rsidRPr="00046164">
        <w:rPr>
          <w:szCs w:val="24"/>
        </w:rPr>
        <w:t>на промените ще нарасне със 120.</w:t>
      </w:r>
      <w:r w:rsidRPr="00046164">
        <w:rPr>
          <w:szCs w:val="24"/>
        </w:rPr>
        <w:t>3 млн. лв. Ефектът върху салдото на консолидирана основа е неутрален, тъй като приходите и разходите ще се увеличат с една и съща сума.</w:t>
      </w:r>
    </w:p>
    <w:p w14:paraId="77B445A1" w14:textId="77777777" w:rsidR="00424201" w:rsidRPr="00046164" w:rsidRDefault="00424201" w:rsidP="00D661BA">
      <w:pPr>
        <w:pStyle w:val="Heading4"/>
      </w:pPr>
      <w:r w:rsidRPr="00046164">
        <w:t>Политики в сферата на образованието</w:t>
      </w:r>
    </w:p>
    <w:p w14:paraId="59E01A29" w14:textId="29691038" w:rsidR="00424201" w:rsidRPr="00046164" w:rsidRDefault="00424201" w:rsidP="005F0B57">
      <w:pPr>
        <w:pStyle w:val="ListParagraph"/>
        <w:numPr>
          <w:ilvl w:val="0"/>
          <w:numId w:val="10"/>
        </w:numPr>
        <w:tabs>
          <w:tab w:val="clear" w:pos="680"/>
        </w:tabs>
        <w:ind w:left="567" w:hanging="283"/>
        <w:rPr>
          <w:szCs w:val="24"/>
        </w:rPr>
      </w:pPr>
      <w:r w:rsidRPr="00046164">
        <w:rPr>
          <w:szCs w:val="24"/>
        </w:rPr>
        <w:t>Политиките</w:t>
      </w:r>
      <w:r w:rsidRPr="00046164">
        <w:rPr>
          <w:szCs w:val="24"/>
          <w:lang w:val="en-US"/>
        </w:rPr>
        <w:t xml:space="preserve"> </w:t>
      </w:r>
      <w:r w:rsidRPr="00046164">
        <w:rPr>
          <w:szCs w:val="24"/>
        </w:rPr>
        <w:t>в образованието са с фокус към усъвършенстване на образователния процес, личностното развитие на учащите се, насърчаване на иновациите, квалификация на педагогическите специалисти, модернизиране на образователните институции и повишаване качеството на висшето образование. Общият размер на разчетените разходи за</w:t>
      </w:r>
      <w:r w:rsidR="00187F3F" w:rsidRPr="00046164">
        <w:rPr>
          <w:szCs w:val="24"/>
        </w:rPr>
        <w:t xml:space="preserve"> образование за 2022</w:t>
      </w:r>
      <w:r w:rsidR="00DF07FD">
        <w:rPr>
          <w:szCs w:val="24"/>
        </w:rPr>
        <w:t> г.</w:t>
      </w:r>
      <w:r w:rsidR="00187F3F" w:rsidRPr="00046164">
        <w:rPr>
          <w:szCs w:val="24"/>
        </w:rPr>
        <w:t xml:space="preserve"> е 6 428.</w:t>
      </w:r>
      <w:r w:rsidRPr="00046164">
        <w:rPr>
          <w:szCs w:val="24"/>
        </w:rPr>
        <w:t>2</w:t>
      </w:r>
      <w:r w:rsidR="00187F3F" w:rsidRPr="00046164">
        <w:rPr>
          <w:szCs w:val="24"/>
        </w:rPr>
        <w:t xml:space="preserve"> млн. лв., което представлява 4.</w:t>
      </w:r>
      <w:r w:rsidRPr="00046164">
        <w:rPr>
          <w:szCs w:val="24"/>
        </w:rPr>
        <w:t>4</w:t>
      </w:r>
      <w:r w:rsidR="000F033A" w:rsidRPr="00046164">
        <w:rPr>
          <w:szCs w:val="24"/>
        </w:rPr>
        <w:t>%</w:t>
      </w:r>
      <w:r w:rsidRPr="00046164">
        <w:rPr>
          <w:szCs w:val="24"/>
        </w:rPr>
        <w:t xml:space="preserve"> от БВП. </w:t>
      </w:r>
    </w:p>
    <w:p w14:paraId="05588DA9" w14:textId="19E03A31" w:rsidR="00424201" w:rsidRPr="00046164" w:rsidRDefault="00424201" w:rsidP="005F0B57">
      <w:pPr>
        <w:pStyle w:val="ListParagraph"/>
        <w:numPr>
          <w:ilvl w:val="0"/>
          <w:numId w:val="10"/>
        </w:numPr>
        <w:tabs>
          <w:tab w:val="clear" w:pos="680"/>
        </w:tabs>
        <w:ind w:left="567" w:hanging="283"/>
        <w:rPr>
          <w:szCs w:val="24"/>
        </w:rPr>
      </w:pPr>
      <w:r w:rsidRPr="00046164">
        <w:rPr>
          <w:szCs w:val="24"/>
        </w:rPr>
        <w:lastRenderedPageBreak/>
        <w:t xml:space="preserve">Политиките в </w:t>
      </w:r>
      <w:r w:rsidRPr="00046164">
        <w:rPr>
          <w:szCs w:val="24"/>
          <w:u w:val="single"/>
        </w:rPr>
        <w:t>предучилищното и училищното образование</w:t>
      </w:r>
      <w:r w:rsidRPr="00046164">
        <w:rPr>
          <w:szCs w:val="24"/>
        </w:rPr>
        <w:t xml:space="preserve"> са насочени към ефективна социализация на деца от ранна детска възраст, осигуряването на равен достъп до качествено образование, личностно развитие на децата и учениците, насърчаване на иновациите, квалификация на педагогическите специалисти, модернизиране на образователните институции, дигитализация на образованието. Акцент продължава да бъдат и политиките за обхващане на подлежащи на образование деца и ученици, превенция на отпадането от училище и за намаляване дела на преждевременното напускане на училище. През 202</w:t>
      </w:r>
      <w:r w:rsidRPr="00046164">
        <w:rPr>
          <w:szCs w:val="24"/>
          <w:lang w:val="en-US"/>
        </w:rPr>
        <w:t>2</w:t>
      </w:r>
      <w:r w:rsidR="00DF07FD">
        <w:rPr>
          <w:szCs w:val="24"/>
        </w:rPr>
        <w:t> г.</w:t>
      </w:r>
      <w:r w:rsidRPr="00046164">
        <w:rPr>
          <w:szCs w:val="24"/>
        </w:rPr>
        <w:t xml:space="preserve"> се осъществява стъпка от предвиденото нарастване на средствата за делегираните дейности в образованието във връзка с политиката за увеличение на заплатите на педагогическите специалисти за достигане на средната работна заплата в сектора до ниво от не по-малко от 125 на сто от средната работна заплата за стран</w:t>
      </w:r>
      <w:r w:rsidR="00187F3F" w:rsidRPr="00046164">
        <w:rPr>
          <w:szCs w:val="24"/>
        </w:rPr>
        <w:t>ата. За целта са предвидени 239.</w:t>
      </w:r>
      <w:r w:rsidRPr="00046164">
        <w:rPr>
          <w:szCs w:val="24"/>
        </w:rPr>
        <w:t>5 млн. лв. Ефектът от тази мярка е посочен при разглеждане политиката на доходите.</w:t>
      </w:r>
    </w:p>
    <w:p w14:paraId="313F3C0D" w14:textId="330FE40E" w:rsidR="00424201" w:rsidRPr="00046164" w:rsidRDefault="00424201" w:rsidP="005F0B57">
      <w:pPr>
        <w:pStyle w:val="ListParagraph"/>
        <w:numPr>
          <w:ilvl w:val="0"/>
          <w:numId w:val="10"/>
        </w:numPr>
        <w:tabs>
          <w:tab w:val="clear" w:pos="680"/>
        </w:tabs>
        <w:ind w:left="567" w:hanging="283"/>
        <w:rPr>
          <w:szCs w:val="24"/>
        </w:rPr>
      </w:pPr>
      <w:r w:rsidRPr="00046164">
        <w:rPr>
          <w:szCs w:val="24"/>
        </w:rPr>
        <w:t>През 2022</w:t>
      </w:r>
      <w:r w:rsidR="00DF07FD">
        <w:rPr>
          <w:szCs w:val="24"/>
        </w:rPr>
        <w:t> г.</w:t>
      </w:r>
      <w:r w:rsidRPr="00046164">
        <w:rPr>
          <w:szCs w:val="24"/>
        </w:rPr>
        <w:t xml:space="preserve"> е предвидено допълнително финансиране на следните приоритетни мерки и дейности в сферата на предучилищното и училищното образование: </w:t>
      </w:r>
      <w:r w:rsidRPr="00046164">
        <w:rPr>
          <w:rFonts w:eastAsia="Times New Roman"/>
          <w:szCs w:val="24"/>
        </w:rPr>
        <w:t xml:space="preserve">за увеличаване на </w:t>
      </w:r>
      <w:r w:rsidRPr="00EC430A">
        <w:rPr>
          <w:szCs w:val="24"/>
        </w:rPr>
        <w:t>норматива</w:t>
      </w:r>
      <w:r w:rsidRPr="00046164">
        <w:rPr>
          <w:rFonts w:eastAsia="Times New Roman"/>
          <w:szCs w:val="24"/>
        </w:rPr>
        <w:t xml:space="preserve"> за подпомагане на храненето (безплатни закуски) на децата от задължителната предучилищна възраст и на учениците от начален етап (</w:t>
      </w:r>
      <w:r w:rsidRPr="00046164">
        <w:rPr>
          <w:rFonts w:eastAsia="Times New Roman"/>
          <w:szCs w:val="24"/>
          <w:lang w:val="en-US"/>
        </w:rPr>
        <w:t>I</w:t>
      </w:r>
      <w:r w:rsidRPr="00046164">
        <w:rPr>
          <w:rFonts w:eastAsia="Times New Roman"/>
          <w:szCs w:val="24"/>
        </w:rPr>
        <w:t>-</w:t>
      </w:r>
      <w:r w:rsidRPr="00046164">
        <w:rPr>
          <w:rFonts w:eastAsia="Times New Roman"/>
          <w:szCs w:val="24"/>
          <w:lang w:val="en-US"/>
        </w:rPr>
        <w:t>IV</w:t>
      </w:r>
      <w:r w:rsidRPr="00046164">
        <w:rPr>
          <w:rFonts w:eastAsia="Times New Roman"/>
          <w:szCs w:val="24"/>
        </w:rPr>
        <w:t xml:space="preserve"> клас</w:t>
      </w:r>
      <w:r w:rsidR="00187F3F" w:rsidRPr="00046164">
        <w:rPr>
          <w:rFonts w:eastAsia="Times New Roman"/>
          <w:szCs w:val="24"/>
        </w:rPr>
        <w:t>) са предвидени допълнително 16.</w:t>
      </w:r>
      <w:r w:rsidRPr="00046164">
        <w:rPr>
          <w:rFonts w:eastAsia="Times New Roman"/>
          <w:szCs w:val="24"/>
        </w:rPr>
        <w:t>0 млн. лв.; за изграждане, пристрояване, надстрояване и реконструкция на детски градини, детск</w:t>
      </w:r>
      <w:r w:rsidR="00187F3F" w:rsidRPr="00046164">
        <w:rPr>
          <w:rFonts w:eastAsia="Times New Roman"/>
          <w:szCs w:val="24"/>
        </w:rPr>
        <w:t>и ясли и училища са отделени 80.</w:t>
      </w:r>
      <w:r w:rsidRPr="00046164">
        <w:rPr>
          <w:rFonts w:eastAsia="Times New Roman"/>
          <w:szCs w:val="24"/>
        </w:rPr>
        <w:t xml:space="preserve">0 млн. лв.; </w:t>
      </w:r>
      <w:r w:rsidRPr="00046164">
        <w:rPr>
          <w:szCs w:val="24"/>
        </w:rPr>
        <w:t xml:space="preserve">за изграждане на нови спортни площадки и ремонт на съществуващи такива в училищата </w:t>
      </w:r>
      <w:r w:rsidR="00187F3F" w:rsidRPr="00046164">
        <w:rPr>
          <w:szCs w:val="24"/>
        </w:rPr>
        <w:t>– допълнителните средства са 15.</w:t>
      </w:r>
      <w:r w:rsidRPr="00046164">
        <w:rPr>
          <w:szCs w:val="24"/>
        </w:rPr>
        <w:t>0 млн. лв.; за издръжка на децата в детските ясли и градини, с оглед пълното освобождаване на родителите от заплащане на такси за посещение на детски ясли и градини, считано от 1 април 2022</w:t>
      </w:r>
      <w:r w:rsidR="00DF07FD">
        <w:rPr>
          <w:szCs w:val="24"/>
        </w:rPr>
        <w:t> г.</w:t>
      </w:r>
      <w:r w:rsidRPr="00046164">
        <w:rPr>
          <w:szCs w:val="24"/>
        </w:rPr>
        <w:t xml:space="preserve"> са предвидени 84</w:t>
      </w:r>
      <w:r w:rsidR="00187F3F" w:rsidRPr="00046164">
        <w:rPr>
          <w:szCs w:val="24"/>
        </w:rPr>
        <w:t>.</w:t>
      </w:r>
      <w:r w:rsidRPr="00046164">
        <w:rPr>
          <w:szCs w:val="24"/>
        </w:rPr>
        <w:t>8 млн. лв.; за продължаване поетапното разширяване на достъпа и обхващане в задължително предучилищно образование на 4-годишни деца се предви</w:t>
      </w:r>
      <w:r w:rsidR="00187F3F" w:rsidRPr="00046164">
        <w:rPr>
          <w:szCs w:val="24"/>
        </w:rPr>
        <w:t>ждат допълнително 18.</w:t>
      </w:r>
      <w:r w:rsidRPr="00046164">
        <w:rPr>
          <w:szCs w:val="24"/>
        </w:rPr>
        <w:t xml:space="preserve">0 млн. лв.; за продължаване изпълнението на Национална програма „Отново заедно“, насочена към подобряване на социалния и здравословен начин на живот </w:t>
      </w:r>
      <w:r w:rsidR="00187F3F" w:rsidRPr="00046164">
        <w:rPr>
          <w:szCs w:val="24"/>
        </w:rPr>
        <w:t>на учениците – предвидени са 22.</w:t>
      </w:r>
      <w:r w:rsidRPr="00046164">
        <w:rPr>
          <w:szCs w:val="24"/>
        </w:rPr>
        <w:t xml:space="preserve">6 млн. лв.; </w:t>
      </w:r>
      <w:r w:rsidRPr="00046164">
        <w:rPr>
          <w:rFonts w:eastAsia="Times New Roman"/>
          <w:szCs w:val="24"/>
          <w:lang w:eastAsia="zh-CN"/>
        </w:rPr>
        <w:t>за повишаване на интереса и увеличаване на извънкласните дейности, гарантирани за всеки ученик чрез допълнителна подкрепа за спорт, отдих и култура за осигуряване на широк достъп до тях и при</w:t>
      </w:r>
      <w:r w:rsidR="00187F3F" w:rsidRPr="00046164">
        <w:rPr>
          <w:rFonts w:eastAsia="Times New Roman"/>
          <w:szCs w:val="24"/>
          <w:lang w:eastAsia="zh-CN"/>
        </w:rPr>
        <w:t xml:space="preserve"> изявени високи постижения – 90.</w:t>
      </w:r>
      <w:r w:rsidRPr="00046164">
        <w:rPr>
          <w:rFonts w:eastAsia="Times New Roman"/>
          <w:szCs w:val="24"/>
          <w:lang w:eastAsia="zh-CN"/>
        </w:rPr>
        <w:t xml:space="preserve">0 млн. лв.; </w:t>
      </w:r>
      <w:r w:rsidRPr="00046164">
        <w:rPr>
          <w:szCs w:val="24"/>
        </w:rPr>
        <w:t>за осигуряване на транспорт на деца и ученици, включително за п</w:t>
      </w:r>
      <w:r w:rsidR="00187F3F" w:rsidRPr="00046164">
        <w:rPr>
          <w:szCs w:val="24"/>
        </w:rPr>
        <w:t>оддръжка на автобуси – 6.</w:t>
      </w:r>
      <w:r w:rsidRPr="00046164">
        <w:rPr>
          <w:szCs w:val="24"/>
        </w:rPr>
        <w:t xml:space="preserve">5 млн. лв.; </w:t>
      </w:r>
      <w:r w:rsidRPr="00046164">
        <w:rPr>
          <w:rFonts w:eastAsia="Times New Roman"/>
          <w:szCs w:val="24"/>
        </w:rPr>
        <w:t xml:space="preserve">за закупуване на училищни автобуси, за да бъдат осигурени условия за безопасно превозване на децата и учениците до най-близката </w:t>
      </w:r>
      <w:r w:rsidR="00187F3F" w:rsidRPr="00046164">
        <w:rPr>
          <w:rFonts w:eastAsia="Times New Roman"/>
          <w:szCs w:val="24"/>
        </w:rPr>
        <w:t>детска градина или училище – 10.</w:t>
      </w:r>
      <w:r w:rsidRPr="00046164">
        <w:rPr>
          <w:rFonts w:eastAsia="Times New Roman"/>
          <w:szCs w:val="24"/>
        </w:rPr>
        <w:t>0 млн. лв.; за възнаграждения и обучение на медиатори, социални работници и допълнителни непедагогически специалисти в училища с по-ниска концентрация н</w:t>
      </w:r>
      <w:r w:rsidR="00187F3F" w:rsidRPr="00046164">
        <w:rPr>
          <w:rFonts w:eastAsia="Times New Roman"/>
          <w:szCs w:val="24"/>
        </w:rPr>
        <w:t>а ученици от уязвими групи – 10.</w:t>
      </w:r>
      <w:r w:rsidRPr="00046164">
        <w:rPr>
          <w:rFonts w:eastAsia="Times New Roman"/>
          <w:szCs w:val="24"/>
        </w:rPr>
        <w:t xml:space="preserve">0 млн. лв.; </w:t>
      </w:r>
      <w:r w:rsidRPr="00046164">
        <w:rPr>
          <w:rFonts w:eastAsia="Times New Roman"/>
          <w:szCs w:val="24"/>
          <w:lang w:eastAsia="zh-CN"/>
        </w:rPr>
        <w:t>предвидени са средства за компенсиране на разходите за отглеждане и обучение на деца, които не са приети поради липса на места в държавни и общинск</w:t>
      </w:r>
      <w:r w:rsidR="00187F3F" w:rsidRPr="00046164">
        <w:rPr>
          <w:rFonts w:eastAsia="Times New Roman"/>
          <w:szCs w:val="24"/>
          <w:lang w:eastAsia="zh-CN"/>
        </w:rPr>
        <w:t>и детски градини и училища – 13.</w:t>
      </w:r>
      <w:r w:rsidRPr="00046164">
        <w:rPr>
          <w:rFonts w:eastAsia="Times New Roman"/>
          <w:szCs w:val="24"/>
          <w:lang w:eastAsia="zh-CN"/>
        </w:rPr>
        <w:t xml:space="preserve">0 млн. лв. </w:t>
      </w:r>
      <w:r w:rsidRPr="00046164">
        <w:rPr>
          <w:szCs w:val="24"/>
        </w:rPr>
        <w:t xml:space="preserve">Общият ефект от описаните мерки в сферата на предучилищното и училищното образование </w:t>
      </w:r>
      <w:r w:rsidR="00187F3F" w:rsidRPr="00046164">
        <w:rPr>
          <w:szCs w:val="24"/>
        </w:rPr>
        <w:t>е увеличение на разходите с 365.</w:t>
      </w:r>
      <w:r w:rsidRPr="00046164">
        <w:rPr>
          <w:szCs w:val="24"/>
        </w:rPr>
        <w:t>9 млн. лв. (</w:t>
      </w:r>
      <w:r w:rsidR="00187F3F" w:rsidRPr="00046164">
        <w:rPr>
          <w:szCs w:val="24"/>
        </w:rPr>
        <w:t>0.</w:t>
      </w:r>
      <w:r w:rsidRPr="00046164">
        <w:rPr>
          <w:szCs w:val="24"/>
        </w:rPr>
        <w:t>2</w:t>
      </w:r>
      <w:r w:rsidRPr="00046164">
        <w:rPr>
          <w:szCs w:val="24"/>
          <w:lang w:val="en-US"/>
        </w:rPr>
        <w:t>5</w:t>
      </w:r>
      <w:r w:rsidR="000F033A" w:rsidRPr="00046164">
        <w:rPr>
          <w:szCs w:val="24"/>
        </w:rPr>
        <w:t>%</w:t>
      </w:r>
      <w:r w:rsidRPr="00046164">
        <w:rPr>
          <w:szCs w:val="24"/>
        </w:rPr>
        <w:t xml:space="preserve"> от прогнозния БВП).</w:t>
      </w:r>
    </w:p>
    <w:p w14:paraId="61EF8647" w14:textId="1244D2B8" w:rsidR="00424201" w:rsidRPr="00046164" w:rsidRDefault="00424201" w:rsidP="00046164">
      <w:pPr>
        <w:tabs>
          <w:tab w:val="left" w:pos="680"/>
        </w:tabs>
        <w:rPr>
          <w:szCs w:val="24"/>
          <w:lang w:val="en-US"/>
        </w:rPr>
      </w:pPr>
      <w:r w:rsidRPr="00046164">
        <w:rPr>
          <w:szCs w:val="24"/>
        </w:rPr>
        <w:t xml:space="preserve">Политиката в областта на </w:t>
      </w:r>
      <w:r w:rsidRPr="00046164">
        <w:rPr>
          <w:szCs w:val="24"/>
          <w:u w:val="single"/>
        </w:rPr>
        <w:t>висшето образование</w:t>
      </w:r>
      <w:r w:rsidRPr="00046164">
        <w:rPr>
          <w:szCs w:val="24"/>
        </w:rPr>
        <w:t xml:space="preserve"> е насочена към </w:t>
      </w:r>
      <w:r w:rsidRPr="00046164">
        <w:rPr>
          <w:rFonts w:eastAsia="Times New Roman"/>
          <w:szCs w:val="24"/>
          <w:lang w:eastAsia="zh-CN"/>
        </w:rPr>
        <w:t>насърчаване на усилията на автономните висши училища за непрекъснато развитие на качеството на предлаганото висше образование, въвеждането, развитието и усъвършенстването на вътрешните системи за оценяване и поддържане на качеството на обучение и на академичния състав</w:t>
      </w:r>
      <w:r w:rsidRPr="00046164">
        <w:rPr>
          <w:szCs w:val="24"/>
        </w:rPr>
        <w:t xml:space="preserve">. </w:t>
      </w:r>
      <w:r w:rsidRPr="00046164">
        <w:rPr>
          <w:rFonts w:eastAsia="Times New Roman"/>
          <w:szCs w:val="24"/>
        </w:rPr>
        <w:t>За продължаване на реформите и осигуряване на политиките за устойчиво развитие и разширяване на достъпа до висше образование предвидените допълнителни средств</w:t>
      </w:r>
      <w:r w:rsidR="00187F3F" w:rsidRPr="00046164">
        <w:rPr>
          <w:rFonts w:eastAsia="Times New Roman"/>
          <w:szCs w:val="24"/>
        </w:rPr>
        <w:t>а за 2022</w:t>
      </w:r>
      <w:r w:rsidR="00DF07FD">
        <w:rPr>
          <w:rFonts w:eastAsia="Times New Roman"/>
          <w:szCs w:val="24"/>
        </w:rPr>
        <w:t> г.</w:t>
      </w:r>
      <w:r w:rsidR="00187F3F" w:rsidRPr="00046164">
        <w:rPr>
          <w:rFonts w:eastAsia="Times New Roman"/>
          <w:szCs w:val="24"/>
        </w:rPr>
        <w:t xml:space="preserve"> са в размер на 109</w:t>
      </w:r>
      <w:r w:rsidRPr="00046164">
        <w:rPr>
          <w:rFonts w:eastAsia="Times New Roman"/>
          <w:szCs w:val="24"/>
        </w:rPr>
        <w:t xml:space="preserve"> млн. лв.</w:t>
      </w:r>
      <w:r w:rsidR="00187F3F" w:rsidRPr="00046164">
        <w:rPr>
          <w:szCs w:val="24"/>
        </w:rPr>
        <w:t xml:space="preserve"> (0.</w:t>
      </w:r>
      <w:r w:rsidRPr="00046164">
        <w:rPr>
          <w:szCs w:val="24"/>
        </w:rPr>
        <w:t>07</w:t>
      </w:r>
      <w:r w:rsidR="000F033A" w:rsidRPr="00046164">
        <w:rPr>
          <w:szCs w:val="24"/>
        </w:rPr>
        <w:t>%</w:t>
      </w:r>
      <w:r w:rsidRPr="00046164">
        <w:rPr>
          <w:szCs w:val="24"/>
        </w:rPr>
        <w:t xml:space="preserve"> от прогнозния БВП)</w:t>
      </w:r>
      <w:r w:rsidRPr="00046164">
        <w:rPr>
          <w:rFonts w:eastAsia="Times New Roman"/>
          <w:szCs w:val="24"/>
        </w:rPr>
        <w:t xml:space="preserve">, разпределени както </w:t>
      </w:r>
      <w:r w:rsidRPr="00046164">
        <w:rPr>
          <w:rFonts w:eastAsia="Times New Roman"/>
          <w:szCs w:val="24"/>
        </w:rPr>
        <w:lastRenderedPageBreak/>
        <w:t xml:space="preserve">следва: </w:t>
      </w:r>
      <w:r w:rsidRPr="00046164">
        <w:rPr>
          <w:szCs w:val="24"/>
        </w:rPr>
        <w:t>за</w:t>
      </w:r>
      <w:r w:rsidRPr="00046164">
        <w:rPr>
          <w:szCs w:val="24"/>
          <w:lang w:val="en-US"/>
        </w:rPr>
        <w:t xml:space="preserve"> </w:t>
      </w:r>
      <w:r w:rsidRPr="00046164">
        <w:rPr>
          <w:szCs w:val="24"/>
        </w:rPr>
        <w:t>увеличаване на средствата з</w:t>
      </w:r>
      <w:r w:rsidR="00187F3F" w:rsidRPr="00046164">
        <w:rPr>
          <w:szCs w:val="24"/>
        </w:rPr>
        <w:t>а стипендиите на студентите – 5.</w:t>
      </w:r>
      <w:r w:rsidRPr="00046164">
        <w:rPr>
          <w:szCs w:val="24"/>
        </w:rPr>
        <w:t>5 млн. лв.; за осигуряване на и увеличаване на средствата</w:t>
      </w:r>
      <w:r w:rsidR="00187F3F" w:rsidRPr="00046164">
        <w:rPr>
          <w:szCs w:val="24"/>
        </w:rPr>
        <w:t xml:space="preserve"> за издръжка на обучението – 43.</w:t>
      </w:r>
      <w:r w:rsidRPr="00046164">
        <w:rPr>
          <w:szCs w:val="24"/>
        </w:rPr>
        <w:t xml:space="preserve">5 млн. лв., </w:t>
      </w:r>
      <w:r w:rsidRPr="00046164">
        <w:rPr>
          <w:rFonts w:eastAsia="Times New Roman"/>
          <w:szCs w:val="24"/>
          <w:lang w:eastAsia="zh-CN"/>
        </w:rPr>
        <w:t>в т.ч. за поетапно увеличение на диференцираните нормативи за издръжка на обучението за хуманитарни, технически и педагогически науки, за компенсиране на намалелите приходите от студенти, освободени от заплащане на такси за обучение, обучаващи се в професионални направления и защитени специалности с най- висок очакван недостиг на пазара на труд и др.</w:t>
      </w:r>
      <w:r w:rsidRPr="00046164">
        <w:rPr>
          <w:szCs w:val="24"/>
        </w:rPr>
        <w:t>; за саниране и ремо</w:t>
      </w:r>
      <w:r w:rsidR="00187F3F" w:rsidRPr="00046164">
        <w:rPr>
          <w:szCs w:val="24"/>
        </w:rPr>
        <w:t>нт на студентски общежития – 35.</w:t>
      </w:r>
      <w:r w:rsidRPr="00046164">
        <w:rPr>
          <w:szCs w:val="24"/>
        </w:rPr>
        <w:t xml:space="preserve">0 млн. лв.; допълнително финансиране за увеличение на възнагражденията на лицата от академичния състав </w:t>
      </w:r>
      <w:r w:rsidR="00187F3F" w:rsidRPr="00046164">
        <w:rPr>
          <w:szCs w:val="24"/>
        </w:rPr>
        <w:t>в държавните висши училища – 20.</w:t>
      </w:r>
      <w:r w:rsidRPr="00046164">
        <w:rPr>
          <w:szCs w:val="24"/>
        </w:rPr>
        <w:t xml:space="preserve">0 млн. лв.; </w:t>
      </w:r>
      <w:r w:rsidRPr="00046164">
        <w:rPr>
          <w:rFonts w:eastAsia="Times New Roman"/>
          <w:szCs w:val="24"/>
          <w:lang w:eastAsia="zh-CN"/>
        </w:rPr>
        <w:t>за присъщата на висшите училища научна или художествено-творческа дейност и за издаване н</w:t>
      </w:r>
      <w:r w:rsidR="00187F3F" w:rsidRPr="00046164">
        <w:rPr>
          <w:rFonts w:eastAsia="Times New Roman"/>
          <w:szCs w:val="24"/>
          <w:lang w:eastAsia="zh-CN"/>
        </w:rPr>
        <w:t>а учебници и научни трудове – 5.</w:t>
      </w:r>
      <w:r w:rsidRPr="00046164">
        <w:rPr>
          <w:rFonts w:eastAsia="Times New Roman"/>
          <w:szCs w:val="24"/>
          <w:lang w:eastAsia="zh-CN"/>
        </w:rPr>
        <w:t>0 млн. лева.</w:t>
      </w:r>
    </w:p>
    <w:p w14:paraId="3CFF3D8A" w14:textId="77777777" w:rsidR="00424201" w:rsidRPr="00046164" w:rsidRDefault="00424201" w:rsidP="00D661BA">
      <w:pPr>
        <w:pStyle w:val="Heading4"/>
      </w:pPr>
      <w:r w:rsidRPr="00046164">
        <w:t>Политики в областта на науката</w:t>
      </w:r>
    </w:p>
    <w:p w14:paraId="26E8B89E" w14:textId="48178CA0" w:rsidR="00424201" w:rsidRDefault="00424201" w:rsidP="00D661BA">
      <w:r w:rsidRPr="00046164">
        <w:t>Акцентът се поставя върху финансиране на научни изследвания в приоритетни и конкурентни области за решаване на важни обществено значими предизвикателства, подпомагане на млади учени и осъществяване на съвместни научни изследвания с български учени в чужбина и привличане на водещи учени от чужбина. Повишаването на размера и на ефективността на публичните разходи за научно-изследователска и развойна дейност (НИРД) има за цел повишаване на качеството, експлоатацията и комерсиализацията на резултатите от изследователската дейност; повишаване нивото на научно-изследователските институции и модернизация на оборудването за извършване на НИРД; развитието на регионални и местни лаборатории за технологични изпитвания, насърчаване на предприемачеството в организации, които се занимават с научни изследвания, поддържане на успешни клъстери, адресиране на пропуските в научноизследователската инфраструктура и оптимално използване на споделения инфраструктурен капацитет; изграждането на капацитет и развитие на човешките ресурси в системата на НИРД; стимулиране на сътрудничеството между висшите училища, научните институти и бизнеса с цел ефективното ориентиране на научните разработки към нуждите на пазара и обществото. За наука в бюдж</w:t>
      </w:r>
      <w:r w:rsidR="00187F3F" w:rsidRPr="00046164">
        <w:t>ета за 2022</w:t>
      </w:r>
      <w:r w:rsidR="00DF07FD">
        <w:t> г.</w:t>
      </w:r>
      <w:r w:rsidR="00187F3F" w:rsidRPr="00046164">
        <w:t xml:space="preserve"> са разчетени 621.2 млн. лв. (0.42</w:t>
      </w:r>
      <w:r w:rsidRPr="00046164">
        <w:t>% от прогнозния БВП).</w:t>
      </w:r>
    </w:p>
    <w:p w14:paraId="487E5647" w14:textId="04743AB6" w:rsidR="004F09C0" w:rsidRPr="00887584" w:rsidRDefault="004F09C0" w:rsidP="00DD503D">
      <w:pPr>
        <w:pStyle w:val="Default"/>
      </w:pPr>
      <w:r w:rsidRPr="00887584">
        <w:t>Предвидени са средства за 2022</w:t>
      </w:r>
      <w:r w:rsidR="00DF07FD">
        <w:t> г.</w:t>
      </w:r>
      <w:r w:rsidRPr="00887584">
        <w:t xml:space="preserve"> за привличане и задържане на млади учени и специалисти в института на Българска академия на науките, в размер на 20,0 млн. лв., за увеличение на трудовите възнаграждения на учените от Българската академия на науките при изпълнение на индикатори за научно и иновационно развитие, определени в споразумение между Министерството на образованието и науката и Българската академия на науките и за проекти, разработени</w:t>
      </w:r>
      <w:r w:rsidR="00DD503D">
        <w:t xml:space="preserve"> от учените в БАН по критерии, приети от нея.</w:t>
      </w:r>
    </w:p>
    <w:p w14:paraId="31C0B9AF" w14:textId="77777777" w:rsidR="004F09C0" w:rsidRPr="00887584" w:rsidRDefault="004F09C0" w:rsidP="00D661BA">
      <w:r w:rsidRPr="00887584">
        <w:t>Ежегодно по централния бюджет се разчитат и разходват средства за Националната стратегия за развитие на научните изследвания в Република България 2017 – 2030 и Националната пътна карта за научна инфраструктура и национални научни програми.</w:t>
      </w:r>
    </w:p>
    <w:p w14:paraId="48FF44F0" w14:textId="77777777" w:rsidR="00424201" w:rsidRPr="00046164" w:rsidRDefault="00424201" w:rsidP="00D661BA">
      <w:pPr>
        <w:pStyle w:val="Heading4"/>
      </w:pPr>
      <w:r w:rsidRPr="00046164">
        <w:t>Политика в областта на отбраната</w:t>
      </w:r>
    </w:p>
    <w:p w14:paraId="0404863B" w14:textId="62FDBA0D" w:rsidR="00424201" w:rsidRPr="00046164" w:rsidRDefault="00424201" w:rsidP="00046164">
      <w:pPr>
        <w:tabs>
          <w:tab w:val="left" w:pos="680"/>
        </w:tabs>
        <w:rPr>
          <w:rFonts w:eastAsia="Times New Roman"/>
          <w:szCs w:val="24"/>
          <w:lang w:eastAsia="zh-CN"/>
        </w:rPr>
      </w:pPr>
      <w:r w:rsidRPr="00046164">
        <w:rPr>
          <w:szCs w:val="24"/>
        </w:rPr>
        <w:t xml:space="preserve">Политиката в областта на отбраната е свързана с поддържането на модерни, боеспособни и оперативно съвместими въоръжени сили. </w:t>
      </w:r>
      <w:r w:rsidRPr="00046164">
        <w:rPr>
          <w:rFonts w:eastAsia="Times New Roman"/>
          <w:szCs w:val="24"/>
        </w:rPr>
        <w:t>Целта е изграждане, поддържане и използване на необходимите способности на българските въоръжени сили за изпълнение на задачите по отбрана на страната в рамките на колективната отбрана на НАТО, принос към колективната отбрана на Алианса, участие в ръководени от НАТО и ЕС операции и мисии, а също така и принос към националната сигурност в мирно време.</w:t>
      </w:r>
      <w:r w:rsidRPr="00046164">
        <w:rPr>
          <w:szCs w:val="24"/>
        </w:rPr>
        <w:t xml:space="preserve"> Република България ще продължи участието си в процеса на вземане на решения, както и в процеса на изграждане на отбранителни способности на НАТО и ЕС. </w:t>
      </w:r>
      <w:r w:rsidRPr="00046164">
        <w:rPr>
          <w:rFonts w:eastAsia="Times New Roman"/>
          <w:szCs w:val="24"/>
          <w:lang w:eastAsia="zh-CN"/>
        </w:rPr>
        <w:t>Разходите за отбрана за 2022</w:t>
      </w:r>
      <w:r w:rsidR="00DF07FD">
        <w:rPr>
          <w:rFonts w:eastAsia="Times New Roman"/>
          <w:szCs w:val="24"/>
          <w:lang w:eastAsia="zh-CN"/>
        </w:rPr>
        <w:t> г.</w:t>
      </w:r>
      <w:r w:rsidRPr="00046164">
        <w:rPr>
          <w:rFonts w:eastAsia="Times New Roman"/>
          <w:szCs w:val="24"/>
          <w:lang w:eastAsia="zh-CN"/>
        </w:rPr>
        <w:t xml:space="preserve"> </w:t>
      </w:r>
      <w:r w:rsidRPr="00046164">
        <w:rPr>
          <w:rFonts w:eastAsia="Times New Roman"/>
          <w:szCs w:val="24"/>
          <w:lang w:eastAsia="zh-CN"/>
        </w:rPr>
        <w:lastRenderedPageBreak/>
        <w:t xml:space="preserve">възлизат на </w:t>
      </w:r>
      <w:r w:rsidR="0084573C" w:rsidRPr="000639F1">
        <w:rPr>
          <w:rFonts w:eastAsia="Times New Roman"/>
          <w:szCs w:val="24"/>
          <w:lang w:eastAsia="zh-CN"/>
        </w:rPr>
        <w:t>1.</w:t>
      </w:r>
      <w:r w:rsidR="0084573C" w:rsidRPr="000639F1">
        <w:rPr>
          <w:rFonts w:eastAsia="Times New Roman"/>
          <w:szCs w:val="24"/>
          <w:lang w:val="en-US" w:eastAsia="zh-CN"/>
        </w:rPr>
        <w:t>73</w:t>
      </w:r>
      <w:r w:rsidR="0084573C" w:rsidRPr="00C333BB">
        <w:rPr>
          <w:rFonts w:eastAsia="Times New Roman"/>
          <w:szCs w:val="24"/>
          <w:lang w:eastAsia="zh-CN"/>
        </w:rPr>
        <w:t>%</w:t>
      </w:r>
      <w:r w:rsidR="0084573C" w:rsidRPr="00046164">
        <w:rPr>
          <w:rFonts w:eastAsia="Times New Roman"/>
          <w:szCs w:val="24"/>
          <w:lang w:eastAsia="zh-CN"/>
        </w:rPr>
        <w:t xml:space="preserve"> </w:t>
      </w:r>
      <w:r w:rsidRPr="00046164">
        <w:rPr>
          <w:rFonts w:eastAsia="Times New Roman"/>
          <w:szCs w:val="24"/>
          <w:lang w:eastAsia="zh-CN"/>
        </w:rPr>
        <w:t>от БВП, кат</w:t>
      </w:r>
      <w:r w:rsidR="00187F3F" w:rsidRPr="00046164">
        <w:rPr>
          <w:rFonts w:eastAsia="Times New Roman"/>
          <w:szCs w:val="24"/>
          <w:lang w:eastAsia="zh-CN"/>
        </w:rPr>
        <w:t>о през 2024</w:t>
      </w:r>
      <w:r w:rsidR="00DF07FD">
        <w:rPr>
          <w:rFonts w:eastAsia="Times New Roman"/>
          <w:szCs w:val="24"/>
          <w:lang w:eastAsia="zh-CN"/>
        </w:rPr>
        <w:t> г.</w:t>
      </w:r>
      <w:r w:rsidR="00187F3F" w:rsidRPr="00046164">
        <w:rPr>
          <w:rFonts w:eastAsia="Times New Roman"/>
          <w:szCs w:val="24"/>
          <w:lang w:eastAsia="zh-CN"/>
        </w:rPr>
        <w:t xml:space="preserve"> ще достигат до 2</w:t>
      </w:r>
      <w:r w:rsidRPr="00046164">
        <w:rPr>
          <w:rFonts w:eastAsia="Times New Roman"/>
          <w:szCs w:val="24"/>
          <w:lang w:eastAsia="zh-CN"/>
        </w:rPr>
        <w:t>% от БВП, с което се изпълнява Националния план за повишаване на разходите за отбрана на 2 на сто от БВП на Република България до 2024</w:t>
      </w:r>
      <w:r w:rsidR="00DF07FD">
        <w:rPr>
          <w:rFonts w:eastAsia="Times New Roman"/>
          <w:szCs w:val="24"/>
          <w:lang w:eastAsia="zh-CN"/>
        </w:rPr>
        <w:t> г.</w:t>
      </w:r>
      <w:r w:rsidRPr="00046164">
        <w:rPr>
          <w:rFonts w:eastAsia="Times New Roman"/>
          <w:szCs w:val="24"/>
          <w:lang w:eastAsia="zh-CN"/>
        </w:rPr>
        <w:t xml:space="preserve"> и поетите ангажименти пред НАТО. Предвидените средства за 2022</w:t>
      </w:r>
      <w:r w:rsidR="00DF07FD">
        <w:rPr>
          <w:rFonts w:eastAsia="Times New Roman"/>
          <w:szCs w:val="24"/>
          <w:lang w:eastAsia="zh-CN"/>
        </w:rPr>
        <w:t> г.</w:t>
      </w:r>
      <w:r w:rsidRPr="00046164">
        <w:rPr>
          <w:rFonts w:eastAsia="Times New Roman"/>
          <w:szCs w:val="24"/>
          <w:lang w:eastAsia="zh-CN"/>
        </w:rPr>
        <w:t xml:space="preserve"> за превъоръжаване и модернизация на трите вида въоръжени сили и повишаване на отбранителните способности на Българската армия</w:t>
      </w:r>
      <w:r w:rsidRPr="00046164">
        <w:rPr>
          <w:szCs w:val="24"/>
        </w:rPr>
        <w:t xml:space="preserve"> </w:t>
      </w:r>
      <w:r w:rsidRPr="00046164">
        <w:rPr>
          <w:rFonts w:eastAsia="Times New Roman"/>
          <w:szCs w:val="24"/>
          <w:lang w:eastAsia="zh-CN"/>
        </w:rPr>
        <w:t>са в следните направления:</w:t>
      </w:r>
    </w:p>
    <w:p w14:paraId="3C9E2D25" w14:textId="5A70AAA3" w:rsidR="00424201" w:rsidRPr="00046164" w:rsidRDefault="00187F3F" w:rsidP="005F0B57">
      <w:pPr>
        <w:pStyle w:val="ListParagraph"/>
        <w:numPr>
          <w:ilvl w:val="0"/>
          <w:numId w:val="10"/>
        </w:numPr>
        <w:tabs>
          <w:tab w:val="clear" w:pos="680"/>
        </w:tabs>
        <w:ind w:left="567" w:hanging="283"/>
        <w:rPr>
          <w:rFonts w:eastAsia="Times New Roman"/>
          <w:szCs w:val="24"/>
          <w:lang w:eastAsia="zh-CN"/>
        </w:rPr>
      </w:pPr>
      <w:r w:rsidRPr="00046164">
        <w:rPr>
          <w:rFonts w:eastAsia="Times New Roman"/>
          <w:szCs w:val="24"/>
          <w:lang w:eastAsia="zh-CN"/>
        </w:rPr>
        <w:t>187.</w:t>
      </w:r>
      <w:r w:rsidR="00424201" w:rsidRPr="00046164">
        <w:rPr>
          <w:rFonts w:eastAsia="Times New Roman"/>
          <w:szCs w:val="24"/>
          <w:lang w:eastAsia="zh-CN"/>
        </w:rPr>
        <w:t>0 млн. лв.</w:t>
      </w:r>
      <w:r w:rsidR="00DF07FD">
        <w:rPr>
          <w:rFonts w:eastAsia="Times New Roman"/>
          <w:szCs w:val="24"/>
          <w:lang w:eastAsia="zh-CN"/>
        </w:rPr>
        <w:t xml:space="preserve"> – </w:t>
      </w:r>
      <w:r w:rsidR="00424201" w:rsidRPr="00046164">
        <w:rPr>
          <w:rFonts w:eastAsia="Times New Roman"/>
          <w:szCs w:val="24"/>
          <w:lang w:eastAsia="zh-CN"/>
        </w:rPr>
        <w:t xml:space="preserve">за придобиване на многофункционален модулен патрулен кораб за Военно морските сили; </w:t>
      </w:r>
    </w:p>
    <w:p w14:paraId="1B36C8A0" w14:textId="74DA8816" w:rsidR="00424201" w:rsidRPr="00046164" w:rsidRDefault="00187F3F" w:rsidP="005F0B57">
      <w:pPr>
        <w:pStyle w:val="ListParagraph"/>
        <w:numPr>
          <w:ilvl w:val="0"/>
          <w:numId w:val="10"/>
        </w:numPr>
        <w:tabs>
          <w:tab w:val="clear" w:pos="680"/>
        </w:tabs>
        <w:ind w:left="567" w:hanging="283"/>
        <w:rPr>
          <w:rFonts w:eastAsia="Times New Roman"/>
          <w:szCs w:val="24"/>
          <w:lang w:eastAsia="zh-CN"/>
        </w:rPr>
      </w:pPr>
      <w:r w:rsidRPr="00046164">
        <w:rPr>
          <w:rFonts w:eastAsia="Times New Roman"/>
          <w:szCs w:val="24"/>
          <w:lang w:eastAsia="zh-CN"/>
        </w:rPr>
        <w:t>100.</w:t>
      </w:r>
      <w:r w:rsidR="00424201" w:rsidRPr="00046164">
        <w:rPr>
          <w:rFonts w:eastAsia="Times New Roman"/>
          <w:szCs w:val="24"/>
          <w:lang w:eastAsia="zh-CN"/>
        </w:rPr>
        <w:t>0 млн. лв.</w:t>
      </w:r>
      <w:r w:rsidR="00DF07FD">
        <w:rPr>
          <w:rFonts w:eastAsia="Times New Roman"/>
          <w:szCs w:val="24"/>
          <w:lang w:eastAsia="zh-CN"/>
        </w:rPr>
        <w:t xml:space="preserve"> – </w:t>
      </w:r>
      <w:r w:rsidR="00424201" w:rsidRPr="00046164">
        <w:rPr>
          <w:rFonts w:eastAsia="Times New Roman"/>
          <w:szCs w:val="24"/>
          <w:lang w:eastAsia="zh-CN"/>
        </w:rPr>
        <w:t>за основна бойна техника за изграждане на батальонни бойни групи от състава на механизирана бригада;</w:t>
      </w:r>
    </w:p>
    <w:p w14:paraId="1FBB4FFC" w14:textId="6860F0E3" w:rsidR="00424201" w:rsidRPr="00046164" w:rsidRDefault="00187F3F" w:rsidP="005F0B57">
      <w:pPr>
        <w:pStyle w:val="ListParagraph"/>
        <w:numPr>
          <w:ilvl w:val="0"/>
          <w:numId w:val="10"/>
        </w:numPr>
        <w:tabs>
          <w:tab w:val="clear" w:pos="680"/>
        </w:tabs>
        <w:ind w:left="567" w:hanging="283"/>
        <w:rPr>
          <w:rFonts w:eastAsia="Times New Roman"/>
          <w:szCs w:val="24"/>
          <w:lang w:eastAsia="zh-CN"/>
        </w:rPr>
      </w:pPr>
      <w:r w:rsidRPr="00046164">
        <w:rPr>
          <w:rFonts w:eastAsia="Times New Roman"/>
          <w:szCs w:val="24"/>
          <w:lang w:eastAsia="zh-CN"/>
        </w:rPr>
        <w:t>180.</w:t>
      </w:r>
      <w:r w:rsidR="00424201" w:rsidRPr="00046164">
        <w:rPr>
          <w:rFonts w:eastAsia="Times New Roman"/>
          <w:szCs w:val="24"/>
          <w:lang w:eastAsia="zh-CN"/>
        </w:rPr>
        <w:t>0 млн. лв.</w:t>
      </w:r>
      <w:r w:rsidR="00DF07FD">
        <w:rPr>
          <w:rFonts w:eastAsia="Times New Roman"/>
          <w:szCs w:val="24"/>
          <w:lang w:eastAsia="zh-CN"/>
        </w:rPr>
        <w:t xml:space="preserve"> – </w:t>
      </w:r>
      <w:r w:rsidR="00424201" w:rsidRPr="00046164">
        <w:rPr>
          <w:rFonts w:eastAsia="Times New Roman"/>
          <w:szCs w:val="24"/>
          <w:lang w:eastAsia="zh-CN"/>
        </w:rPr>
        <w:t>за средства за изграждане на интегрирана система и инфраструктура за усвояване, експлоатация и осигуряване на новия тип боен самолет, включително и за съпътстващите разходи по придобиването му;</w:t>
      </w:r>
    </w:p>
    <w:p w14:paraId="6FF83050" w14:textId="67A231D3" w:rsidR="00424201" w:rsidRPr="00046164" w:rsidRDefault="00187F3F" w:rsidP="005F0B57">
      <w:pPr>
        <w:pStyle w:val="ListParagraph"/>
        <w:numPr>
          <w:ilvl w:val="0"/>
          <w:numId w:val="10"/>
        </w:numPr>
        <w:tabs>
          <w:tab w:val="clear" w:pos="680"/>
        </w:tabs>
        <w:ind w:left="567" w:hanging="283"/>
        <w:rPr>
          <w:rFonts w:eastAsia="Times New Roman"/>
          <w:szCs w:val="24"/>
          <w:lang w:eastAsia="zh-CN"/>
        </w:rPr>
      </w:pPr>
      <w:r w:rsidRPr="00046164">
        <w:rPr>
          <w:rFonts w:eastAsia="Times New Roman"/>
          <w:szCs w:val="24"/>
          <w:lang w:eastAsia="zh-CN"/>
        </w:rPr>
        <w:t>126.</w:t>
      </w:r>
      <w:r w:rsidR="00424201" w:rsidRPr="00046164">
        <w:rPr>
          <w:rFonts w:eastAsia="Times New Roman"/>
          <w:szCs w:val="24"/>
          <w:lang w:eastAsia="zh-CN"/>
        </w:rPr>
        <w:t>2</w:t>
      </w:r>
      <w:r w:rsidR="00DF07FD">
        <w:rPr>
          <w:rFonts w:eastAsia="Times New Roman"/>
          <w:szCs w:val="24"/>
          <w:lang w:eastAsia="zh-CN"/>
        </w:rPr>
        <w:t xml:space="preserve"> – </w:t>
      </w:r>
      <w:r w:rsidR="00424201" w:rsidRPr="00046164">
        <w:rPr>
          <w:rFonts w:eastAsia="Times New Roman"/>
          <w:szCs w:val="24"/>
          <w:lang w:eastAsia="zh-CN"/>
        </w:rPr>
        <w:t>млн. лв. за придобиване, модернизация и поддръжка на въоръжение и техника, в т.ч. осигуряване на експлоатацията на самолети МиГ-29;</w:t>
      </w:r>
    </w:p>
    <w:p w14:paraId="1F626EFE" w14:textId="39C7B560" w:rsidR="00424201" w:rsidRPr="00046164" w:rsidRDefault="00187F3F" w:rsidP="005F0B57">
      <w:pPr>
        <w:pStyle w:val="ListParagraph"/>
        <w:numPr>
          <w:ilvl w:val="0"/>
          <w:numId w:val="10"/>
        </w:numPr>
        <w:tabs>
          <w:tab w:val="clear" w:pos="680"/>
        </w:tabs>
        <w:ind w:left="567" w:hanging="283"/>
        <w:rPr>
          <w:rFonts w:eastAsia="Times New Roman"/>
          <w:szCs w:val="24"/>
          <w:lang w:eastAsia="zh-CN"/>
        </w:rPr>
      </w:pPr>
      <w:r w:rsidRPr="00046164">
        <w:rPr>
          <w:rFonts w:eastAsia="Times New Roman"/>
          <w:szCs w:val="24"/>
          <w:lang w:eastAsia="zh-CN"/>
        </w:rPr>
        <w:t>50.</w:t>
      </w:r>
      <w:r w:rsidR="00424201" w:rsidRPr="00046164">
        <w:rPr>
          <w:rFonts w:eastAsia="Times New Roman"/>
          <w:szCs w:val="24"/>
          <w:lang w:eastAsia="zh-CN"/>
        </w:rPr>
        <w:t>0 млн. лв.</w:t>
      </w:r>
      <w:r w:rsidR="00DF07FD">
        <w:rPr>
          <w:rFonts w:eastAsia="Times New Roman"/>
          <w:szCs w:val="24"/>
          <w:lang w:eastAsia="zh-CN"/>
        </w:rPr>
        <w:t xml:space="preserve"> – </w:t>
      </w:r>
      <w:r w:rsidR="00424201" w:rsidRPr="00046164">
        <w:rPr>
          <w:rFonts w:eastAsia="Times New Roman"/>
          <w:szCs w:val="24"/>
          <w:lang w:eastAsia="zh-CN"/>
        </w:rPr>
        <w:t>за провеждане на подготовката за изпълнение на задачи по мисии „Отбрана”, „Подкрепа на международния мир и сигурност“ и „Принос към националната сигурност в мирно време“, повишаване броя на мероприятията за съвместна подготовка, включително международни учения, усвояване на новите бойни платформи, въоръжение и техника и постигане на пълни оперативни способности, подготовка и сертифициране на формированията, определени за Силите за отговор на НАТО и целенасочена подготовка за ефективно изпълнение на процедурите и действията за оказване на поддръжка като страна-домакин на сили на НАТО;</w:t>
      </w:r>
    </w:p>
    <w:p w14:paraId="1E48B88D" w14:textId="04345703" w:rsidR="00424201" w:rsidRPr="00046164" w:rsidRDefault="00187F3F" w:rsidP="005F0B57">
      <w:pPr>
        <w:pStyle w:val="ListParagraph"/>
        <w:numPr>
          <w:ilvl w:val="0"/>
          <w:numId w:val="10"/>
        </w:numPr>
        <w:tabs>
          <w:tab w:val="clear" w:pos="680"/>
        </w:tabs>
        <w:ind w:left="567" w:hanging="283"/>
        <w:rPr>
          <w:rFonts w:eastAsia="Times New Roman"/>
          <w:szCs w:val="24"/>
          <w:lang w:eastAsia="zh-CN"/>
        </w:rPr>
      </w:pPr>
      <w:r w:rsidRPr="00046164">
        <w:rPr>
          <w:rFonts w:eastAsia="Times New Roman"/>
          <w:szCs w:val="24"/>
          <w:lang w:eastAsia="zh-CN"/>
        </w:rPr>
        <w:t>77.</w:t>
      </w:r>
      <w:r w:rsidR="00424201" w:rsidRPr="00046164">
        <w:rPr>
          <w:rFonts w:eastAsia="Times New Roman"/>
          <w:szCs w:val="24"/>
          <w:lang w:eastAsia="zh-CN"/>
        </w:rPr>
        <w:t>0 млн. лв.</w:t>
      </w:r>
      <w:r w:rsidR="00DF07FD">
        <w:rPr>
          <w:rFonts w:eastAsia="Times New Roman"/>
          <w:szCs w:val="24"/>
          <w:lang w:eastAsia="zh-CN"/>
        </w:rPr>
        <w:t xml:space="preserve"> – </w:t>
      </w:r>
      <w:r w:rsidR="00424201" w:rsidRPr="00046164">
        <w:rPr>
          <w:rFonts w:eastAsia="Times New Roman"/>
          <w:szCs w:val="24"/>
          <w:lang w:eastAsia="zh-CN"/>
        </w:rPr>
        <w:t>за преодоляване на некомплекта от личен състав на Българската армия, в т.ч. за осъвременяване на кадровата политика.</w:t>
      </w:r>
    </w:p>
    <w:p w14:paraId="66DCCE7D" w14:textId="7F32DB29" w:rsidR="00424201" w:rsidRPr="00046164" w:rsidRDefault="00187F3F" w:rsidP="00046164">
      <w:pPr>
        <w:tabs>
          <w:tab w:val="left" w:pos="680"/>
        </w:tabs>
        <w:rPr>
          <w:szCs w:val="24"/>
        </w:rPr>
      </w:pPr>
      <w:r w:rsidRPr="00046164">
        <w:rPr>
          <w:szCs w:val="24"/>
        </w:rPr>
        <w:t>Общата сума възлиза на 720.2 млн. лв. (0.</w:t>
      </w:r>
      <w:r w:rsidR="00424201" w:rsidRPr="00046164">
        <w:rPr>
          <w:szCs w:val="24"/>
        </w:rPr>
        <w:t>49</w:t>
      </w:r>
      <w:r w:rsidR="000F033A" w:rsidRPr="00046164">
        <w:rPr>
          <w:szCs w:val="24"/>
        </w:rPr>
        <w:t>%</w:t>
      </w:r>
      <w:r w:rsidR="00424201" w:rsidRPr="00046164">
        <w:rPr>
          <w:szCs w:val="24"/>
        </w:rPr>
        <w:t xml:space="preserve"> от прогнозния БВП). </w:t>
      </w:r>
    </w:p>
    <w:p w14:paraId="3FEA8660" w14:textId="77777777" w:rsidR="00424201" w:rsidRPr="00046164" w:rsidRDefault="00424201" w:rsidP="00D661BA">
      <w:pPr>
        <w:pStyle w:val="Heading4"/>
      </w:pPr>
      <w:r w:rsidRPr="00046164">
        <w:t>Мерки в областта на енергетиката</w:t>
      </w:r>
    </w:p>
    <w:p w14:paraId="2331D91C" w14:textId="76E98568" w:rsidR="00424201" w:rsidRPr="00046164" w:rsidRDefault="00424201" w:rsidP="0084573C">
      <w:pPr>
        <w:tabs>
          <w:tab w:val="left" w:pos="680"/>
        </w:tabs>
        <w:rPr>
          <w:b/>
          <w:szCs w:val="24"/>
          <w:u w:val="single"/>
        </w:rPr>
      </w:pPr>
      <w:r w:rsidRPr="00046164">
        <w:rPr>
          <w:rFonts w:eastAsia="Times New Roman"/>
          <w:noProof/>
          <w:szCs w:val="24"/>
        </w:rPr>
        <w:t xml:space="preserve">Политиката в областта на енергетиката е насочена към устойчиво енергийно развитие на страната, ефективно използване на енергията и енергийните ресурси, задоволяване потребностите на обществото от електрическа и топлинна енергия, природен газ и горива, установяване на по-чисто и ефективно производство на енергия чрез рационално използване на конвенционалните и възобновяеми източници на енергия (ВИ), минимизиране влиянието на производството, преноса и използването на енергия върху околната среда, подобряване управлението на природните ресурси. Тенденцията е да се гарантира сигурно, безопасно и устойчиво снабдяване с енергия. </w:t>
      </w:r>
      <w:r w:rsidRPr="00046164">
        <w:rPr>
          <w:rFonts w:eastAsia="Times New Roman"/>
          <w:szCs w:val="24"/>
          <w:lang w:eastAsia="zh-CN"/>
        </w:rPr>
        <w:t>С цел смекчаване на икономическите последици от внезапно настъпилата нестабилност на цените на електрическата енергия и природния газ</w:t>
      </w:r>
      <w:r w:rsidR="002F1B6D" w:rsidRPr="00046164">
        <w:rPr>
          <w:rFonts w:eastAsia="Times New Roman"/>
          <w:szCs w:val="24"/>
          <w:lang w:eastAsia="zh-CN"/>
        </w:rPr>
        <w:t>,</w:t>
      </w:r>
      <w:r w:rsidRPr="00046164">
        <w:rPr>
          <w:rFonts w:eastAsia="Times New Roman"/>
          <w:szCs w:val="24"/>
          <w:lang w:eastAsia="zh-CN"/>
        </w:rPr>
        <w:t xml:space="preserve"> през 2021</w:t>
      </w:r>
      <w:r w:rsidR="00DF07FD">
        <w:rPr>
          <w:rFonts w:eastAsia="Times New Roman"/>
          <w:szCs w:val="24"/>
          <w:lang w:eastAsia="zh-CN"/>
        </w:rPr>
        <w:t> г.</w:t>
      </w:r>
      <w:r w:rsidR="002F1B6D" w:rsidRPr="00046164">
        <w:rPr>
          <w:rFonts w:eastAsia="Times New Roman"/>
          <w:szCs w:val="24"/>
          <w:lang w:eastAsia="zh-CN"/>
        </w:rPr>
        <w:t xml:space="preserve"> </w:t>
      </w:r>
      <w:r w:rsidRPr="00046164">
        <w:rPr>
          <w:rFonts w:eastAsia="Times New Roman"/>
          <w:szCs w:val="24"/>
          <w:lang w:eastAsia="zh-CN"/>
        </w:rPr>
        <w:t xml:space="preserve">бяха разработени </w:t>
      </w:r>
      <w:r w:rsidRPr="00046164">
        <w:rPr>
          <w:rFonts w:eastAsia="Times New Roman"/>
          <w:szCs w:val="24"/>
          <w:lang w:eastAsia="en-US"/>
        </w:rPr>
        <w:t xml:space="preserve">Програма за компенсиране на небитовите крайни клиенти на електрическа енергия, Програма за компенсиране на операторите на електропреносната и на електроразпределителната мрежи за закупуване на количества електрическа енергия, потребена за технологични разходи, Програма за компенсиране на битови клиенти на природен газ и топлофикационни дружества, използващи като основно гориво природен газ с подпомагане с фиксирана сума на един </w:t>
      </w:r>
      <w:r w:rsidRPr="00046164">
        <w:rPr>
          <w:rFonts w:eastAsia="Times New Roman"/>
          <w:szCs w:val="24"/>
          <w:lang w:val="en-US" w:eastAsia="en-US"/>
        </w:rPr>
        <w:t>MWh</w:t>
      </w:r>
      <w:r w:rsidRPr="00046164">
        <w:rPr>
          <w:rFonts w:eastAsia="Times New Roman"/>
          <w:szCs w:val="24"/>
          <w:lang w:eastAsia="en-US"/>
        </w:rPr>
        <w:t xml:space="preserve"> и Програма за компенсиране на непредвидените разходи на дружествата от отрасъл ВиК за потребена електрическа енергия. Програмите предвиждат механизъм за подпомагане на небитови крайни клиенти чрез търговците на електрическа енергия, доставчиците от последна инстанция, производителите на електрическа енергия, прода</w:t>
      </w:r>
      <w:r w:rsidRPr="00046164">
        <w:rPr>
          <w:rFonts w:eastAsia="Times New Roman"/>
          <w:szCs w:val="24"/>
          <w:lang w:eastAsia="en-US"/>
        </w:rPr>
        <w:lastRenderedPageBreak/>
        <w:t>ващи директно на крайни небитови потребители, и оператора на организиран борсов пазар на електрическа енергия. Чрез тези програми бяха подпомогнати всички небитови крайни клиенти за справяне с последиците от съществените и неблагоприятни колебания на цените на електрическата енергия</w:t>
      </w:r>
      <w:r w:rsidRPr="00046164">
        <w:rPr>
          <w:rFonts w:eastAsia="Times New Roman"/>
          <w:szCs w:val="24"/>
          <w:lang w:val="en-US" w:eastAsia="en-US"/>
        </w:rPr>
        <w:t xml:space="preserve">, </w:t>
      </w:r>
      <w:r w:rsidRPr="00046164">
        <w:rPr>
          <w:rFonts w:eastAsia="Times New Roman"/>
          <w:szCs w:val="24"/>
          <w:lang w:eastAsia="en-US"/>
        </w:rPr>
        <w:t xml:space="preserve">както и потребителите на природен газ за многократното нарастване на цените на този вид гориво. Възползващите се от програмите небитови крайни клиенти са около 633 000, като те са подпомагани с фиксирана сума на един </w:t>
      </w:r>
      <w:r w:rsidRPr="00046164">
        <w:rPr>
          <w:rFonts w:eastAsia="Times New Roman"/>
          <w:szCs w:val="24"/>
          <w:lang w:val="en-US" w:eastAsia="en-US"/>
        </w:rPr>
        <w:t xml:space="preserve">MWh </w:t>
      </w:r>
      <w:r w:rsidRPr="00046164">
        <w:rPr>
          <w:rFonts w:eastAsia="Times New Roman"/>
          <w:szCs w:val="24"/>
          <w:lang w:eastAsia="en-US"/>
        </w:rPr>
        <w:t>чрез извършване на компенсация на базата на количествата активна електрическа енергия, върху която се начислява</w:t>
      </w:r>
      <w:r w:rsidR="00BD2C3E">
        <w:rPr>
          <w:rFonts w:eastAsia="Times New Roman"/>
          <w:szCs w:val="24"/>
          <w:lang w:eastAsia="en-US"/>
        </w:rPr>
        <w:t xml:space="preserve"> </w:t>
      </w:r>
      <w:r w:rsidRPr="00046164">
        <w:rPr>
          <w:rFonts w:eastAsia="Times New Roman"/>
          <w:szCs w:val="24"/>
          <w:lang w:eastAsia="en-US"/>
        </w:rPr>
        <w:t xml:space="preserve">цена „задължение към обществото“. Чрез компенсацията се намалява дължимата за плащане сума от небитовите крайни клиенти. </w:t>
      </w:r>
      <w:r w:rsidR="0084573C" w:rsidRPr="00046164">
        <w:rPr>
          <w:rFonts w:eastAsia="Times New Roman"/>
          <w:szCs w:val="24"/>
          <w:lang w:eastAsia="en-US"/>
        </w:rPr>
        <w:t xml:space="preserve">В изпълнение на програмите разплатените средства през 2021 г. са в размер на 860.0 млн. лв., а предвидената за 2022 г. сума възлиза на </w:t>
      </w:r>
      <w:r w:rsidR="0084573C" w:rsidRPr="00046164">
        <w:rPr>
          <w:rFonts w:eastAsia="Times New Roman"/>
          <w:szCs w:val="24"/>
          <w:lang w:val="en-US" w:eastAsia="en-US"/>
        </w:rPr>
        <w:t>1 3</w:t>
      </w:r>
      <w:r w:rsidR="0084573C">
        <w:rPr>
          <w:rFonts w:eastAsia="Times New Roman"/>
          <w:szCs w:val="24"/>
          <w:lang w:val="en-US" w:eastAsia="en-US"/>
        </w:rPr>
        <w:t>20</w:t>
      </w:r>
      <w:r w:rsidR="0084573C" w:rsidRPr="00046164">
        <w:rPr>
          <w:rFonts w:eastAsia="Times New Roman"/>
          <w:szCs w:val="24"/>
          <w:lang w:eastAsia="en-US"/>
        </w:rPr>
        <w:t>.0 млн. лв., т.е. ефектът от посочените програми е увеличение на разходите с 4</w:t>
      </w:r>
      <w:r w:rsidR="0084573C">
        <w:rPr>
          <w:rFonts w:eastAsia="Times New Roman"/>
          <w:szCs w:val="24"/>
          <w:lang w:val="en-US" w:eastAsia="en-US"/>
        </w:rPr>
        <w:t>60</w:t>
      </w:r>
      <w:r w:rsidR="0084573C" w:rsidRPr="00046164">
        <w:rPr>
          <w:rFonts w:eastAsia="Times New Roman"/>
          <w:szCs w:val="24"/>
          <w:lang w:eastAsia="en-US"/>
        </w:rPr>
        <w:t xml:space="preserve">.0 млн. лв. </w:t>
      </w:r>
      <w:r w:rsidR="0084573C" w:rsidRPr="00046164">
        <w:rPr>
          <w:rFonts w:eastAsia="Times New Roman"/>
          <w:szCs w:val="24"/>
          <w:lang w:eastAsia="zh-CN"/>
        </w:rPr>
        <w:t>(0.</w:t>
      </w:r>
      <w:r w:rsidR="0084573C" w:rsidRPr="00046164">
        <w:rPr>
          <w:rFonts w:eastAsia="Times New Roman"/>
          <w:szCs w:val="24"/>
          <w:lang w:val="en-US" w:eastAsia="zh-CN"/>
        </w:rPr>
        <w:t>3</w:t>
      </w:r>
      <w:r w:rsidR="0084573C" w:rsidRPr="00046164">
        <w:rPr>
          <w:rFonts w:eastAsia="Times New Roman"/>
          <w:szCs w:val="24"/>
          <w:lang w:eastAsia="zh-CN"/>
        </w:rPr>
        <w:t>1% от прогнозния БВП).</w:t>
      </w:r>
    </w:p>
    <w:p w14:paraId="4A62BE8B" w14:textId="77777777" w:rsidR="00424201" w:rsidRPr="00046164" w:rsidRDefault="00424201" w:rsidP="00D661BA">
      <w:pPr>
        <w:pStyle w:val="Heading4"/>
      </w:pPr>
      <w:r w:rsidRPr="00046164">
        <w:t>Мерки в областта на околната среда</w:t>
      </w:r>
    </w:p>
    <w:p w14:paraId="4934BD40" w14:textId="3E66BD14" w:rsidR="00424201" w:rsidRPr="00046164" w:rsidRDefault="00424201" w:rsidP="00D661BA">
      <w:pPr>
        <w:rPr>
          <w:lang w:val="en-US" w:eastAsia="zh-CN"/>
        </w:rPr>
      </w:pPr>
      <w:r w:rsidRPr="00046164">
        <w:rPr>
          <w:noProof/>
        </w:rPr>
        <w:t>С провежданата</w:t>
      </w:r>
      <w:r w:rsidR="00BD2C3E">
        <w:rPr>
          <w:noProof/>
        </w:rPr>
        <w:t xml:space="preserve"> </w:t>
      </w:r>
      <w:r w:rsidRPr="00046164">
        <w:rPr>
          <w:noProof/>
        </w:rPr>
        <w:t xml:space="preserve">политика в областта на опазването на околната среда и водите се цели съхраняване на българската природа и подобряване на екологичната устойчивост, като се следи за баланса между развитието на бизнеса и опазването на биоразнообразието и ресурсите за постигане на максималните възможни ползи за икономиката и обществото. </w:t>
      </w:r>
      <w:r w:rsidRPr="00046164">
        <w:t>За изпълнение на приоритетите по политиката в областта на околната среда са планирани допъл</w:t>
      </w:r>
      <w:r w:rsidR="002F1B6D" w:rsidRPr="00046164">
        <w:t>нителни средства в размер на 85.</w:t>
      </w:r>
      <w:r w:rsidRPr="00046164">
        <w:t xml:space="preserve">1 млн. лв. </w:t>
      </w:r>
      <w:r w:rsidR="002F1B6D" w:rsidRPr="00046164">
        <w:rPr>
          <w:lang w:eastAsia="zh-CN"/>
        </w:rPr>
        <w:t>(0.</w:t>
      </w:r>
      <w:r w:rsidRPr="00046164">
        <w:rPr>
          <w:lang w:eastAsia="zh-CN"/>
        </w:rPr>
        <w:t>06</w:t>
      </w:r>
      <w:r w:rsidR="000F033A" w:rsidRPr="00046164">
        <w:rPr>
          <w:lang w:eastAsia="zh-CN"/>
        </w:rPr>
        <w:t>%</w:t>
      </w:r>
      <w:r w:rsidRPr="00046164">
        <w:rPr>
          <w:lang w:eastAsia="zh-CN"/>
        </w:rPr>
        <w:t xml:space="preserve"> от прогнозния БВП). </w:t>
      </w:r>
    </w:p>
    <w:p w14:paraId="074D2987" w14:textId="77777777" w:rsidR="00424201" w:rsidRPr="00046164" w:rsidRDefault="00424201" w:rsidP="00D661BA">
      <w:pPr>
        <w:pStyle w:val="Heading4"/>
      </w:pPr>
      <w:r w:rsidRPr="00046164">
        <w:t>Мерки в областта на културата</w:t>
      </w:r>
    </w:p>
    <w:p w14:paraId="363EDB63" w14:textId="791D0DB3" w:rsidR="00424201" w:rsidRPr="00046164" w:rsidRDefault="00424201" w:rsidP="00D661BA">
      <w:pPr>
        <w:rPr>
          <w:lang w:eastAsia="zh-CN"/>
        </w:rPr>
      </w:pPr>
      <w:r w:rsidRPr="00046164">
        <w:rPr>
          <w:lang w:eastAsia="zh-CN"/>
        </w:rPr>
        <w:t>За оптимизиране на действащата система на финансиране в мрежата на сценичните изкуства и повишаване на ефективността на маркетинга и атрактивността на предлаганите културни продукти, разширяване на равнопоставения достъп до култура и културно наследство, опазване и социализиране на културното наследство и стимулиране на обвързването му с туристическите продукти са осигурени допълн</w:t>
      </w:r>
      <w:r w:rsidR="002F1B6D" w:rsidRPr="00046164">
        <w:rPr>
          <w:lang w:eastAsia="zh-CN"/>
        </w:rPr>
        <w:t>ителни средства в размер на 142.1 млн. лв. (0.</w:t>
      </w:r>
      <w:r w:rsidRPr="00046164">
        <w:rPr>
          <w:lang w:eastAsia="zh-CN"/>
        </w:rPr>
        <w:t>10</w:t>
      </w:r>
      <w:r w:rsidR="000F033A" w:rsidRPr="00046164">
        <w:rPr>
          <w:lang w:eastAsia="zh-CN"/>
        </w:rPr>
        <w:t>%</w:t>
      </w:r>
      <w:r w:rsidRPr="00046164">
        <w:rPr>
          <w:lang w:eastAsia="zh-CN"/>
        </w:rPr>
        <w:t xml:space="preserve"> от прогнозния БВП). </w:t>
      </w:r>
    </w:p>
    <w:p w14:paraId="24733969" w14:textId="77777777" w:rsidR="00424201" w:rsidRPr="00046164" w:rsidRDefault="00424201" w:rsidP="00D661BA">
      <w:pPr>
        <w:pStyle w:val="Heading4"/>
      </w:pPr>
      <w:r w:rsidRPr="00046164">
        <w:t>Мерки в областта на младежта и спорта</w:t>
      </w:r>
    </w:p>
    <w:p w14:paraId="736E3FD1" w14:textId="57B181F7" w:rsidR="00424201" w:rsidRPr="00046164" w:rsidRDefault="00424201" w:rsidP="00D661BA">
      <w:r w:rsidRPr="00046164">
        <w:t>Политиките в областта на младежта и спорта са насочени към насърчаване на икономическата активност и развитие на младите хора, развитие на спорта за учащи и спорта в свободното време, развитие и утвърждаване на спорта за високи постижения. Д</w:t>
      </w:r>
      <w:r w:rsidRPr="00046164">
        <w:rPr>
          <w:lang w:eastAsia="zh-CN"/>
        </w:rPr>
        <w:t>опълнителният финансов ресурс за изпълнението на целите и дейностите във връзка с реализирането на приоритетите на провежданите политики в областта на мла</w:t>
      </w:r>
      <w:r w:rsidR="002F1B6D" w:rsidRPr="00046164">
        <w:rPr>
          <w:lang w:eastAsia="zh-CN"/>
        </w:rPr>
        <w:t>дежта и спорта е в размер на 41.2 млн. лв. (0.</w:t>
      </w:r>
      <w:r w:rsidRPr="00046164">
        <w:rPr>
          <w:lang w:eastAsia="zh-CN"/>
        </w:rPr>
        <w:t>03</w:t>
      </w:r>
      <w:r w:rsidR="000F033A" w:rsidRPr="00046164">
        <w:rPr>
          <w:lang w:eastAsia="zh-CN"/>
        </w:rPr>
        <w:t>%</w:t>
      </w:r>
      <w:r w:rsidRPr="00046164">
        <w:rPr>
          <w:lang w:eastAsia="zh-CN"/>
        </w:rPr>
        <w:t xml:space="preserve"> от прогнозния БВП).</w:t>
      </w:r>
    </w:p>
    <w:p w14:paraId="67932A7C" w14:textId="77777777" w:rsidR="00424201" w:rsidRPr="00046164" w:rsidRDefault="00424201" w:rsidP="00D661BA">
      <w:pPr>
        <w:pStyle w:val="Heading4"/>
      </w:pPr>
      <w:r w:rsidRPr="00046164">
        <w:t>Политика в областта на транспорта, съобщенията и електронното управление</w:t>
      </w:r>
    </w:p>
    <w:p w14:paraId="13D1D71A" w14:textId="77777777" w:rsidR="00424201" w:rsidRPr="00046164" w:rsidRDefault="00424201" w:rsidP="00046164">
      <w:pPr>
        <w:tabs>
          <w:tab w:val="left" w:pos="680"/>
        </w:tabs>
        <w:rPr>
          <w:szCs w:val="24"/>
        </w:rPr>
      </w:pPr>
      <w:r w:rsidRPr="00046164">
        <w:rPr>
          <w:szCs w:val="24"/>
        </w:rPr>
        <w:t xml:space="preserve">Политиката в областта на транспорта е насочена към развитие на базисната транспортна инфраструктура, която е важно условие за поддържането на устойчив икономически растеж. Основен приоритет на транспортната политика е повишаване на качеството на предлаганите транспортни услуги и устойчивото развитие на транспорта. Транспортният сектор е ключов за българската икономика както поради неговата свързваща роля по отношение на останалите сектори, така и заради собствения му принос в брутната добавена стойност и заетостта. </w:t>
      </w:r>
    </w:p>
    <w:p w14:paraId="7435C42D" w14:textId="7213FD26" w:rsidR="00424201" w:rsidRPr="00046164" w:rsidRDefault="00424201" w:rsidP="00046164">
      <w:pPr>
        <w:tabs>
          <w:tab w:val="left" w:pos="680"/>
        </w:tabs>
        <w:rPr>
          <w:rFonts w:eastAsia="Times New Roman"/>
          <w:szCs w:val="24"/>
        </w:rPr>
      </w:pPr>
      <w:r w:rsidRPr="00046164">
        <w:rPr>
          <w:szCs w:val="24"/>
        </w:rPr>
        <w:t xml:space="preserve">Съществуващата ТОЛ система </w:t>
      </w:r>
      <w:r w:rsidRPr="00046164">
        <w:rPr>
          <w:rFonts w:eastAsia="Times New Roman"/>
          <w:szCs w:val="24"/>
        </w:rPr>
        <w:t>обхваща магистралите и пътища от І клас. За 2022</w:t>
      </w:r>
      <w:r w:rsidR="00DF07FD">
        <w:rPr>
          <w:rFonts w:eastAsia="Times New Roman"/>
          <w:szCs w:val="24"/>
        </w:rPr>
        <w:t> г.</w:t>
      </w:r>
      <w:r w:rsidRPr="00046164">
        <w:rPr>
          <w:rFonts w:eastAsia="Times New Roman"/>
          <w:szCs w:val="24"/>
        </w:rPr>
        <w:t xml:space="preserve"> се предвижда промяна на сегашния обхват на републиканската пътна мрежа, за която се плащат ТОЛ такси, и актуализация на тарифата за изминато разстояние. По този начин ще се увеличат ресурсите за ефективно поддържане, модернизация и развитие на транспортната инфраструктура.</w:t>
      </w:r>
    </w:p>
    <w:p w14:paraId="4DB3FA58" w14:textId="4ACD4F5B" w:rsidR="00424201" w:rsidRPr="00046164" w:rsidRDefault="00424201" w:rsidP="00046164">
      <w:pPr>
        <w:tabs>
          <w:tab w:val="left" w:pos="680"/>
        </w:tabs>
        <w:rPr>
          <w:szCs w:val="24"/>
        </w:rPr>
      </w:pPr>
      <w:r w:rsidRPr="00046164">
        <w:rPr>
          <w:rFonts w:eastAsia="Times New Roman"/>
          <w:szCs w:val="24"/>
        </w:rPr>
        <w:lastRenderedPageBreak/>
        <w:t>За 2022</w:t>
      </w:r>
      <w:r w:rsidR="00DF07FD">
        <w:rPr>
          <w:rFonts w:eastAsia="Times New Roman"/>
          <w:szCs w:val="24"/>
        </w:rPr>
        <w:t> г.</w:t>
      </w:r>
      <w:r w:rsidRPr="00046164">
        <w:rPr>
          <w:rFonts w:eastAsia="Times New Roman"/>
          <w:szCs w:val="24"/>
        </w:rPr>
        <w:t xml:space="preserve"> са предвидени допълнителни средства по бюджета на Министерството на регионалното развитие и благоустройството, респективно Агенция „Пътна инфраструктура“, които са институциите отговорни за изграждането и поддръжката на пътната мрежа в страната. Допълнит</w:t>
      </w:r>
      <w:r w:rsidR="002F1B6D" w:rsidRPr="00046164">
        <w:rPr>
          <w:rFonts w:eastAsia="Times New Roman"/>
          <w:szCs w:val="24"/>
        </w:rPr>
        <w:t>елната сума е в размер на 1 671.</w:t>
      </w:r>
      <w:r w:rsidRPr="00046164">
        <w:rPr>
          <w:rFonts w:eastAsia="Times New Roman"/>
          <w:szCs w:val="24"/>
        </w:rPr>
        <w:t xml:space="preserve">4 млн. лв. </w:t>
      </w:r>
      <w:r w:rsidR="002F1B6D" w:rsidRPr="00046164">
        <w:rPr>
          <w:rFonts w:eastAsia="Times New Roman"/>
          <w:szCs w:val="24"/>
          <w:lang w:eastAsia="zh-CN"/>
        </w:rPr>
        <w:t>(1.</w:t>
      </w:r>
      <w:r w:rsidRPr="00046164">
        <w:rPr>
          <w:rFonts w:eastAsia="Times New Roman"/>
          <w:szCs w:val="24"/>
          <w:lang w:eastAsia="zh-CN"/>
        </w:rPr>
        <w:t>13</w:t>
      </w:r>
      <w:r w:rsidR="000F033A" w:rsidRPr="00046164">
        <w:rPr>
          <w:rFonts w:eastAsia="Times New Roman"/>
          <w:szCs w:val="24"/>
          <w:lang w:eastAsia="zh-CN"/>
        </w:rPr>
        <w:t>%</w:t>
      </w:r>
      <w:r w:rsidRPr="00046164">
        <w:rPr>
          <w:rFonts w:eastAsia="Times New Roman"/>
          <w:szCs w:val="24"/>
          <w:lang w:eastAsia="zh-CN"/>
        </w:rPr>
        <w:t xml:space="preserve"> от прогнозния БВП)</w:t>
      </w:r>
      <w:r w:rsidR="002F1B6D" w:rsidRPr="00046164">
        <w:rPr>
          <w:rFonts w:eastAsia="Times New Roman"/>
          <w:szCs w:val="24"/>
        </w:rPr>
        <w:t>, от които 1 001.</w:t>
      </w:r>
      <w:r w:rsidRPr="00046164">
        <w:rPr>
          <w:rFonts w:eastAsia="Times New Roman"/>
          <w:szCs w:val="24"/>
        </w:rPr>
        <w:t>4 млн. лв</w:t>
      </w:r>
      <w:r w:rsidR="002F1B6D" w:rsidRPr="00046164">
        <w:rPr>
          <w:rFonts w:eastAsia="Times New Roman"/>
          <w:szCs w:val="24"/>
        </w:rPr>
        <w:t>. за текущи разходи, в т.ч. 952.</w:t>
      </w:r>
      <w:r w:rsidRPr="00046164">
        <w:rPr>
          <w:rFonts w:eastAsia="Times New Roman"/>
          <w:szCs w:val="24"/>
        </w:rPr>
        <w:t>3 млн. лв. за текущ ремонт и поддържане на републиканската пътн</w:t>
      </w:r>
      <w:r w:rsidR="002F1B6D" w:rsidRPr="00046164">
        <w:rPr>
          <w:rFonts w:eastAsia="Times New Roman"/>
          <w:szCs w:val="24"/>
        </w:rPr>
        <w:t>а мрежа и 670.</w:t>
      </w:r>
      <w:r w:rsidRPr="00046164">
        <w:rPr>
          <w:rFonts w:eastAsia="Times New Roman"/>
          <w:szCs w:val="24"/>
        </w:rPr>
        <w:t>0 млн. лв. за</w:t>
      </w:r>
      <w:r w:rsidR="002F1B6D" w:rsidRPr="00046164">
        <w:rPr>
          <w:rFonts w:eastAsia="Times New Roman"/>
          <w:szCs w:val="24"/>
        </w:rPr>
        <w:t xml:space="preserve"> капиталови разходи, в т.ч. 640.</w:t>
      </w:r>
      <w:r w:rsidRPr="00046164">
        <w:rPr>
          <w:rFonts w:eastAsia="Times New Roman"/>
          <w:szCs w:val="24"/>
        </w:rPr>
        <w:t>8 млн. лв. за основен ремонт на републиканската пътна мрежа и за изграждането на приоритетни инфраструктурни проекти.</w:t>
      </w:r>
    </w:p>
    <w:p w14:paraId="43799B1D" w14:textId="77777777" w:rsidR="009E60AF" w:rsidRPr="00046164" w:rsidRDefault="009E60AF" w:rsidP="009E60AF">
      <w:pPr>
        <w:tabs>
          <w:tab w:val="left" w:pos="680"/>
        </w:tabs>
        <w:rPr>
          <w:rFonts w:eastAsia="Times New Roman"/>
          <w:szCs w:val="24"/>
        </w:rPr>
      </w:pPr>
      <w:r w:rsidRPr="00046164">
        <w:rPr>
          <w:szCs w:val="24"/>
        </w:rPr>
        <w:t>Държавното участие във финансирането на дейностите по изграждането, поддържането, развитието и експлоатацията на железопътната инфраструктура се осъществява чрез отпускането на субсидии и капиталови трансфери за Национална компания „Железопътна инфраструктура” (НКЖИ). За текущо поддържане и експлоатация на железопътната инфраструктура за 202</w:t>
      </w:r>
      <w:r w:rsidRPr="00046164">
        <w:rPr>
          <w:szCs w:val="24"/>
          <w:lang w:val="en-US"/>
        </w:rPr>
        <w:t>2</w:t>
      </w:r>
      <w:r w:rsidRPr="00046164">
        <w:rPr>
          <w:szCs w:val="24"/>
        </w:rPr>
        <w:t xml:space="preserve"> г. е предвиден</w:t>
      </w:r>
      <w:r>
        <w:rPr>
          <w:szCs w:val="24"/>
        </w:rPr>
        <w:t>а</w:t>
      </w:r>
      <w:r w:rsidRPr="00046164">
        <w:rPr>
          <w:szCs w:val="24"/>
        </w:rPr>
        <w:t xml:space="preserve"> субсидия</w:t>
      </w:r>
      <w:r>
        <w:rPr>
          <w:szCs w:val="24"/>
        </w:rPr>
        <w:t xml:space="preserve"> в размер на </w:t>
      </w:r>
      <w:r w:rsidRPr="00046164">
        <w:rPr>
          <w:szCs w:val="24"/>
        </w:rPr>
        <w:t xml:space="preserve">278.8 млн. лева. </w:t>
      </w:r>
      <w:r w:rsidRPr="00046164">
        <w:rPr>
          <w:rFonts w:eastAsia="Times New Roman"/>
          <w:szCs w:val="24"/>
        </w:rPr>
        <w:t xml:space="preserve">Допълнителните средства са за поддържане и безопасна експлоатация на новите системи и съоръжения, придобити с безвъзмездно финансиране от държавния бюджет и Европейски структурни и инвестиционни фондове, включително за привличане на по-високо квалифициран персонал. </w:t>
      </w:r>
    </w:p>
    <w:p w14:paraId="3700FB15" w14:textId="39005FD9" w:rsidR="00424201" w:rsidRPr="00046164" w:rsidRDefault="009E60AF" w:rsidP="00046164">
      <w:pPr>
        <w:tabs>
          <w:tab w:val="left" w:pos="680"/>
        </w:tabs>
        <w:rPr>
          <w:szCs w:val="24"/>
        </w:rPr>
      </w:pPr>
      <w:r w:rsidRPr="00046164">
        <w:rPr>
          <w:rFonts w:eastAsia="Times New Roman"/>
          <w:szCs w:val="24"/>
        </w:rPr>
        <w:t xml:space="preserve">Средствата за субсидии се предоставят и на „БДЖ-Пътнически превози“ ЕООД за осигуряване изпълнението на възложеното му задължение за извършване на обществени превозни услуги по договор, сключен между министъра на транспорта и съобщенията и дружеството. За 2022 г. предвидените средства са увеличени с </w:t>
      </w:r>
      <w:r>
        <w:rPr>
          <w:rFonts w:eastAsia="Times New Roman"/>
          <w:szCs w:val="24"/>
          <w:lang w:val="en-US"/>
        </w:rPr>
        <w:t>5</w:t>
      </w:r>
      <w:r w:rsidRPr="00046164">
        <w:rPr>
          <w:rFonts w:eastAsia="Times New Roman"/>
          <w:szCs w:val="24"/>
        </w:rPr>
        <w:t>.</w:t>
      </w:r>
      <w:r>
        <w:rPr>
          <w:rFonts w:eastAsia="Times New Roman"/>
          <w:szCs w:val="24"/>
          <w:lang w:val="en-US"/>
        </w:rPr>
        <w:t>6</w:t>
      </w:r>
      <w:r w:rsidRPr="00046164">
        <w:rPr>
          <w:rFonts w:eastAsia="Times New Roman"/>
          <w:szCs w:val="24"/>
        </w:rPr>
        <w:t xml:space="preserve"> млн. лв. до 196.2 млн. лв. в сравнение с предходната година. Капиталовият трансфер за „БДЖ-Пътнически превози“ ЕООД за 2022 г. е </w:t>
      </w:r>
      <w:r>
        <w:rPr>
          <w:rFonts w:eastAsia="Times New Roman"/>
          <w:szCs w:val="24"/>
        </w:rPr>
        <w:t xml:space="preserve">в размер на 49 </w:t>
      </w:r>
      <w:r w:rsidRPr="00046164">
        <w:rPr>
          <w:rFonts w:eastAsia="Times New Roman"/>
          <w:szCs w:val="24"/>
        </w:rPr>
        <w:t xml:space="preserve">млн. лв. </w:t>
      </w:r>
    </w:p>
    <w:p w14:paraId="0C15132F" w14:textId="18B81540" w:rsidR="00424201" w:rsidRPr="00046164" w:rsidRDefault="00424201" w:rsidP="00046164">
      <w:pPr>
        <w:rPr>
          <w:szCs w:val="24"/>
        </w:rPr>
      </w:pPr>
      <w:r w:rsidRPr="00046164">
        <w:rPr>
          <w:rFonts w:eastAsia="Times New Roman"/>
          <w:szCs w:val="24"/>
          <w:lang w:eastAsia="zh-CN"/>
        </w:rPr>
        <w:t>Ключов приоритет на правителството на Република България е въвеждане на електронното управление като основна платформа за модернизация на държавата, фактор и неотменимо условие за успеха на секторните реформи, за което е осигурен допълнителен</w:t>
      </w:r>
      <w:r w:rsidR="002F1B6D" w:rsidRPr="00046164">
        <w:rPr>
          <w:rFonts w:eastAsia="Times New Roman"/>
          <w:szCs w:val="24"/>
          <w:lang w:eastAsia="zh-CN"/>
        </w:rPr>
        <w:t xml:space="preserve"> финансов ресурс в размер на 32.</w:t>
      </w:r>
      <w:r w:rsidRPr="00046164">
        <w:rPr>
          <w:rFonts w:eastAsia="Times New Roman"/>
          <w:szCs w:val="24"/>
          <w:lang w:eastAsia="zh-CN"/>
        </w:rPr>
        <w:t>3 млн. лв.</w:t>
      </w:r>
      <w:r w:rsidR="002F1B6D" w:rsidRPr="00046164">
        <w:rPr>
          <w:szCs w:val="24"/>
        </w:rPr>
        <w:t xml:space="preserve"> (0.</w:t>
      </w:r>
      <w:r w:rsidRPr="00046164">
        <w:rPr>
          <w:szCs w:val="24"/>
        </w:rPr>
        <w:t>02</w:t>
      </w:r>
      <w:r w:rsidR="000F033A" w:rsidRPr="00046164">
        <w:rPr>
          <w:szCs w:val="24"/>
        </w:rPr>
        <w:t>%</w:t>
      </w:r>
      <w:r w:rsidRPr="00046164">
        <w:rPr>
          <w:szCs w:val="24"/>
        </w:rPr>
        <w:t xml:space="preserve"> от прогнозния БВП)</w:t>
      </w:r>
      <w:r w:rsidR="002F1B6D" w:rsidRPr="00046164">
        <w:rPr>
          <w:rFonts w:eastAsia="Times New Roman"/>
          <w:szCs w:val="24"/>
          <w:lang w:eastAsia="zh-CN"/>
        </w:rPr>
        <w:t>, както следва: 2.</w:t>
      </w:r>
      <w:r w:rsidRPr="00046164">
        <w:rPr>
          <w:rFonts w:eastAsia="Times New Roman"/>
          <w:szCs w:val="24"/>
          <w:lang w:eastAsia="zh-CN"/>
        </w:rPr>
        <w:t>7 млн. лв.</w:t>
      </w:r>
      <w:r w:rsidR="00DF07FD">
        <w:rPr>
          <w:rFonts w:eastAsia="Times New Roman"/>
          <w:szCs w:val="24"/>
          <w:lang w:eastAsia="zh-CN"/>
        </w:rPr>
        <w:t xml:space="preserve"> – </w:t>
      </w:r>
      <w:r w:rsidRPr="00046164">
        <w:rPr>
          <w:rFonts w:eastAsia="Times New Roman"/>
          <w:szCs w:val="24"/>
          <w:lang w:eastAsia="zh-CN"/>
        </w:rPr>
        <w:t>за повишаване нивото на информационната сигурност и политиките за кибер</w:t>
      </w:r>
      <w:r w:rsidR="002F1B6D" w:rsidRPr="00046164">
        <w:rPr>
          <w:rFonts w:eastAsia="Times New Roman"/>
          <w:szCs w:val="24"/>
          <w:lang w:eastAsia="zh-CN"/>
        </w:rPr>
        <w:t>сигурност; 6.</w:t>
      </w:r>
      <w:r w:rsidRPr="00046164">
        <w:rPr>
          <w:rFonts w:eastAsia="Times New Roman"/>
          <w:szCs w:val="24"/>
          <w:lang w:eastAsia="zh-CN"/>
        </w:rPr>
        <w:t>4 млн. лв.</w:t>
      </w:r>
      <w:r w:rsidR="00DF07FD">
        <w:rPr>
          <w:rFonts w:eastAsia="Times New Roman"/>
          <w:szCs w:val="24"/>
          <w:lang w:eastAsia="zh-CN"/>
        </w:rPr>
        <w:t xml:space="preserve"> – </w:t>
      </w:r>
      <w:r w:rsidRPr="00046164">
        <w:rPr>
          <w:rFonts w:eastAsia="Times New Roman"/>
          <w:szCs w:val="24"/>
          <w:lang w:eastAsia="zh-CN"/>
        </w:rPr>
        <w:t xml:space="preserve">за реализирането на дейностите по споделени услуги </w:t>
      </w:r>
      <w:r w:rsidR="00253F63" w:rsidRPr="00046164">
        <w:rPr>
          <w:rFonts w:eastAsia="Times New Roman"/>
          <w:szCs w:val="24"/>
          <w:lang w:eastAsia="zh-CN"/>
        </w:rPr>
        <w:t>в държавната администрация и 23.</w:t>
      </w:r>
      <w:r w:rsidRPr="00046164">
        <w:rPr>
          <w:rFonts w:eastAsia="Times New Roman"/>
          <w:szCs w:val="24"/>
          <w:lang w:eastAsia="zh-CN"/>
        </w:rPr>
        <w:t>2 млн. лв.</w:t>
      </w:r>
      <w:r w:rsidR="00DF07FD">
        <w:rPr>
          <w:rFonts w:eastAsia="Times New Roman"/>
          <w:szCs w:val="24"/>
          <w:lang w:eastAsia="zh-CN"/>
        </w:rPr>
        <w:t xml:space="preserve"> – </w:t>
      </w:r>
      <w:r w:rsidRPr="00046164">
        <w:rPr>
          <w:rFonts w:eastAsia="Times New Roman"/>
          <w:szCs w:val="24"/>
          <w:lang w:eastAsia="zh-CN"/>
        </w:rPr>
        <w:t>за програмни продукти и лицензии за нуждите на държавната администрация.</w:t>
      </w:r>
    </w:p>
    <w:p w14:paraId="69E90FCB" w14:textId="77777777" w:rsidR="00835C97" w:rsidRPr="00D661BA" w:rsidRDefault="00835C97" w:rsidP="00D661BA">
      <w:pPr>
        <w:pStyle w:val="Heading2"/>
      </w:pPr>
      <w:bookmarkStart w:id="71" w:name="_Toc448227285"/>
      <w:bookmarkStart w:id="72" w:name="_Toc479332433"/>
      <w:bookmarkStart w:id="73" w:name="_Toc100906071"/>
      <w:r w:rsidRPr="00D661BA">
        <w:t xml:space="preserve">Структурен баланс (циклични компоненти на баланса, </w:t>
      </w:r>
      <w:r w:rsidR="00D865BE" w:rsidRPr="00D661BA">
        <w:t>еднократни</w:t>
      </w:r>
      <w:r w:rsidRPr="00D661BA">
        <w:t xml:space="preserve"> и временни мерки) и фискална позиция, вкл. бенчмарк за правителствените разходи</w:t>
      </w:r>
      <w:bookmarkEnd w:id="71"/>
      <w:bookmarkEnd w:id="72"/>
      <w:bookmarkEnd w:id="73"/>
    </w:p>
    <w:p w14:paraId="057D57C5" w14:textId="4257626A" w:rsidR="001C65FE" w:rsidRPr="005B2032" w:rsidRDefault="001C65FE" w:rsidP="00B87540">
      <w:pPr>
        <w:rPr>
          <w:szCs w:val="24"/>
        </w:rPr>
      </w:pPr>
      <w:r w:rsidRPr="005B2032">
        <w:rPr>
          <w:szCs w:val="24"/>
        </w:rPr>
        <w:t>Оценката за структурния бюджетен баланс</w:t>
      </w:r>
      <w:r w:rsidR="00D7721F">
        <w:rPr>
          <w:szCs w:val="24"/>
        </w:rPr>
        <w:t xml:space="preserve"> през 2022</w:t>
      </w:r>
      <w:r w:rsidR="00DF07FD">
        <w:rPr>
          <w:szCs w:val="24"/>
        </w:rPr>
        <w:t> г.</w:t>
      </w:r>
      <w:r w:rsidR="00D7721F">
        <w:rPr>
          <w:szCs w:val="24"/>
        </w:rPr>
        <w:t xml:space="preserve"> е за дефицит от 3.</w:t>
      </w:r>
      <w:r w:rsidRPr="005B2032">
        <w:rPr>
          <w:szCs w:val="24"/>
        </w:rPr>
        <w:t>1% от БВП. Фактическото салдо на сектор „Държавно управление“ има отрицателен принос за структурния баланс. Еднократните мерки, които са в отговор на кризата</w:t>
      </w:r>
      <w:r w:rsidR="00D7721F">
        <w:rPr>
          <w:szCs w:val="24"/>
          <w:lang w:val="en-US"/>
        </w:rPr>
        <w:t>,</w:t>
      </w:r>
      <w:r w:rsidRPr="005B2032">
        <w:rPr>
          <w:szCs w:val="24"/>
        </w:rPr>
        <w:t xml:space="preserve"> предизвикана от пандемията, са значителни като дял от БВП и водят технически до положителна корекция в структурния бюджетен баланс. Цикличната позиция на икономиката, която е формирана от отрицателното отклонение от потенциала и чувствителността на бюджетната позиция към икономическия цикъл, също се отразява в корекция към по-висока стойност на структурното бюджетно салдо.</w:t>
      </w:r>
    </w:p>
    <w:p w14:paraId="0591C26F" w14:textId="77777777" w:rsidR="00872236" w:rsidRDefault="00872236" w:rsidP="00B87540">
      <w:pPr>
        <w:rPr>
          <w:bCs/>
          <w:szCs w:val="24"/>
        </w:rPr>
      </w:pPr>
      <w:r w:rsidRPr="00872236">
        <w:rPr>
          <w:szCs w:val="24"/>
        </w:rPr>
        <w:t xml:space="preserve">През 2023 г. се планира съществено ограничаване на дефицита на сектор „Държавно управление“. Разходите свързани с еднократни мерки се очаква да се понижат до 0.2% от БВП през 2023 г., отрицателното отклонение от потенциала -да се свиване допълнително, при което икономиката ще се приближи до своя потенциал и, съответно, цикличната компонента ще запази минимален положителен принос. В резултат структурният бюджетен </w:t>
      </w:r>
      <w:r w:rsidRPr="00872236">
        <w:rPr>
          <w:szCs w:val="24"/>
        </w:rPr>
        <w:lastRenderedPageBreak/>
        <w:t>дефицит ще се подобри до 2.7% от БВП през 2023 г. През последните две години от прогнозния период дефицитът на сектор „Държавно управление“ постепенно ще намалява. Не се предвиждат разходи свързани с еднократни мерки. Отклонението от потенциала се прогнозира да бъде положително число, което ще се отрази в корекция към по-ниско структурно салдо спрямо планирания фактически бюджет дефицит. Структурният бюджетен дефицит ще достигане 2.9% от БВП през 2024 г. и 2.7% в края на прогнозния период.</w:t>
      </w:r>
      <w:r>
        <w:rPr>
          <w:bCs/>
          <w:szCs w:val="24"/>
        </w:rPr>
        <w:t xml:space="preserve"> </w:t>
      </w:r>
    </w:p>
    <w:p w14:paraId="006E10F0" w14:textId="5A302F41" w:rsidR="001C65FE" w:rsidRPr="005B2032" w:rsidRDefault="001C65FE" w:rsidP="00B87540">
      <w:pPr>
        <w:rPr>
          <w:szCs w:val="24"/>
        </w:rPr>
      </w:pPr>
      <w:r w:rsidRPr="005B2032">
        <w:rPr>
          <w:szCs w:val="24"/>
        </w:rPr>
        <w:t>Средносрочната бюджетна цел за структурния баланс на сектор „Държавно управление“ е дефицит в размер на 1% от БВП. Тази цел е в съответствие с изискванията на чл. 23, ал. 2 от ЗПФ, като отчита сравнително ниския размер на консолидирания дълг на сектор „Държавно управление”, както и ниските рискове пред дългосрочната устойчивост на публичните финанси. Според чл. 24 от ЗПФ неизпълнението на средносрочната бюджетна цел за структурния дефицит на годишна основа се допуска при извънредни обстоятелства. През 2020</w:t>
      </w:r>
      <w:r w:rsidR="00DF07FD">
        <w:rPr>
          <w:szCs w:val="24"/>
        </w:rPr>
        <w:t> г.</w:t>
      </w:r>
      <w:r w:rsidRPr="005B2032">
        <w:rPr>
          <w:szCs w:val="24"/>
        </w:rPr>
        <w:t xml:space="preserve"> бе активирана общата клауза за дерогация (General escape clause) от Пакта за стабилност и растеж, която позволява на държавите членки през 2020 и 2021</w:t>
      </w:r>
      <w:r w:rsidR="00DF07FD">
        <w:rPr>
          <w:szCs w:val="24"/>
        </w:rPr>
        <w:t> г.</w:t>
      </w:r>
      <w:r w:rsidRPr="005B2032">
        <w:rPr>
          <w:szCs w:val="24"/>
        </w:rPr>
        <w:t xml:space="preserve"> да се отклонят от стъпката за постигане на средносрочната бюджетна цел. През пролетта на 2021</w:t>
      </w:r>
      <w:r w:rsidR="00DF07FD">
        <w:rPr>
          <w:szCs w:val="24"/>
        </w:rPr>
        <w:t> г.</w:t>
      </w:r>
      <w:r w:rsidRPr="005B2032">
        <w:rPr>
          <w:szCs w:val="24"/>
        </w:rPr>
        <w:t xml:space="preserve"> ЕК взе решение прилагането на клаузата за дерогация в ЕС да продължи и през 2022</w:t>
      </w:r>
      <w:r w:rsidR="00DF07FD">
        <w:rPr>
          <w:szCs w:val="24"/>
        </w:rPr>
        <w:t> г.</w:t>
      </w:r>
      <w:r w:rsidRPr="005B2032">
        <w:rPr>
          <w:szCs w:val="24"/>
        </w:rPr>
        <w:t xml:space="preserve"> </w:t>
      </w:r>
    </w:p>
    <w:p w14:paraId="198C7D70" w14:textId="77777777" w:rsidR="001C65FE" w:rsidRPr="005B2032" w:rsidRDefault="001C65FE" w:rsidP="00B87540">
      <w:pPr>
        <w:rPr>
          <w:szCs w:val="24"/>
        </w:rPr>
      </w:pPr>
      <w:r w:rsidRPr="005B2032">
        <w:rPr>
          <w:szCs w:val="24"/>
        </w:rPr>
        <w:t xml:space="preserve">Оценката на съответствието с изискванията по ПСР и ЗПФ по отношение на растежа на бюджетните разходи се базира на общата методология на Европейската комисия за т. нар. бенчмарк на разходите, при отчитането на разделението между финансираните с национални средства и със средства от ЕС публични инвестиции. Бенчмаркът на раз-ходите се сравнява с нивото на потенциалния средносрочен растеж на БВП, изчислен от ЕК. </w:t>
      </w:r>
    </w:p>
    <w:p w14:paraId="3DB4F8A5" w14:textId="2B05B6AD" w:rsidR="001C65FE" w:rsidRPr="005B2032" w:rsidRDefault="001C65FE" w:rsidP="00B87540">
      <w:pPr>
        <w:rPr>
          <w:szCs w:val="24"/>
        </w:rPr>
      </w:pPr>
      <w:r w:rsidRPr="005B2032">
        <w:rPr>
          <w:szCs w:val="24"/>
        </w:rPr>
        <w:t>На база направени изчисления от Министерството на финансите, изменението в реално изражение на разходния индикатор, използван за целите на фискалното управление в ЕС, се оценява съответно на -1.1% за 2022</w:t>
      </w:r>
      <w:r w:rsidR="00DF07FD">
        <w:rPr>
          <w:szCs w:val="24"/>
        </w:rPr>
        <w:t> г.</w:t>
      </w:r>
      <w:r w:rsidRPr="005B2032">
        <w:rPr>
          <w:szCs w:val="24"/>
        </w:rPr>
        <w:t>, -5.2% за 2023</w:t>
      </w:r>
      <w:r w:rsidR="00DF07FD">
        <w:rPr>
          <w:szCs w:val="24"/>
        </w:rPr>
        <w:t> г.</w:t>
      </w:r>
      <w:r w:rsidRPr="005B2032">
        <w:rPr>
          <w:szCs w:val="24"/>
        </w:rPr>
        <w:t>, 1.3% за 2024</w:t>
      </w:r>
      <w:r w:rsidR="00DF07FD">
        <w:rPr>
          <w:szCs w:val="24"/>
        </w:rPr>
        <w:t> г.</w:t>
      </w:r>
      <w:r w:rsidRPr="005B2032">
        <w:rPr>
          <w:szCs w:val="24"/>
        </w:rPr>
        <w:t xml:space="preserve"> и 0.8% за 2025</w:t>
      </w:r>
      <w:r w:rsidR="00DF07FD">
        <w:rPr>
          <w:szCs w:val="24"/>
        </w:rPr>
        <w:t> г.</w:t>
      </w:r>
      <w:r w:rsidRPr="005B2032">
        <w:rPr>
          <w:szCs w:val="24"/>
        </w:rPr>
        <w:t xml:space="preserve"> Според изчисленията на ЕК нивото на референтния растеж се оценява средно на 2.1% за прогнозния период.</w:t>
      </w:r>
    </w:p>
    <w:p w14:paraId="2F486BE8" w14:textId="645B1B41" w:rsidR="00EC0926" w:rsidRPr="005B2032" w:rsidRDefault="001C65FE" w:rsidP="00B87540">
      <w:pPr>
        <w:rPr>
          <w:rFonts w:asciiTheme="minorHAnsi" w:hAnsiTheme="minorHAnsi" w:cstheme="minorHAnsi"/>
          <w:szCs w:val="24"/>
        </w:rPr>
      </w:pPr>
      <w:r w:rsidRPr="005B2032">
        <w:rPr>
          <w:szCs w:val="24"/>
        </w:rPr>
        <w:t>Бенчмаркът на разходите е част от индикаторите, следени при оценката на спазването на правилата в превантивната част на ПСР, и като такъв попада под обхвата на общата клауза за дерогация, която бе активирана в периода 2020</w:t>
      </w:r>
      <w:r w:rsidR="008010F6">
        <w:rPr>
          <w:rFonts w:cstheme="minorHAnsi"/>
          <w:lang w:val="en-US"/>
        </w:rPr>
        <w:t>–</w:t>
      </w:r>
      <w:r w:rsidRPr="005B2032">
        <w:rPr>
          <w:szCs w:val="24"/>
        </w:rPr>
        <w:t>2021</w:t>
      </w:r>
      <w:r w:rsidR="00DF07FD">
        <w:rPr>
          <w:szCs w:val="24"/>
        </w:rPr>
        <w:t> г.</w:t>
      </w:r>
      <w:r w:rsidRPr="005B2032">
        <w:rPr>
          <w:szCs w:val="24"/>
        </w:rPr>
        <w:t xml:space="preserve"> и ще продължи да действа и през текущата година.</w:t>
      </w:r>
    </w:p>
    <w:p w14:paraId="08606C57" w14:textId="77777777" w:rsidR="00745ECB" w:rsidRPr="00D661BA" w:rsidRDefault="00745ECB" w:rsidP="00D661BA">
      <w:pPr>
        <w:pStyle w:val="Heading2"/>
      </w:pPr>
      <w:bookmarkStart w:id="74" w:name="_Toc479332434"/>
      <w:bookmarkStart w:id="75" w:name="_Toc100906072"/>
      <w:bookmarkStart w:id="76" w:name="_Toc352851597"/>
      <w:bookmarkStart w:id="77" w:name="_Toc448227286"/>
      <w:r w:rsidRPr="00D661BA">
        <w:t xml:space="preserve">Равнище на дълга и тенденции, </w:t>
      </w:r>
      <w:r w:rsidR="003C4751" w:rsidRPr="00D661BA">
        <w:t>операции под черта</w:t>
      </w:r>
      <w:bookmarkEnd w:id="74"/>
      <w:bookmarkEnd w:id="75"/>
    </w:p>
    <w:p w14:paraId="77BB4F72" w14:textId="71276526" w:rsidR="00E63FF4" w:rsidRPr="005B2032" w:rsidRDefault="00E63FF4" w:rsidP="00B87540">
      <w:pPr>
        <w:rPr>
          <w:szCs w:val="24"/>
        </w:rPr>
      </w:pPr>
      <w:r w:rsidRPr="005B2032">
        <w:rPr>
          <w:szCs w:val="24"/>
        </w:rPr>
        <w:t>Към края на 2021</w:t>
      </w:r>
      <w:r w:rsidR="00DF07FD">
        <w:rPr>
          <w:szCs w:val="24"/>
        </w:rPr>
        <w:t> г.</w:t>
      </w:r>
      <w:r w:rsidRPr="005B2032">
        <w:rPr>
          <w:szCs w:val="24"/>
        </w:rPr>
        <w:t xml:space="preserve"> въз основа на данните от априлските Нотификационни таблици за дефицита/излишъка и дълга на България, размерът на консолидирания дълг на сектор „Държавно управление“ бележи ръст спрямо нивото от предходната година. В номинално изражение равнищ</w:t>
      </w:r>
      <w:r w:rsidR="00D7721F">
        <w:rPr>
          <w:szCs w:val="24"/>
        </w:rPr>
        <w:t>ето на дълга се увеличава от 29.</w:t>
      </w:r>
      <w:r w:rsidRPr="005B2032">
        <w:rPr>
          <w:szCs w:val="24"/>
        </w:rPr>
        <w:t>6 млрд. лв. през 2020</w:t>
      </w:r>
      <w:r w:rsidR="00DF07FD">
        <w:rPr>
          <w:szCs w:val="24"/>
        </w:rPr>
        <w:t> г.</w:t>
      </w:r>
      <w:r w:rsidRPr="005B2032">
        <w:rPr>
          <w:szCs w:val="24"/>
        </w:rPr>
        <w:t xml:space="preserve"> до</w:t>
      </w:r>
      <w:r w:rsidR="00BD2C3E">
        <w:rPr>
          <w:szCs w:val="24"/>
        </w:rPr>
        <w:t xml:space="preserve"> </w:t>
      </w:r>
      <w:r w:rsidR="00D7721F">
        <w:rPr>
          <w:szCs w:val="24"/>
        </w:rPr>
        <w:t>33.</w:t>
      </w:r>
      <w:r w:rsidRPr="005B2032">
        <w:rPr>
          <w:szCs w:val="24"/>
        </w:rPr>
        <w:t>3 млрд. лв., а стойността на съотношението консолидиран дълг на сектор „Държавно управление“/Брутен вътрешен продукт нара</w:t>
      </w:r>
      <w:r w:rsidR="00D7721F">
        <w:rPr>
          <w:szCs w:val="24"/>
        </w:rPr>
        <w:t xml:space="preserve">ства с 4 </w:t>
      </w:r>
      <w:r w:rsidR="008438DF">
        <w:rPr>
          <w:szCs w:val="24"/>
        </w:rPr>
        <w:t>пр.п.</w:t>
      </w:r>
      <w:r w:rsidR="00D7721F">
        <w:rPr>
          <w:szCs w:val="24"/>
        </w:rPr>
        <w:t xml:space="preserve"> съответно до 25.</w:t>
      </w:r>
      <w:r w:rsidRPr="005B2032">
        <w:rPr>
          <w:szCs w:val="24"/>
        </w:rPr>
        <w:t xml:space="preserve">1% </w:t>
      </w:r>
      <w:r w:rsidRPr="005B2032">
        <w:rPr>
          <w:szCs w:val="24"/>
          <w:lang w:val="en-US"/>
        </w:rPr>
        <w:t>(</w:t>
      </w:r>
      <w:r w:rsidR="00D7721F">
        <w:rPr>
          <w:szCs w:val="24"/>
        </w:rPr>
        <w:t>при 24.</w:t>
      </w:r>
      <w:r w:rsidRPr="005B2032">
        <w:rPr>
          <w:szCs w:val="24"/>
        </w:rPr>
        <w:t>7% в края на 2020</w:t>
      </w:r>
      <w:r w:rsidR="00DF07FD">
        <w:rPr>
          <w:szCs w:val="24"/>
        </w:rPr>
        <w:t> г.</w:t>
      </w:r>
      <w:r w:rsidRPr="005B2032">
        <w:rPr>
          <w:szCs w:val="24"/>
          <w:lang w:val="en-US"/>
        </w:rPr>
        <w:t>)</w:t>
      </w:r>
      <w:r w:rsidR="00D7721F">
        <w:rPr>
          <w:szCs w:val="24"/>
        </w:rPr>
        <w:t>. Най -</w:t>
      </w:r>
      <w:r w:rsidRPr="005B2032">
        <w:rPr>
          <w:szCs w:val="24"/>
        </w:rPr>
        <w:t xml:space="preserve">висок принос за номиналното нарастване на дълга има полученото през годината ново вътрешно и външно дългово финансиране, което надвишава размерът на извършените погашения. </w:t>
      </w:r>
    </w:p>
    <w:p w14:paraId="67E3C83D" w14:textId="4114759E" w:rsidR="00E63FF4" w:rsidRPr="005B2032" w:rsidRDefault="00E63FF4" w:rsidP="00D661BA">
      <w:r w:rsidRPr="005B2032">
        <w:t>В състава на дълга на сект</w:t>
      </w:r>
      <w:r w:rsidR="00D7721F">
        <w:t>ора с най-голям дял от около 98.</w:t>
      </w:r>
      <w:r w:rsidRPr="005B2032">
        <w:t>0% към края на 2021</w:t>
      </w:r>
      <w:r w:rsidR="00DF07FD">
        <w:t> г.</w:t>
      </w:r>
      <w:r w:rsidRPr="005B2032">
        <w:t xml:space="preserve"> и компонент с водещ принос върху дълга на сектора продължава трайно да заема дългът на подсектор „Централно управление”</w:t>
      </w:r>
      <w:r w:rsidRPr="005B2032">
        <w:rPr>
          <w:lang w:val="en-US"/>
        </w:rPr>
        <w:t xml:space="preserve">. </w:t>
      </w:r>
      <w:r w:rsidRPr="005B2032">
        <w:t xml:space="preserve">В неговата структура преобладаваща част има държавният дълг с около 95%, което обективно обосновава значението на политиката по </w:t>
      </w:r>
      <w:r w:rsidRPr="005B2032">
        <w:lastRenderedPageBreak/>
        <w:t>управление на държавния дълг при определяне на текущото състояние и перспективите за развитие на консолидираните задължения. Дълговата задлъжнялост на единиците, включени в обхвата подсектора, продължава да заема сравнително нисък дял и има минимално влияние върху общият размер на дълга на сектора. Неутрално върху дълга на сектора се запазва и въздействието на другите два подсектора, формиращи дълга на сектор „Държавно управление“: подсектор „Местно управление“ и подсектор „Социалноосигурителни фондове“. Тази тенденция се запазва и в средносрочна перспектива.</w:t>
      </w:r>
    </w:p>
    <w:p w14:paraId="2885C7DE" w14:textId="5B12016D" w:rsidR="00E63FF4" w:rsidRPr="005B2032" w:rsidRDefault="00E63FF4" w:rsidP="00D661BA">
      <w:r w:rsidRPr="005B2032">
        <w:t>През 2021</w:t>
      </w:r>
      <w:r w:rsidR="00DF07FD">
        <w:t> г.</w:t>
      </w:r>
      <w:r w:rsidRPr="005B2032">
        <w:t xml:space="preserve"> </w:t>
      </w:r>
      <w:r w:rsidRPr="005B2032">
        <w:rPr>
          <w:lang w:val="en-US"/>
        </w:rPr>
        <w:t xml:space="preserve">e </w:t>
      </w:r>
      <w:r w:rsidRPr="005B2032">
        <w:t>реализирано дългово финансиране на подсектор „Централно управление“</w:t>
      </w:r>
      <w:r w:rsidR="00BD2C3E">
        <w:t xml:space="preserve"> </w:t>
      </w:r>
      <w:r w:rsidRPr="005B2032">
        <w:t xml:space="preserve">в общ размер на </w:t>
      </w:r>
      <w:r w:rsidRPr="005B2032">
        <w:rPr>
          <w:lang w:val="en-US"/>
        </w:rPr>
        <w:t>5</w:t>
      </w:r>
      <w:r w:rsidR="00D7721F">
        <w:t>.</w:t>
      </w:r>
      <w:r w:rsidRPr="005B2032">
        <w:rPr>
          <w:lang w:val="en-US"/>
        </w:rPr>
        <w:t>0</w:t>
      </w:r>
      <w:r w:rsidRPr="005B2032">
        <w:t xml:space="preserve"> млрд.</w:t>
      </w:r>
      <w:r w:rsidRPr="005B2032">
        <w:rPr>
          <w:lang w:val="en-US"/>
        </w:rPr>
        <w:t xml:space="preserve"> </w:t>
      </w:r>
      <w:r w:rsidRPr="005B2032">
        <w:t xml:space="preserve">лв., в т.ч. </w:t>
      </w:r>
      <w:r w:rsidRPr="005B2032">
        <w:rPr>
          <w:lang w:val="en-US"/>
        </w:rPr>
        <w:t>3</w:t>
      </w:r>
      <w:r w:rsidR="00D7721F">
        <w:t>.</w:t>
      </w:r>
      <w:r w:rsidRPr="005B2032">
        <w:rPr>
          <w:lang w:val="en-US"/>
        </w:rPr>
        <w:t>8</w:t>
      </w:r>
      <w:r w:rsidRPr="005B2032">
        <w:t xml:space="preserve"> млрд. лв. под формата на ДЦК, пласирани на вътрешния пазар (</w:t>
      </w:r>
      <w:r w:rsidRPr="005B2032">
        <w:rPr>
          <w:lang w:val="en-US"/>
        </w:rPr>
        <w:t>e</w:t>
      </w:r>
      <w:r w:rsidRPr="005B2032">
        <w:t>мисии със срочност 3</w:t>
      </w:r>
      <w:r w:rsidR="00DF07FD">
        <w:t> г.</w:t>
      </w:r>
      <w:r w:rsidRPr="005B2032">
        <w:t xml:space="preserve"> и 6 м., 5</w:t>
      </w:r>
      <w:r w:rsidR="00DF07FD">
        <w:t> г.</w:t>
      </w:r>
      <w:r w:rsidRPr="005B2032">
        <w:t>, 7</w:t>
      </w:r>
      <w:r w:rsidR="00DF07FD">
        <w:t> г.</w:t>
      </w:r>
      <w:r w:rsidRPr="005B2032">
        <w:t xml:space="preserve"> и 6 м., и 10</w:t>
      </w:r>
      <w:r w:rsidR="00DF07FD">
        <w:t> г.</w:t>
      </w:r>
      <w:r w:rsidRPr="005B2032">
        <w:t xml:space="preserve"> и 6 м., деноминирани в лева), предоставящи добри инвестиционни възможности на широк кръг участници на вътрешния пазар за суверенен дълг. Останалата част от полученото през годината финансиране са усвоявания на средствата от държавния заем, получен по линия на Европейския инструмент за временна подкрепа с цел смекчаване на рисковете от безработица при извънредни обстоятелства вследствие на избухването на C</w:t>
      </w:r>
      <w:r w:rsidR="00D7721F">
        <w:t>OVID-19 (SURE), в размер на 511.0 млн. евро (999.</w:t>
      </w:r>
      <w:r w:rsidRPr="005B2032">
        <w:t xml:space="preserve">4 млн. лв.), както и по заеми на институционалните единици от подсектора в размер на </w:t>
      </w:r>
      <w:r w:rsidR="00D7721F">
        <w:t>0.</w:t>
      </w:r>
      <w:r w:rsidRPr="005B2032">
        <w:rPr>
          <w:lang w:val="en-US"/>
        </w:rPr>
        <w:t>2</w:t>
      </w:r>
      <w:r w:rsidRPr="005B2032">
        <w:t xml:space="preserve"> млрд. лв. За същия период, извършените погашения по дъ</w:t>
      </w:r>
      <w:r w:rsidR="00D7721F">
        <w:t>лга на подсектора възлизат на 1.</w:t>
      </w:r>
      <w:r w:rsidRPr="005B2032">
        <w:rPr>
          <w:lang w:val="en-US"/>
        </w:rPr>
        <w:t>3</w:t>
      </w:r>
      <w:r w:rsidR="00D7721F">
        <w:t xml:space="preserve"> млрд. лв., от които 0.</w:t>
      </w:r>
      <w:r w:rsidRPr="005B2032">
        <w:t>8 млрд. лв. падежи на ДЦК, емитиран</w:t>
      </w:r>
      <w:r w:rsidR="00D7721F">
        <w:t>и на вътрешния дългов пазар и 0.</w:t>
      </w:r>
      <w:r w:rsidRPr="005B2032">
        <w:t>5 млрд. лв. по заеми, в т.ч. държавни заеми и на институционални единици, попадащи в обхвата на подсектора.</w:t>
      </w:r>
      <w:r w:rsidR="00BD2C3E">
        <w:t xml:space="preserve"> </w:t>
      </w:r>
    </w:p>
    <w:p w14:paraId="2F516538" w14:textId="003AD62C" w:rsidR="00E63FF4" w:rsidRPr="005B2032" w:rsidRDefault="00E63FF4" w:rsidP="00B87540">
      <w:pPr>
        <w:rPr>
          <w:szCs w:val="24"/>
        </w:rPr>
      </w:pPr>
      <w:r w:rsidRPr="005B2032">
        <w:rPr>
          <w:szCs w:val="24"/>
        </w:rPr>
        <w:t>През целия разглеждан период 2021</w:t>
      </w:r>
      <w:r w:rsidR="008010F6">
        <w:rPr>
          <w:rFonts w:cstheme="minorHAnsi"/>
          <w:lang w:val="en-US"/>
        </w:rPr>
        <w:t>–</w:t>
      </w:r>
      <w:r w:rsidRPr="005B2032">
        <w:rPr>
          <w:szCs w:val="24"/>
        </w:rPr>
        <w:t>2025</w:t>
      </w:r>
      <w:r w:rsidR="00DF07FD">
        <w:rPr>
          <w:szCs w:val="24"/>
        </w:rPr>
        <w:t> г.</w:t>
      </w:r>
      <w:r w:rsidRPr="005B2032">
        <w:rPr>
          <w:szCs w:val="24"/>
        </w:rPr>
        <w:t>, в дълговия портфейл на сектор „Държавно управление” доминантна част представляват инструментите, деноминирани в рисково неутрални валути (евро и лева) и тези с фиксирани лихвени проценти. Относителният дял на дълга, деноминиран във валути, различ</w:t>
      </w:r>
      <w:r w:rsidR="00D7721F">
        <w:rPr>
          <w:szCs w:val="24"/>
        </w:rPr>
        <w:t>ни от еврото и лева, спада от 0.</w:t>
      </w:r>
      <w:r w:rsidRPr="005B2032">
        <w:rPr>
          <w:szCs w:val="24"/>
        </w:rPr>
        <w:t>2</w:t>
      </w:r>
      <w:r w:rsidR="000F033A">
        <w:rPr>
          <w:szCs w:val="24"/>
        </w:rPr>
        <w:t>%</w:t>
      </w:r>
      <w:r w:rsidR="00D7721F">
        <w:rPr>
          <w:szCs w:val="24"/>
        </w:rPr>
        <w:t xml:space="preserve"> в края на 2021</w:t>
      </w:r>
      <w:r w:rsidR="00DF07FD">
        <w:rPr>
          <w:szCs w:val="24"/>
        </w:rPr>
        <w:t> г.</w:t>
      </w:r>
      <w:r w:rsidR="00D7721F">
        <w:rPr>
          <w:szCs w:val="24"/>
        </w:rPr>
        <w:t xml:space="preserve"> до 0.</w:t>
      </w:r>
      <w:r w:rsidRPr="005B2032">
        <w:rPr>
          <w:szCs w:val="24"/>
        </w:rPr>
        <w:t>1</w:t>
      </w:r>
      <w:r w:rsidR="000F033A">
        <w:rPr>
          <w:szCs w:val="24"/>
        </w:rPr>
        <w:t>%</w:t>
      </w:r>
      <w:r w:rsidRPr="005B2032">
        <w:rPr>
          <w:szCs w:val="24"/>
        </w:rPr>
        <w:t xml:space="preserve"> в края на 2025</w:t>
      </w:r>
      <w:r w:rsidR="00DF07FD">
        <w:rPr>
          <w:szCs w:val="24"/>
        </w:rPr>
        <w:t> г.</w:t>
      </w:r>
      <w:r w:rsidRPr="005B2032">
        <w:rPr>
          <w:szCs w:val="24"/>
        </w:rPr>
        <w:t>, а частта на дълга с ф</w:t>
      </w:r>
      <w:r w:rsidR="00D7721F">
        <w:rPr>
          <w:szCs w:val="24"/>
        </w:rPr>
        <w:t>иксирани лихви се покачва до 99.</w:t>
      </w:r>
      <w:r w:rsidRPr="005B2032">
        <w:rPr>
          <w:szCs w:val="24"/>
        </w:rPr>
        <w:t>6</w:t>
      </w:r>
      <w:r w:rsidR="000F033A">
        <w:rPr>
          <w:szCs w:val="24"/>
        </w:rPr>
        <w:t>%</w:t>
      </w:r>
      <w:r w:rsidR="00D7721F">
        <w:rPr>
          <w:szCs w:val="24"/>
        </w:rPr>
        <w:t xml:space="preserve"> в края на 2025</w:t>
      </w:r>
      <w:r w:rsidR="00DF07FD">
        <w:rPr>
          <w:szCs w:val="24"/>
        </w:rPr>
        <w:t> г.</w:t>
      </w:r>
      <w:r w:rsidR="00D7721F">
        <w:rPr>
          <w:szCs w:val="24"/>
        </w:rPr>
        <w:t xml:space="preserve"> (при 97.</w:t>
      </w:r>
      <w:r w:rsidRPr="005B2032">
        <w:rPr>
          <w:szCs w:val="24"/>
        </w:rPr>
        <w:t>8</w:t>
      </w:r>
      <w:r w:rsidR="000F033A">
        <w:rPr>
          <w:szCs w:val="24"/>
        </w:rPr>
        <w:t>%</w:t>
      </w:r>
      <w:r w:rsidRPr="005B2032">
        <w:rPr>
          <w:szCs w:val="24"/>
        </w:rPr>
        <w:t xml:space="preserve"> към 31.12.2021</w:t>
      </w:r>
      <w:r w:rsidR="00DF07FD">
        <w:rPr>
          <w:szCs w:val="24"/>
        </w:rPr>
        <w:t> г.</w:t>
      </w:r>
      <w:r w:rsidRPr="005B2032">
        <w:rPr>
          <w:szCs w:val="24"/>
        </w:rPr>
        <w:t>). Съответно, коефициентите на дълга в лева и евро и на този с плаващи лихвени купони към</w:t>
      </w:r>
      <w:r w:rsidR="00D7721F">
        <w:rPr>
          <w:szCs w:val="24"/>
        </w:rPr>
        <w:t xml:space="preserve"> 31.12.2025</w:t>
      </w:r>
      <w:r w:rsidR="00DF07FD">
        <w:rPr>
          <w:szCs w:val="24"/>
        </w:rPr>
        <w:t> г.</w:t>
      </w:r>
      <w:r w:rsidR="00D7721F">
        <w:rPr>
          <w:szCs w:val="24"/>
        </w:rPr>
        <w:t xml:space="preserve"> представляват 98.</w:t>
      </w:r>
      <w:r w:rsidRPr="005B2032">
        <w:rPr>
          <w:szCs w:val="24"/>
        </w:rPr>
        <w:t>0</w:t>
      </w:r>
      <w:r w:rsidR="000F033A">
        <w:rPr>
          <w:szCs w:val="24"/>
        </w:rPr>
        <w:t>%</w:t>
      </w:r>
      <w:r w:rsidR="00D7721F">
        <w:rPr>
          <w:szCs w:val="24"/>
        </w:rPr>
        <w:t xml:space="preserve"> и 0.</w:t>
      </w:r>
      <w:r w:rsidRPr="005B2032">
        <w:rPr>
          <w:szCs w:val="24"/>
        </w:rPr>
        <w:t>4</w:t>
      </w:r>
      <w:r w:rsidR="000F033A">
        <w:rPr>
          <w:szCs w:val="24"/>
        </w:rPr>
        <w:t>%</w:t>
      </w:r>
      <w:r w:rsidR="00D7721F">
        <w:rPr>
          <w:szCs w:val="24"/>
        </w:rPr>
        <w:t xml:space="preserve"> (при 97.</w:t>
      </w:r>
      <w:r w:rsidRPr="005B2032">
        <w:rPr>
          <w:szCs w:val="24"/>
        </w:rPr>
        <w:t>6</w:t>
      </w:r>
      <w:r w:rsidR="000F033A">
        <w:rPr>
          <w:szCs w:val="24"/>
        </w:rPr>
        <w:t>%</w:t>
      </w:r>
      <w:r w:rsidR="00D7721F">
        <w:rPr>
          <w:szCs w:val="24"/>
        </w:rPr>
        <w:t xml:space="preserve"> и 2.</w:t>
      </w:r>
      <w:r w:rsidRPr="005B2032">
        <w:rPr>
          <w:szCs w:val="24"/>
        </w:rPr>
        <w:t>2</w:t>
      </w:r>
      <w:r w:rsidR="000F033A">
        <w:rPr>
          <w:szCs w:val="24"/>
        </w:rPr>
        <w:t>%</w:t>
      </w:r>
      <w:r w:rsidRPr="005B2032">
        <w:rPr>
          <w:szCs w:val="24"/>
        </w:rPr>
        <w:t xml:space="preserve"> в края на 2021</w:t>
      </w:r>
      <w:r w:rsidR="00DF07FD">
        <w:rPr>
          <w:szCs w:val="24"/>
        </w:rPr>
        <w:t> г.</w:t>
      </w:r>
      <w:r w:rsidRPr="005B2032">
        <w:rPr>
          <w:szCs w:val="24"/>
        </w:rPr>
        <w:t xml:space="preserve">). </w:t>
      </w:r>
    </w:p>
    <w:p w14:paraId="60A4D974" w14:textId="58B837E7" w:rsidR="00E63FF4" w:rsidRPr="005B2032" w:rsidRDefault="00E63FF4" w:rsidP="00B87540">
      <w:pPr>
        <w:rPr>
          <w:szCs w:val="24"/>
        </w:rPr>
      </w:pPr>
      <w:r w:rsidRPr="005B2032">
        <w:rPr>
          <w:szCs w:val="24"/>
        </w:rPr>
        <w:t>Лихвените</w:t>
      </w:r>
      <w:r w:rsidR="00BD2C3E">
        <w:rPr>
          <w:szCs w:val="24"/>
        </w:rPr>
        <w:t xml:space="preserve"> </w:t>
      </w:r>
      <w:r w:rsidRPr="005B2032">
        <w:rPr>
          <w:szCs w:val="24"/>
        </w:rPr>
        <w:t>плащания за 2021</w:t>
      </w:r>
      <w:r w:rsidR="00DF07FD">
        <w:rPr>
          <w:szCs w:val="24"/>
        </w:rPr>
        <w:t> г.</w:t>
      </w:r>
      <w:r w:rsidRPr="005B2032">
        <w:rPr>
          <w:szCs w:val="24"/>
        </w:rPr>
        <w:t xml:space="preserve"> на начислена основа съотнесени спрямо БВП се очаква да възлязат</w:t>
      </w:r>
      <w:r w:rsidR="00D7721F">
        <w:rPr>
          <w:szCs w:val="24"/>
        </w:rPr>
        <w:t xml:space="preserve"> на 0.</w:t>
      </w:r>
      <w:r w:rsidRPr="005B2032">
        <w:rPr>
          <w:szCs w:val="24"/>
        </w:rPr>
        <w:t>5</w:t>
      </w:r>
      <w:r w:rsidR="000F033A">
        <w:rPr>
          <w:szCs w:val="24"/>
        </w:rPr>
        <w:t>%</w:t>
      </w:r>
      <w:r w:rsidRPr="005B2032">
        <w:rPr>
          <w:szCs w:val="24"/>
        </w:rPr>
        <w:t>, а в периода 2022</w:t>
      </w:r>
      <w:r w:rsidR="008010F6">
        <w:rPr>
          <w:rFonts w:cstheme="minorHAnsi"/>
          <w:lang w:val="en-US"/>
        </w:rPr>
        <w:t>–</w:t>
      </w:r>
      <w:r w:rsidRPr="005B2032">
        <w:rPr>
          <w:szCs w:val="24"/>
        </w:rPr>
        <w:t>2025</w:t>
      </w:r>
      <w:r w:rsidR="00DF07FD">
        <w:rPr>
          <w:szCs w:val="24"/>
        </w:rPr>
        <w:t> г.</w:t>
      </w:r>
      <w:r w:rsidRPr="005B2032">
        <w:rPr>
          <w:szCs w:val="24"/>
        </w:rPr>
        <w:t xml:space="preserve"> да се запазят на ниво под 1</w:t>
      </w:r>
      <w:r w:rsidR="000F033A">
        <w:rPr>
          <w:szCs w:val="24"/>
        </w:rPr>
        <w:t>%</w:t>
      </w:r>
      <w:r w:rsidRPr="005B2032">
        <w:rPr>
          <w:szCs w:val="24"/>
        </w:rPr>
        <w:t xml:space="preserve"> от прогнозния БВП. </w:t>
      </w:r>
    </w:p>
    <w:p w14:paraId="2F371540" w14:textId="142F3DC0" w:rsidR="00E63FF4" w:rsidRPr="005B2032" w:rsidRDefault="00E63FF4" w:rsidP="00B87540">
      <w:pPr>
        <w:rPr>
          <w:szCs w:val="24"/>
        </w:rPr>
      </w:pPr>
      <w:r w:rsidRPr="005B2032">
        <w:rPr>
          <w:szCs w:val="24"/>
        </w:rPr>
        <w:t>Вследствие от осъществените през годината дългови операции, към 31 декември 2021</w:t>
      </w:r>
      <w:r w:rsidR="00DF07FD">
        <w:rPr>
          <w:szCs w:val="24"/>
        </w:rPr>
        <w:t> г.</w:t>
      </w:r>
      <w:r w:rsidRPr="005B2032">
        <w:rPr>
          <w:szCs w:val="24"/>
        </w:rPr>
        <w:t xml:space="preserve"> средният остатъчен срок на дълга на сектор „Държавно управление“ е</w:t>
      </w:r>
      <w:r w:rsidR="00D7721F">
        <w:rPr>
          <w:szCs w:val="24"/>
          <w:lang w:val="en-US"/>
        </w:rPr>
        <w:t xml:space="preserve"> 8.</w:t>
      </w:r>
      <w:r w:rsidRPr="005B2032">
        <w:rPr>
          <w:szCs w:val="24"/>
        </w:rPr>
        <w:t>0</w:t>
      </w:r>
      <w:r w:rsidR="00DF07FD">
        <w:rPr>
          <w:szCs w:val="24"/>
          <w:lang w:val="en-US"/>
        </w:rPr>
        <w:t> г.</w:t>
      </w:r>
      <w:r w:rsidRPr="005B2032">
        <w:rPr>
          <w:szCs w:val="24"/>
        </w:rPr>
        <w:t>, а към края на 2025</w:t>
      </w:r>
      <w:r w:rsidR="00DF07FD">
        <w:rPr>
          <w:szCs w:val="24"/>
        </w:rPr>
        <w:t> г.</w:t>
      </w:r>
      <w:r w:rsidRPr="005B2032">
        <w:rPr>
          <w:szCs w:val="24"/>
        </w:rPr>
        <w:t xml:space="preserve"> се очаква постепенно да се удължи до 10</w:t>
      </w:r>
      <w:r w:rsidR="00DF07FD">
        <w:rPr>
          <w:szCs w:val="24"/>
        </w:rPr>
        <w:t> г.</w:t>
      </w:r>
      <w:r w:rsidR="00BD2C3E">
        <w:rPr>
          <w:szCs w:val="24"/>
        </w:rPr>
        <w:t xml:space="preserve"> </w:t>
      </w:r>
    </w:p>
    <w:p w14:paraId="6F37177B" w14:textId="04FD0515" w:rsidR="00E63FF4" w:rsidRPr="005B2032" w:rsidRDefault="00E63FF4" w:rsidP="00B87540">
      <w:pPr>
        <w:rPr>
          <w:szCs w:val="24"/>
        </w:rPr>
      </w:pPr>
      <w:r w:rsidRPr="005B2032">
        <w:rPr>
          <w:szCs w:val="24"/>
        </w:rPr>
        <w:t>През периода 2022–2025</w:t>
      </w:r>
      <w:r w:rsidR="00DF07FD">
        <w:rPr>
          <w:szCs w:val="24"/>
        </w:rPr>
        <w:t> г.</w:t>
      </w:r>
      <w:r w:rsidRPr="005B2032">
        <w:rPr>
          <w:szCs w:val="24"/>
        </w:rPr>
        <w:t xml:space="preserve"> се планира поемането на нов</w:t>
      </w:r>
      <w:r w:rsidR="00D7721F">
        <w:rPr>
          <w:szCs w:val="24"/>
        </w:rPr>
        <w:t xml:space="preserve"> държавен дълг в границите от 7.3 млрд. лв. до 10.</w:t>
      </w:r>
      <w:r w:rsidRPr="005B2032">
        <w:rPr>
          <w:szCs w:val="24"/>
        </w:rPr>
        <w:t>0 млрд. лв. годишно. Размерът на дълга в обращение, който следва да бъде рефинансиран през всяк</w:t>
      </w:r>
      <w:r w:rsidR="00D7721F">
        <w:rPr>
          <w:szCs w:val="24"/>
        </w:rPr>
        <w:t>а от годините варира между 3.0 млрд. лв. и 3.</w:t>
      </w:r>
      <w:r w:rsidRPr="005B2032">
        <w:rPr>
          <w:szCs w:val="24"/>
        </w:rPr>
        <w:t>5 млрд. лв., като падежиращите се еврооблигации са в размер н</w:t>
      </w:r>
      <w:r w:rsidR="00D7721F">
        <w:rPr>
          <w:szCs w:val="24"/>
        </w:rPr>
        <w:t>а 2,4 млрд. лв. през 2022</w:t>
      </w:r>
      <w:r w:rsidR="00DF07FD">
        <w:rPr>
          <w:szCs w:val="24"/>
        </w:rPr>
        <w:t> г.</w:t>
      </w:r>
      <w:r w:rsidR="00D7721F">
        <w:rPr>
          <w:szCs w:val="24"/>
        </w:rPr>
        <w:t>, 2.2 млрд. лв. през 2023</w:t>
      </w:r>
      <w:r w:rsidR="00DF07FD">
        <w:rPr>
          <w:szCs w:val="24"/>
        </w:rPr>
        <w:t> г.</w:t>
      </w:r>
      <w:r w:rsidR="00D7721F">
        <w:rPr>
          <w:szCs w:val="24"/>
        </w:rPr>
        <w:t xml:space="preserve"> и 2.</w:t>
      </w:r>
      <w:r w:rsidRPr="005B2032">
        <w:rPr>
          <w:szCs w:val="24"/>
        </w:rPr>
        <w:t>9 млрд. лв. – 2024</w:t>
      </w:r>
      <w:r w:rsidR="00DF07FD">
        <w:rPr>
          <w:szCs w:val="24"/>
        </w:rPr>
        <w:t> г.</w:t>
      </w:r>
      <w:r w:rsidRPr="005B2032">
        <w:rPr>
          <w:szCs w:val="24"/>
        </w:rPr>
        <w:t xml:space="preserve"> Като процент от БВП, тези </w:t>
      </w:r>
      <w:r w:rsidR="00D7721F">
        <w:rPr>
          <w:szCs w:val="24"/>
        </w:rPr>
        <w:t>погашения представляват около 2.</w:t>
      </w:r>
      <w:r w:rsidRPr="005B2032">
        <w:rPr>
          <w:szCs w:val="24"/>
        </w:rPr>
        <w:t>0</w:t>
      </w:r>
      <w:r w:rsidR="000F033A">
        <w:rPr>
          <w:szCs w:val="24"/>
        </w:rPr>
        <w:t>%</w:t>
      </w:r>
      <w:r w:rsidRPr="005B2032">
        <w:rPr>
          <w:szCs w:val="24"/>
        </w:rPr>
        <w:t>. През разглеждания период не се предвижда финансиране с държавни заеми и не се очаква поемане на нов дълг под формата на финансов лизинг или други форми на дълг от първостепенните разпоредители с бюджет.</w:t>
      </w:r>
    </w:p>
    <w:p w14:paraId="2F8CC4B8" w14:textId="2C1F18C3" w:rsidR="00E63FF4" w:rsidRPr="005B2032" w:rsidRDefault="00E63FF4" w:rsidP="00D661BA">
      <w:pPr>
        <w:rPr>
          <w:rFonts w:eastAsia="Times New Roman"/>
        </w:rPr>
      </w:pPr>
      <w:r w:rsidRPr="005B2032">
        <w:t>В резултат от идентифицираните потребности от набавяне на значително финансиране от дългови източници, за периода 2022–2025</w:t>
      </w:r>
      <w:r w:rsidR="00DF07FD">
        <w:t> г.</w:t>
      </w:r>
      <w:r w:rsidRPr="005B2032">
        <w:t xml:space="preserve"> размерът на дълга следва устойчива тенденция на увеличение. В номинално изражение стойността му се движи в диапазона</w:t>
      </w:r>
      <w:r w:rsidR="00BD2C3E">
        <w:t xml:space="preserve"> </w:t>
      </w:r>
      <w:r w:rsidR="00D7721F">
        <w:t>от 37.</w:t>
      </w:r>
      <w:r w:rsidRPr="005B2032">
        <w:t>6 мл</w:t>
      </w:r>
      <w:r w:rsidR="00D7721F">
        <w:t>рд. лв. в края на 2022</w:t>
      </w:r>
      <w:r w:rsidR="00DF07FD">
        <w:t> г.</w:t>
      </w:r>
      <w:r w:rsidR="00D7721F">
        <w:t xml:space="preserve"> до 55.</w:t>
      </w:r>
      <w:r w:rsidRPr="005B2032">
        <w:t>7 млрд. лв. в края на 2025</w:t>
      </w:r>
      <w:r w:rsidR="00DF07FD">
        <w:t> г.</w:t>
      </w:r>
      <w:r w:rsidRPr="005B2032">
        <w:t xml:space="preserve"> Общата дългова тежест на сектор „Държавно управление”, съотнесена спрямо БВП също се прогнозира да нара</w:t>
      </w:r>
      <w:r w:rsidR="00D7721F">
        <w:t>ства достигайки съответно до 27.</w:t>
      </w:r>
      <w:r w:rsidRPr="005B2032">
        <w:t>7</w:t>
      </w:r>
      <w:r w:rsidR="000F033A">
        <w:t>%</w:t>
      </w:r>
      <w:r w:rsidR="00BD2C3E">
        <w:t xml:space="preserve"> </w:t>
      </w:r>
      <w:r w:rsidR="00D7721F">
        <w:t>през 2023</w:t>
      </w:r>
      <w:r w:rsidR="00DF07FD">
        <w:t> г.</w:t>
      </w:r>
      <w:r w:rsidR="00D7721F">
        <w:t>, 29.</w:t>
      </w:r>
      <w:r w:rsidRPr="005B2032">
        <w:t>1</w:t>
      </w:r>
      <w:r w:rsidR="000F033A">
        <w:t>%</w:t>
      </w:r>
      <w:r w:rsidR="00D7721F">
        <w:t xml:space="preserve"> през 2024</w:t>
      </w:r>
      <w:r w:rsidR="00DF07FD">
        <w:t> г.</w:t>
      </w:r>
      <w:r w:rsidR="00D7721F">
        <w:t xml:space="preserve"> и 30.</w:t>
      </w:r>
      <w:r w:rsidRPr="005B2032">
        <w:t>4</w:t>
      </w:r>
      <w:r w:rsidR="000F033A">
        <w:t>%</w:t>
      </w:r>
      <w:r w:rsidRPr="005B2032">
        <w:t xml:space="preserve"> през 2025</w:t>
      </w:r>
      <w:r w:rsidR="00DF07FD">
        <w:t> г.</w:t>
      </w:r>
      <w:r w:rsidRPr="005B2032">
        <w:t xml:space="preserve"> Независимо от тези развития, прогнозните стойности на показателя се запазват </w:t>
      </w:r>
      <w:r w:rsidRPr="005B2032">
        <w:lastRenderedPageBreak/>
        <w:t xml:space="preserve">под максимално допустимия референтен праг на Маастрихтския критерий за конвергенция от 60% </w:t>
      </w:r>
      <w:r w:rsidRPr="005B2032">
        <w:rPr>
          <w:rFonts w:eastAsia="Times New Roman"/>
        </w:rPr>
        <w:t xml:space="preserve">и затвърждава очакванията за запазване на водещата позиция на Република България сред страните членки на ЕС, с ниско ниво на държавна задлъжнялост. </w:t>
      </w:r>
    </w:p>
    <w:p w14:paraId="46638436" w14:textId="276895B9" w:rsidR="00E63FF4" w:rsidRDefault="00B87540" w:rsidP="00810193">
      <w:pPr>
        <w:pStyle w:val="Caption"/>
      </w:pPr>
      <w:r>
        <w:t>Граф. 3-2</w:t>
      </w:r>
      <w:r w:rsidR="00E63FF4" w:rsidRPr="005B2032">
        <w:t>: Съотношение консолидиран дълг на с</w:t>
      </w:r>
      <w:r w:rsidR="00810193">
        <w:t>ектор „Държавно управление“/БВП</w:t>
      </w:r>
    </w:p>
    <w:p w14:paraId="72449865" w14:textId="7ED22536" w:rsidR="00810193" w:rsidRPr="00810193" w:rsidRDefault="00810193" w:rsidP="00841455">
      <w:pPr>
        <w:pStyle w:val="a0"/>
      </w:pPr>
      <w:r>
        <w:drawing>
          <wp:inline distT="0" distB="0" distL="0" distR="0" wp14:anchorId="5EEA9328" wp14:editId="62A939FB">
            <wp:extent cx="5760000" cy="223200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DDA8E15" w14:textId="7730240D" w:rsidR="00841455" w:rsidRDefault="00841455" w:rsidP="00841455">
      <w:pPr>
        <w:pStyle w:val="a"/>
      </w:pPr>
      <w:r>
        <w:t>Източник: МФ</w:t>
      </w:r>
    </w:p>
    <w:p w14:paraId="44BABAD3" w14:textId="28F3D90D" w:rsidR="00E63FF4" w:rsidRPr="005B2032" w:rsidRDefault="00E63FF4" w:rsidP="00D661BA">
      <w:r w:rsidRPr="005B2032">
        <w:t>Реализацията на представената прогноза е силно зависима от развитието на конфликта с Украйна и на епидемичната обстановка, респ. икономическото възстановяване, което може да доведе до различна от очакваната динамика за консолидирания дълг на сектор „Държавно управление“. Върху прогнозните за този период, допълнително влияние би могло да окаже евентуално разширение на обхвата на сектора при преквалификация на институционални единици в него в изпълнение на изискванията на Евростат и прилагането на Европейската система от сметки 2010 .</w:t>
      </w:r>
    </w:p>
    <w:p w14:paraId="4A9E0A0B" w14:textId="5FD84BFC" w:rsidR="00E63FF4" w:rsidRPr="005B2032" w:rsidRDefault="00E63FF4" w:rsidP="00B87540">
      <w:pPr>
        <w:rPr>
          <w:rFonts w:asciiTheme="majorBidi" w:hAnsiTheme="majorBidi" w:cstheme="majorBidi"/>
          <w:szCs w:val="24"/>
        </w:rPr>
      </w:pPr>
      <w:r w:rsidRPr="005B2032">
        <w:rPr>
          <w:rFonts w:asciiTheme="majorBidi" w:hAnsiTheme="majorBidi" w:cstheme="majorBidi"/>
          <w:szCs w:val="24"/>
        </w:rPr>
        <w:t>Ежегодно определяните в годишните закони за държавния бюджет ограничения по дълга способстват за контролираното увеличение на дълга. Съгласно разпоредбите на Закона за държавния бюджет на Република България за 2022</w:t>
      </w:r>
      <w:r w:rsidR="00DF07FD">
        <w:rPr>
          <w:rFonts w:asciiTheme="majorBidi" w:hAnsiTheme="majorBidi" w:cstheme="majorBidi"/>
          <w:szCs w:val="24"/>
        </w:rPr>
        <w:t> г.</w:t>
      </w:r>
      <w:r w:rsidRPr="005B2032">
        <w:rPr>
          <w:rFonts w:asciiTheme="majorBidi" w:hAnsiTheme="majorBidi" w:cstheme="majorBidi"/>
          <w:szCs w:val="24"/>
        </w:rPr>
        <w:t xml:space="preserve"> максималният размер на държавния дълг към края на г</w:t>
      </w:r>
      <w:r w:rsidR="00D7721F">
        <w:rPr>
          <w:rFonts w:asciiTheme="majorBidi" w:hAnsiTheme="majorBidi" w:cstheme="majorBidi"/>
          <w:szCs w:val="24"/>
        </w:rPr>
        <w:t>одината не може да надвишава 35.</w:t>
      </w:r>
      <w:r w:rsidRPr="005B2032">
        <w:rPr>
          <w:rFonts w:asciiTheme="majorBidi" w:hAnsiTheme="majorBidi" w:cstheme="majorBidi"/>
          <w:szCs w:val="24"/>
        </w:rPr>
        <w:t>5 млрд. лв., а максималния размер на новия държавен дълг, който може да бъде поет по реда на Закона за държавни</w:t>
      </w:r>
      <w:r w:rsidR="00D7721F">
        <w:rPr>
          <w:rFonts w:asciiTheme="majorBidi" w:hAnsiTheme="majorBidi" w:cstheme="majorBidi"/>
          <w:szCs w:val="24"/>
        </w:rPr>
        <w:t>я дълг в рамките на 2022</w:t>
      </w:r>
      <w:r w:rsidR="00DF07FD">
        <w:rPr>
          <w:rFonts w:asciiTheme="majorBidi" w:hAnsiTheme="majorBidi" w:cstheme="majorBidi"/>
          <w:szCs w:val="24"/>
        </w:rPr>
        <w:t> г.</w:t>
      </w:r>
      <w:r w:rsidR="00D7721F">
        <w:rPr>
          <w:rFonts w:asciiTheme="majorBidi" w:hAnsiTheme="majorBidi" w:cstheme="majorBidi"/>
          <w:szCs w:val="24"/>
        </w:rPr>
        <w:t xml:space="preserve"> е 7.</w:t>
      </w:r>
      <w:r w:rsidRPr="005B2032">
        <w:rPr>
          <w:rFonts w:asciiTheme="majorBidi" w:hAnsiTheme="majorBidi" w:cstheme="majorBidi"/>
          <w:szCs w:val="24"/>
        </w:rPr>
        <w:t xml:space="preserve">3 млрд. лв. </w:t>
      </w:r>
    </w:p>
    <w:p w14:paraId="4E055476" w14:textId="5BE928D6" w:rsidR="00E63FF4" w:rsidRPr="005B2032" w:rsidRDefault="00E63FF4" w:rsidP="00B87540">
      <w:pPr>
        <w:rPr>
          <w:rFonts w:asciiTheme="majorBidi" w:hAnsiTheme="majorBidi" w:cstheme="majorBidi"/>
          <w:szCs w:val="24"/>
        </w:rPr>
      </w:pPr>
      <w:r w:rsidRPr="005B2032">
        <w:rPr>
          <w:rFonts w:asciiTheme="majorBidi" w:hAnsiTheme="majorBidi" w:cstheme="majorBidi"/>
          <w:szCs w:val="24"/>
        </w:rPr>
        <w:t>В тригодишна перспектива, дългът на подсектор „Местно управление“ не се очаква да претърпи съществени промени спрямо отчетеното в края на 2021</w:t>
      </w:r>
      <w:r w:rsidR="00DF07FD">
        <w:rPr>
          <w:rFonts w:asciiTheme="majorBidi" w:hAnsiTheme="majorBidi" w:cstheme="majorBidi"/>
          <w:szCs w:val="24"/>
        </w:rPr>
        <w:t> г.</w:t>
      </w:r>
      <w:r w:rsidRPr="005B2032">
        <w:rPr>
          <w:rFonts w:asciiTheme="majorBidi" w:hAnsiTheme="majorBidi" w:cstheme="majorBidi"/>
          <w:szCs w:val="24"/>
        </w:rPr>
        <w:t xml:space="preserve"> ниво от около </w:t>
      </w:r>
      <w:r w:rsidR="00D7721F">
        <w:rPr>
          <w:rFonts w:asciiTheme="majorBidi" w:hAnsiTheme="majorBidi" w:cstheme="majorBidi"/>
          <w:szCs w:val="24"/>
          <w:lang w:val="en-US"/>
        </w:rPr>
        <w:t>1.</w:t>
      </w:r>
      <w:r w:rsidRPr="005B2032">
        <w:rPr>
          <w:rFonts w:asciiTheme="majorBidi" w:hAnsiTheme="majorBidi" w:cstheme="majorBidi"/>
          <w:szCs w:val="24"/>
        </w:rPr>
        <w:t>3</w:t>
      </w:r>
      <w:r w:rsidRPr="005B2032">
        <w:rPr>
          <w:rFonts w:asciiTheme="majorBidi" w:hAnsiTheme="majorBidi" w:cstheme="majorBidi"/>
          <w:szCs w:val="24"/>
          <w:lang w:val="en-US"/>
        </w:rPr>
        <w:t xml:space="preserve"> </w:t>
      </w:r>
      <w:r w:rsidRPr="005B2032">
        <w:rPr>
          <w:rFonts w:asciiTheme="majorBidi" w:hAnsiTheme="majorBidi" w:cstheme="majorBidi"/>
          <w:szCs w:val="24"/>
        </w:rPr>
        <w:t>млрд. лв., като се очаква слаб ръ</w:t>
      </w:r>
      <w:r w:rsidR="00D7721F">
        <w:rPr>
          <w:rFonts w:asciiTheme="majorBidi" w:hAnsiTheme="majorBidi" w:cstheme="majorBidi"/>
          <w:szCs w:val="24"/>
        </w:rPr>
        <w:t>ст в края на 2025</w:t>
      </w:r>
      <w:r w:rsidR="00DF07FD">
        <w:rPr>
          <w:rFonts w:asciiTheme="majorBidi" w:hAnsiTheme="majorBidi" w:cstheme="majorBidi"/>
          <w:szCs w:val="24"/>
        </w:rPr>
        <w:t> г.</w:t>
      </w:r>
      <w:r w:rsidR="00D7721F">
        <w:rPr>
          <w:rFonts w:asciiTheme="majorBidi" w:hAnsiTheme="majorBidi" w:cstheme="majorBidi"/>
          <w:szCs w:val="24"/>
        </w:rPr>
        <w:t xml:space="preserve"> до около 1.</w:t>
      </w:r>
      <w:r w:rsidRPr="005B2032">
        <w:rPr>
          <w:rFonts w:asciiTheme="majorBidi" w:hAnsiTheme="majorBidi" w:cstheme="majorBidi"/>
          <w:szCs w:val="24"/>
        </w:rPr>
        <w:t>7 млрд.</w:t>
      </w:r>
      <w:r w:rsidR="00437BE2">
        <w:rPr>
          <w:rFonts w:asciiTheme="majorBidi" w:hAnsiTheme="majorBidi" w:cstheme="majorBidi"/>
          <w:szCs w:val="24"/>
        </w:rPr>
        <w:t xml:space="preserve"> лв</w:t>
      </w:r>
      <w:r w:rsidRPr="005B2032">
        <w:rPr>
          <w:rFonts w:asciiTheme="majorBidi" w:hAnsiTheme="majorBidi" w:cstheme="majorBidi"/>
          <w:szCs w:val="24"/>
          <w:lang w:val="en-US"/>
        </w:rPr>
        <w:t xml:space="preserve">. </w:t>
      </w:r>
      <w:r w:rsidRPr="005B2032">
        <w:rPr>
          <w:rFonts w:asciiTheme="majorBidi" w:hAnsiTheme="majorBidi" w:cstheme="majorBidi"/>
          <w:szCs w:val="24"/>
        </w:rPr>
        <w:t>Допусканията показват, че регламентираните законови ограничения, както и очакваните гъвкави схеми за финансиране на общините през новия програмен период ще запазят нег</w:t>
      </w:r>
      <w:r w:rsidR="00B87540">
        <w:rPr>
          <w:rFonts w:asciiTheme="majorBidi" w:hAnsiTheme="majorBidi" w:cstheme="majorBidi"/>
          <w:szCs w:val="24"/>
        </w:rPr>
        <w:t>овият дял в рамките от около 1</w:t>
      </w:r>
      <w:r w:rsidRPr="005B2032">
        <w:rPr>
          <w:rFonts w:asciiTheme="majorBidi" w:hAnsiTheme="majorBidi" w:cstheme="majorBidi"/>
          <w:szCs w:val="24"/>
        </w:rPr>
        <w:t>% през 2021</w:t>
      </w:r>
      <w:r w:rsidR="00DF07FD">
        <w:rPr>
          <w:rFonts w:asciiTheme="majorBidi" w:hAnsiTheme="majorBidi" w:cstheme="majorBidi"/>
          <w:szCs w:val="24"/>
        </w:rPr>
        <w:t> г.</w:t>
      </w:r>
      <w:r w:rsidRPr="005B2032">
        <w:rPr>
          <w:rFonts w:asciiTheme="majorBidi" w:hAnsiTheme="majorBidi" w:cstheme="majorBidi"/>
          <w:szCs w:val="24"/>
        </w:rPr>
        <w:t xml:space="preserve"> до 1</w:t>
      </w:r>
      <w:r w:rsidR="00B87540">
        <w:rPr>
          <w:rFonts w:asciiTheme="majorBidi" w:hAnsiTheme="majorBidi" w:cstheme="majorBidi"/>
          <w:szCs w:val="24"/>
        </w:rPr>
        <w:t>.</w:t>
      </w:r>
      <w:r w:rsidRPr="005B2032">
        <w:rPr>
          <w:rFonts w:asciiTheme="majorBidi" w:hAnsiTheme="majorBidi" w:cstheme="majorBidi"/>
          <w:szCs w:val="24"/>
        </w:rPr>
        <w:t>3% от БВП през 2025</w:t>
      </w:r>
      <w:r w:rsidR="00DF07FD">
        <w:rPr>
          <w:rFonts w:asciiTheme="majorBidi" w:hAnsiTheme="majorBidi" w:cstheme="majorBidi"/>
          <w:szCs w:val="24"/>
        </w:rPr>
        <w:t> г.</w:t>
      </w:r>
      <w:r w:rsidRPr="005B2032">
        <w:rPr>
          <w:rFonts w:asciiTheme="majorBidi" w:hAnsiTheme="majorBidi" w:cstheme="majorBidi"/>
          <w:szCs w:val="24"/>
        </w:rPr>
        <w:t xml:space="preserve"> Ограниченията, залегнали в Закона за публичните финанси и Закона за общинския дълг предвиждат годишният размер на плащанията по общинския дълг за всяка община във всяка отделна година да не може да надвишава 15 на сто от средногодишния размер на собствените приходи и общата изравнителна субсидия за последните три години, изчислен на базата на данни от годишните отчети за изпълнението на бюджета на общината, както и </w:t>
      </w:r>
      <w:r w:rsidRPr="005B2032">
        <w:rPr>
          <w:rFonts w:asciiTheme="majorBidi" w:hAnsiTheme="majorBidi" w:cstheme="majorBidi"/>
          <w:szCs w:val="24"/>
          <w:lang w:val="x-none"/>
        </w:rPr>
        <w:t>че в рамките на текущата бюджетна година общините могат да поемат нов дълг за реализиране на дългосрочни договори с гарантиран резултат (ЕСКО договори) в размер до 15 на сто от средногодишния размер на отчетените капиталови разходи за последните четири години по съответния общински бюджет</w:t>
      </w:r>
      <w:r w:rsidRPr="005B2032">
        <w:rPr>
          <w:rFonts w:asciiTheme="majorBidi" w:hAnsiTheme="majorBidi" w:cstheme="majorBidi"/>
          <w:szCs w:val="24"/>
        </w:rPr>
        <w:t xml:space="preserve">. </w:t>
      </w:r>
    </w:p>
    <w:p w14:paraId="3D85FED8" w14:textId="262CE1A4" w:rsidR="00E63FF4" w:rsidRPr="005B2032" w:rsidRDefault="00E63FF4" w:rsidP="00B87540">
      <w:pPr>
        <w:rPr>
          <w:rFonts w:asciiTheme="majorBidi" w:hAnsiTheme="majorBidi" w:cstheme="majorBidi"/>
          <w:szCs w:val="24"/>
        </w:rPr>
      </w:pPr>
      <w:r w:rsidRPr="005B2032">
        <w:rPr>
          <w:rFonts w:asciiTheme="majorBidi" w:hAnsiTheme="majorBidi" w:cstheme="majorBidi"/>
          <w:szCs w:val="24"/>
        </w:rPr>
        <w:t xml:space="preserve">Подсектор „Социално-осигурителни фондове“ няма дългови задължения и през следващите години не се предвижда да поема нови такива. Подсекторът ще продължи да оказва </w:t>
      </w:r>
      <w:r w:rsidRPr="005B2032">
        <w:rPr>
          <w:rFonts w:asciiTheme="majorBidi" w:hAnsiTheme="majorBidi" w:cstheme="majorBidi"/>
          <w:szCs w:val="24"/>
        </w:rPr>
        <w:lastRenderedPageBreak/>
        <w:t>своето влияние в посока редуциране на консолидирания дълг на сектор „Държавно управление“ посредством акумулирането на финансови активи под формата на ДЦК, издадени от подсектор „Централно управление“. За 2021</w:t>
      </w:r>
      <w:r w:rsidR="00DF07FD">
        <w:rPr>
          <w:rFonts w:asciiTheme="majorBidi" w:hAnsiTheme="majorBidi" w:cstheme="majorBidi"/>
          <w:szCs w:val="24"/>
        </w:rPr>
        <w:t> г.</w:t>
      </w:r>
      <w:r w:rsidRPr="005B2032">
        <w:rPr>
          <w:rFonts w:asciiTheme="majorBidi" w:hAnsiTheme="majorBidi" w:cstheme="majorBidi"/>
          <w:szCs w:val="24"/>
        </w:rPr>
        <w:t xml:space="preserve"> същите възлизат в размер на около 370 млн. лв.</w:t>
      </w:r>
    </w:p>
    <w:p w14:paraId="588E855A" w14:textId="3863E16E" w:rsidR="00E63FF4" w:rsidRPr="005B2032" w:rsidRDefault="00E63FF4" w:rsidP="00B87540">
      <w:pPr>
        <w:rPr>
          <w:rFonts w:asciiTheme="majorBidi" w:hAnsiTheme="majorBidi" w:cstheme="majorBidi"/>
          <w:szCs w:val="24"/>
        </w:rPr>
      </w:pPr>
      <w:r w:rsidRPr="005B2032">
        <w:rPr>
          <w:rFonts w:asciiTheme="majorBidi" w:hAnsiTheme="majorBidi" w:cstheme="majorBidi"/>
          <w:szCs w:val="24"/>
        </w:rPr>
        <w:t>Отчитайки прогнозите за размера на дълга на подсекторите „Местно управление“ и „Социално</w:t>
      </w:r>
      <w:r w:rsidR="00D7721F">
        <w:rPr>
          <w:rFonts w:asciiTheme="majorBidi" w:hAnsiTheme="majorBidi" w:cstheme="majorBidi"/>
          <w:szCs w:val="24"/>
          <w:lang w:val="en-US"/>
        </w:rPr>
        <w:t>-</w:t>
      </w:r>
      <w:r w:rsidRPr="005B2032">
        <w:rPr>
          <w:rFonts w:asciiTheme="majorBidi" w:hAnsiTheme="majorBidi" w:cstheme="majorBidi"/>
          <w:szCs w:val="24"/>
        </w:rPr>
        <w:t>осигурителни фондове“ в периода 2022</w:t>
      </w:r>
      <w:r w:rsidR="008010F6">
        <w:rPr>
          <w:rFonts w:cstheme="minorHAnsi"/>
          <w:lang w:val="en-US"/>
        </w:rPr>
        <w:t>–</w:t>
      </w:r>
      <w:r w:rsidRPr="005B2032">
        <w:rPr>
          <w:rFonts w:asciiTheme="majorBidi" w:hAnsiTheme="majorBidi" w:cstheme="majorBidi"/>
          <w:szCs w:val="24"/>
        </w:rPr>
        <w:t>2025</w:t>
      </w:r>
      <w:r w:rsidR="00DF07FD">
        <w:rPr>
          <w:rFonts w:asciiTheme="majorBidi" w:hAnsiTheme="majorBidi" w:cstheme="majorBidi"/>
          <w:szCs w:val="24"/>
        </w:rPr>
        <w:t> г.</w:t>
      </w:r>
      <w:r w:rsidRPr="005B2032">
        <w:rPr>
          <w:rFonts w:asciiTheme="majorBidi" w:hAnsiTheme="majorBidi" w:cstheme="majorBidi"/>
          <w:szCs w:val="24"/>
        </w:rPr>
        <w:t xml:space="preserve"> не се очаква негативно влияние на тези подсектори при измерване на дълговата тежест на сектор „Държавно управление“. </w:t>
      </w:r>
    </w:p>
    <w:p w14:paraId="54175D08" w14:textId="34A23724" w:rsidR="008C7B61" w:rsidRPr="005B2032" w:rsidRDefault="00B87540" w:rsidP="00112D71">
      <w:pPr>
        <w:pStyle w:val="Caption"/>
      </w:pPr>
      <w:r>
        <w:t xml:space="preserve">Табл. 3-1: </w:t>
      </w:r>
      <w:r w:rsidR="00437BE2">
        <w:tab/>
      </w:r>
      <w:r>
        <w:t>Приходи от приватизация и следприватизационен контрол</w:t>
      </w:r>
      <w:r w:rsidR="008C7B61" w:rsidRPr="005B2032">
        <w:tab/>
      </w:r>
      <w:r w:rsidR="005C5444">
        <w:br/>
        <w:t xml:space="preserve">по централния бюджет, </w:t>
      </w:r>
      <w:r w:rsidR="005C5444" w:rsidRPr="005C5444">
        <w:t>млн.</w:t>
      </w:r>
      <w:r w:rsidR="005C5444">
        <w:t xml:space="preserve"> </w:t>
      </w:r>
      <w:r w:rsidR="005C5444" w:rsidRPr="005C5444">
        <w:t>лв.</w:t>
      </w:r>
      <w:r w:rsidR="008C7B61" w:rsidRPr="005B2032">
        <w:tab/>
      </w:r>
    </w:p>
    <w:tbl>
      <w:tblPr>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1E0" w:firstRow="1" w:lastRow="1" w:firstColumn="1" w:lastColumn="1" w:noHBand="0" w:noVBand="0"/>
      </w:tblPr>
      <w:tblGrid>
        <w:gridCol w:w="1812"/>
        <w:gridCol w:w="1812"/>
        <w:gridCol w:w="1813"/>
        <w:gridCol w:w="1813"/>
        <w:gridCol w:w="1814"/>
      </w:tblGrid>
      <w:tr w:rsidR="005C5444" w:rsidRPr="009A3730" w14:paraId="0BC714F6" w14:textId="77777777" w:rsidTr="005F493B">
        <w:trPr>
          <w:trHeight w:val="397"/>
          <w:jc w:val="center"/>
        </w:trPr>
        <w:tc>
          <w:tcPr>
            <w:tcW w:w="1358" w:type="dxa"/>
            <w:shd w:val="clear" w:color="auto" w:fill="D7D4F1"/>
            <w:vAlign w:val="center"/>
          </w:tcPr>
          <w:p w14:paraId="2DD354A6" w14:textId="469B4A16" w:rsidR="005C5444" w:rsidRPr="009A3730" w:rsidRDefault="005C5444" w:rsidP="005F493B">
            <w:pPr>
              <w:tabs>
                <w:tab w:val="left" w:pos="2736"/>
              </w:tabs>
              <w:spacing w:after="0"/>
              <w:jc w:val="center"/>
              <w:rPr>
                <w:b/>
                <w:bCs/>
                <w:sz w:val="20"/>
                <w:szCs w:val="24"/>
              </w:rPr>
            </w:pPr>
            <w:r w:rsidRPr="009A3730">
              <w:rPr>
                <w:b/>
                <w:bCs/>
                <w:sz w:val="20"/>
                <w:szCs w:val="24"/>
              </w:rPr>
              <w:t>Отчет 2021 г.</w:t>
            </w:r>
          </w:p>
        </w:tc>
        <w:tc>
          <w:tcPr>
            <w:tcW w:w="1358" w:type="dxa"/>
            <w:shd w:val="clear" w:color="auto" w:fill="D7D4F1"/>
            <w:vAlign w:val="center"/>
          </w:tcPr>
          <w:p w14:paraId="1F631D07" w14:textId="4E7618EA" w:rsidR="005C5444" w:rsidRPr="009A3730" w:rsidRDefault="005C5444" w:rsidP="005F493B">
            <w:pPr>
              <w:tabs>
                <w:tab w:val="left" w:pos="2736"/>
              </w:tabs>
              <w:spacing w:after="0"/>
              <w:jc w:val="center"/>
              <w:rPr>
                <w:b/>
                <w:bCs/>
                <w:sz w:val="20"/>
                <w:szCs w:val="24"/>
              </w:rPr>
            </w:pPr>
            <w:r w:rsidRPr="009A3730">
              <w:rPr>
                <w:b/>
                <w:bCs/>
                <w:sz w:val="20"/>
                <w:szCs w:val="24"/>
              </w:rPr>
              <w:t>ЗДБРБ 2022 г.</w:t>
            </w:r>
          </w:p>
        </w:tc>
        <w:tc>
          <w:tcPr>
            <w:tcW w:w="1358" w:type="dxa"/>
            <w:shd w:val="clear" w:color="auto" w:fill="D7D4F1"/>
            <w:vAlign w:val="center"/>
          </w:tcPr>
          <w:p w14:paraId="385D5C47" w14:textId="23A6AA91" w:rsidR="005C5444" w:rsidRPr="009A3730" w:rsidRDefault="005C5444" w:rsidP="005F493B">
            <w:pPr>
              <w:tabs>
                <w:tab w:val="left" w:pos="2736"/>
              </w:tabs>
              <w:spacing w:after="0"/>
              <w:jc w:val="center"/>
              <w:rPr>
                <w:b/>
                <w:bCs/>
                <w:sz w:val="20"/>
                <w:szCs w:val="24"/>
              </w:rPr>
            </w:pPr>
            <w:r w:rsidRPr="009A3730">
              <w:rPr>
                <w:b/>
                <w:bCs/>
                <w:sz w:val="20"/>
                <w:szCs w:val="24"/>
              </w:rPr>
              <w:t>Прогноза 2023 г.</w:t>
            </w:r>
          </w:p>
        </w:tc>
        <w:tc>
          <w:tcPr>
            <w:tcW w:w="1358" w:type="dxa"/>
            <w:shd w:val="clear" w:color="auto" w:fill="D7D4F1"/>
            <w:vAlign w:val="center"/>
          </w:tcPr>
          <w:p w14:paraId="70A9D540" w14:textId="4BEA432F" w:rsidR="005C5444" w:rsidRPr="009A3730" w:rsidRDefault="005C5444" w:rsidP="005F493B">
            <w:pPr>
              <w:tabs>
                <w:tab w:val="left" w:pos="2736"/>
              </w:tabs>
              <w:spacing w:after="0"/>
              <w:jc w:val="center"/>
              <w:rPr>
                <w:b/>
                <w:bCs/>
                <w:sz w:val="20"/>
                <w:szCs w:val="24"/>
              </w:rPr>
            </w:pPr>
            <w:r w:rsidRPr="009A3730">
              <w:rPr>
                <w:b/>
                <w:bCs/>
                <w:sz w:val="20"/>
                <w:szCs w:val="24"/>
              </w:rPr>
              <w:t>Прогноза 2024 г.</w:t>
            </w:r>
          </w:p>
        </w:tc>
        <w:tc>
          <w:tcPr>
            <w:tcW w:w="1359" w:type="dxa"/>
            <w:shd w:val="clear" w:color="auto" w:fill="D7D4F1"/>
            <w:vAlign w:val="center"/>
          </w:tcPr>
          <w:p w14:paraId="3E66E0B3" w14:textId="752038FD" w:rsidR="005C5444" w:rsidRPr="009A3730" w:rsidRDefault="005C5444" w:rsidP="005F493B">
            <w:pPr>
              <w:tabs>
                <w:tab w:val="left" w:pos="2736"/>
              </w:tabs>
              <w:spacing w:after="0"/>
              <w:jc w:val="center"/>
              <w:rPr>
                <w:b/>
                <w:bCs/>
                <w:sz w:val="20"/>
                <w:szCs w:val="24"/>
              </w:rPr>
            </w:pPr>
            <w:r w:rsidRPr="009A3730">
              <w:rPr>
                <w:b/>
                <w:bCs/>
                <w:sz w:val="20"/>
                <w:szCs w:val="24"/>
              </w:rPr>
              <w:t>Прогноза 2025 г.</w:t>
            </w:r>
          </w:p>
        </w:tc>
      </w:tr>
      <w:tr w:rsidR="005C5444" w:rsidRPr="009A3730" w14:paraId="5E1022A5" w14:textId="77777777" w:rsidTr="005F493B">
        <w:trPr>
          <w:trHeight w:val="397"/>
          <w:jc w:val="center"/>
        </w:trPr>
        <w:tc>
          <w:tcPr>
            <w:tcW w:w="1358" w:type="dxa"/>
            <w:shd w:val="clear" w:color="auto" w:fill="auto"/>
            <w:vAlign w:val="center"/>
          </w:tcPr>
          <w:p w14:paraId="7EF4395E" w14:textId="6F753730" w:rsidR="005C5444" w:rsidRPr="009A3730" w:rsidRDefault="005C5444" w:rsidP="005F493B">
            <w:pPr>
              <w:tabs>
                <w:tab w:val="left" w:pos="2736"/>
              </w:tabs>
              <w:spacing w:after="0"/>
              <w:ind w:left="55"/>
              <w:jc w:val="center"/>
              <w:rPr>
                <w:bCs/>
                <w:sz w:val="20"/>
                <w:szCs w:val="24"/>
                <w:highlight w:val="yellow"/>
              </w:rPr>
            </w:pPr>
            <w:r w:rsidRPr="009A3730">
              <w:rPr>
                <w:bCs/>
                <w:sz w:val="20"/>
                <w:szCs w:val="24"/>
              </w:rPr>
              <w:t>8.5</w:t>
            </w:r>
          </w:p>
        </w:tc>
        <w:tc>
          <w:tcPr>
            <w:tcW w:w="1358" w:type="dxa"/>
            <w:shd w:val="clear" w:color="auto" w:fill="auto"/>
            <w:vAlign w:val="center"/>
          </w:tcPr>
          <w:p w14:paraId="7A49C1E8" w14:textId="0F599F58" w:rsidR="005C5444" w:rsidRPr="009A3730" w:rsidRDefault="005C5444" w:rsidP="005F493B">
            <w:pPr>
              <w:tabs>
                <w:tab w:val="left" w:pos="2736"/>
              </w:tabs>
              <w:spacing w:after="0"/>
              <w:ind w:left="55"/>
              <w:jc w:val="center"/>
              <w:rPr>
                <w:bCs/>
                <w:sz w:val="20"/>
                <w:szCs w:val="24"/>
                <w:highlight w:val="yellow"/>
              </w:rPr>
            </w:pPr>
            <w:r w:rsidRPr="009A3730">
              <w:rPr>
                <w:bCs/>
                <w:sz w:val="20"/>
                <w:szCs w:val="24"/>
              </w:rPr>
              <w:t>1.0</w:t>
            </w:r>
          </w:p>
        </w:tc>
        <w:tc>
          <w:tcPr>
            <w:tcW w:w="1358" w:type="dxa"/>
            <w:shd w:val="clear" w:color="auto" w:fill="auto"/>
            <w:vAlign w:val="center"/>
          </w:tcPr>
          <w:p w14:paraId="7AA0DDBC" w14:textId="28234BCA" w:rsidR="005C5444" w:rsidRPr="009A3730" w:rsidRDefault="005C5444" w:rsidP="005F493B">
            <w:pPr>
              <w:tabs>
                <w:tab w:val="left" w:pos="2736"/>
              </w:tabs>
              <w:spacing w:after="0"/>
              <w:ind w:left="-51"/>
              <w:jc w:val="center"/>
              <w:rPr>
                <w:bCs/>
                <w:sz w:val="20"/>
                <w:szCs w:val="24"/>
              </w:rPr>
            </w:pPr>
            <w:r w:rsidRPr="009A3730">
              <w:rPr>
                <w:sz w:val="20"/>
                <w:szCs w:val="24"/>
              </w:rPr>
              <w:t>0.8</w:t>
            </w:r>
          </w:p>
        </w:tc>
        <w:tc>
          <w:tcPr>
            <w:tcW w:w="1358" w:type="dxa"/>
            <w:shd w:val="clear" w:color="auto" w:fill="auto"/>
            <w:vAlign w:val="center"/>
          </w:tcPr>
          <w:p w14:paraId="08676A43" w14:textId="29AF1ADE" w:rsidR="005C5444" w:rsidRPr="009A3730" w:rsidRDefault="005C5444" w:rsidP="005F493B">
            <w:pPr>
              <w:tabs>
                <w:tab w:val="left" w:pos="2736"/>
              </w:tabs>
              <w:spacing w:after="0"/>
              <w:jc w:val="center"/>
              <w:rPr>
                <w:bCs/>
                <w:sz w:val="20"/>
                <w:szCs w:val="24"/>
              </w:rPr>
            </w:pPr>
            <w:r w:rsidRPr="009A3730">
              <w:rPr>
                <w:sz w:val="20"/>
                <w:szCs w:val="24"/>
              </w:rPr>
              <w:t>0.5</w:t>
            </w:r>
          </w:p>
        </w:tc>
        <w:tc>
          <w:tcPr>
            <w:tcW w:w="1359" w:type="dxa"/>
            <w:shd w:val="clear" w:color="auto" w:fill="auto"/>
            <w:vAlign w:val="center"/>
          </w:tcPr>
          <w:p w14:paraId="026454A6" w14:textId="75049C81" w:rsidR="005C5444" w:rsidRPr="009A3730" w:rsidRDefault="005C5444" w:rsidP="005F493B">
            <w:pPr>
              <w:tabs>
                <w:tab w:val="left" w:pos="2736"/>
              </w:tabs>
              <w:spacing w:after="0"/>
              <w:jc w:val="center"/>
              <w:rPr>
                <w:bCs/>
                <w:sz w:val="20"/>
                <w:szCs w:val="24"/>
              </w:rPr>
            </w:pPr>
            <w:r w:rsidRPr="009A3730">
              <w:rPr>
                <w:sz w:val="20"/>
                <w:szCs w:val="24"/>
              </w:rPr>
              <w:t>0.4</w:t>
            </w:r>
          </w:p>
        </w:tc>
      </w:tr>
    </w:tbl>
    <w:p w14:paraId="1EBF29C6" w14:textId="77777777" w:rsidR="00112D71" w:rsidRDefault="00112D71" w:rsidP="00D661BA"/>
    <w:p w14:paraId="2E1FF20E" w14:textId="1AF75D33" w:rsidR="008C7B61" w:rsidRPr="005B2032" w:rsidRDefault="008C7B61" w:rsidP="00D67B5D">
      <w:r w:rsidRPr="005B2032">
        <w:t>Заложените в таблицата стойности са на база прогноза за постъпленията от приватизация и следприватизационен контрол за периода 2023</w:t>
      </w:r>
      <w:r w:rsidR="008010F6">
        <w:rPr>
          <w:rFonts w:cstheme="minorHAnsi"/>
          <w:lang w:val="en-US"/>
        </w:rPr>
        <w:t>–</w:t>
      </w:r>
      <w:r w:rsidRPr="005B2032">
        <w:t>2025</w:t>
      </w:r>
      <w:r w:rsidR="00DF07FD">
        <w:t> г.</w:t>
      </w:r>
      <w:r w:rsidRPr="005B2032">
        <w:t xml:space="preserve">, изготвена през </w:t>
      </w:r>
      <w:r w:rsidRPr="005B2032">
        <w:br/>
        <w:t>м. февруари 2022</w:t>
      </w:r>
      <w:r w:rsidR="00DF07FD">
        <w:t> г.</w:t>
      </w:r>
      <w:r w:rsidRPr="005B2032">
        <w:t xml:space="preserve"> от Агенция за публичните предприятия и контрол. </w:t>
      </w:r>
    </w:p>
    <w:p w14:paraId="1A95D835" w14:textId="77777777" w:rsidR="008C7B61" w:rsidRPr="005B2032" w:rsidRDefault="008C7B61" w:rsidP="00D661BA">
      <w:r w:rsidRPr="005B2032">
        <w:t xml:space="preserve">Основните приходи по години, се очакват от продажбата на: </w:t>
      </w:r>
    </w:p>
    <w:p w14:paraId="019429EC" w14:textId="48845EFB" w:rsidR="008C7B61" w:rsidRPr="0014349B" w:rsidRDefault="008C7B61" w:rsidP="005F0B57">
      <w:pPr>
        <w:pStyle w:val="ListParagraph"/>
        <w:numPr>
          <w:ilvl w:val="0"/>
          <w:numId w:val="10"/>
        </w:numPr>
        <w:tabs>
          <w:tab w:val="clear" w:pos="680"/>
        </w:tabs>
        <w:ind w:left="567" w:hanging="283"/>
        <w:rPr>
          <w:rFonts w:eastAsia="Times New Roman"/>
          <w:spacing w:val="-8"/>
          <w:szCs w:val="24"/>
          <w:lang w:eastAsia="zh-CN"/>
        </w:rPr>
      </w:pPr>
      <w:r w:rsidRPr="0014349B">
        <w:rPr>
          <w:rFonts w:eastAsia="Times New Roman"/>
          <w:spacing w:val="-8"/>
          <w:szCs w:val="24"/>
          <w:lang w:eastAsia="zh-CN"/>
        </w:rPr>
        <w:t>2023</w:t>
      </w:r>
      <w:r w:rsidR="00DF07FD" w:rsidRPr="0014349B">
        <w:rPr>
          <w:rFonts w:eastAsia="Times New Roman"/>
          <w:spacing w:val="-8"/>
          <w:szCs w:val="24"/>
          <w:lang w:eastAsia="zh-CN"/>
        </w:rPr>
        <w:t> г.</w:t>
      </w:r>
      <w:r w:rsidRPr="0014349B">
        <w:rPr>
          <w:rFonts w:eastAsia="Times New Roman"/>
          <w:spacing w:val="-8"/>
          <w:szCs w:val="24"/>
          <w:lang w:eastAsia="zh-CN"/>
        </w:rPr>
        <w:t xml:space="preserve"> – обособени части</w:t>
      </w:r>
      <w:r w:rsidR="009C0E16" w:rsidRPr="0014349B">
        <w:rPr>
          <w:rFonts w:eastAsia="Times New Roman"/>
          <w:spacing w:val="-8"/>
          <w:szCs w:val="24"/>
          <w:lang w:eastAsia="zh-CN"/>
        </w:rPr>
        <w:t xml:space="preserve"> </w:t>
      </w:r>
      <w:r w:rsidRPr="0014349B">
        <w:rPr>
          <w:rFonts w:eastAsia="Times New Roman"/>
          <w:spacing w:val="-8"/>
          <w:szCs w:val="24"/>
          <w:lang w:eastAsia="zh-CN"/>
        </w:rPr>
        <w:t>(0,6 млн. лв.), имоти –</w:t>
      </w:r>
      <w:r w:rsidR="00D25724" w:rsidRPr="0014349B">
        <w:rPr>
          <w:rFonts w:eastAsia="Times New Roman"/>
          <w:spacing w:val="-8"/>
          <w:szCs w:val="24"/>
          <w:lang w:eastAsia="zh-CN"/>
        </w:rPr>
        <w:t xml:space="preserve"> частна държавна собственост (0.</w:t>
      </w:r>
      <w:r w:rsidRPr="0014349B">
        <w:rPr>
          <w:rFonts w:eastAsia="Times New Roman"/>
          <w:spacing w:val="-8"/>
          <w:szCs w:val="24"/>
          <w:lang w:eastAsia="zh-CN"/>
        </w:rPr>
        <w:t>2 млн. лв.);</w:t>
      </w:r>
    </w:p>
    <w:p w14:paraId="2C18ECD8" w14:textId="466934F4" w:rsidR="008C7B61" w:rsidRPr="0014349B" w:rsidRDefault="008C7B61" w:rsidP="005F0B57">
      <w:pPr>
        <w:pStyle w:val="ListParagraph"/>
        <w:numPr>
          <w:ilvl w:val="0"/>
          <w:numId w:val="10"/>
        </w:numPr>
        <w:tabs>
          <w:tab w:val="clear" w:pos="680"/>
        </w:tabs>
        <w:ind w:left="567" w:hanging="283"/>
        <w:rPr>
          <w:rFonts w:eastAsia="Times New Roman"/>
          <w:spacing w:val="-8"/>
          <w:szCs w:val="24"/>
          <w:lang w:eastAsia="zh-CN"/>
        </w:rPr>
      </w:pPr>
      <w:r w:rsidRPr="0014349B">
        <w:rPr>
          <w:rFonts w:eastAsia="Times New Roman"/>
          <w:spacing w:val="-8"/>
          <w:szCs w:val="24"/>
          <w:lang w:eastAsia="zh-CN"/>
        </w:rPr>
        <w:t>2024</w:t>
      </w:r>
      <w:r w:rsidR="00DF07FD" w:rsidRPr="0014349B">
        <w:rPr>
          <w:rFonts w:eastAsia="Times New Roman"/>
          <w:spacing w:val="-8"/>
          <w:szCs w:val="24"/>
          <w:lang w:eastAsia="zh-CN"/>
        </w:rPr>
        <w:t> г.</w:t>
      </w:r>
      <w:r w:rsidRPr="0014349B">
        <w:rPr>
          <w:rFonts w:eastAsia="Times New Roman"/>
          <w:spacing w:val="-8"/>
          <w:szCs w:val="24"/>
          <w:lang w:eastAsia="zh-CN"/>
        </w:rPr>
        <w:t xml:space="preserve"> – имоти</w:t>
      </w:r>
      <w:r w:rsidR="00D25724" w:rsidRPr="0014349B">
        <w:rPr>
          <w:rFonts w:eastAsia="Times New Roman"/>
          <w:spacing w:val="-8"/>
          <w:szCs w:val="24"/>
          <w:lang w:eastAsia="zh-CN"/>
        </w:rPr>
        <w:t>-частна държавна собственост (0.4 млн. лв.), обособени части (0.</w:t>
      </w:r>
      <w:r w:rsidRPr="0014349B">
        <w:rPr>
          <w:rFonts w:eastAsia="Times New Roman"/>
          <w:spacing w:val="-8"/>
          <w:szCs w:val="24"/>
          <w:lang w:eastAsia="zh-CN"/>
        </w:rPr>
        <w:t>1 млн. лв.);</w:t>
      </w:r>
    </w:p>
    <w:p w14:paraId="5342F775" w14:textId="1267CF60" w:rsidR="008C7B61" w:rsidRPr="0014349B" w:rsidRDefault="008C7B61" w:rsidP="005F0B57">
      <w:pPr>
        <w:pStyle w:val="ListParagraph"/>
        <w:numPr>
          <w:ilvl w:val="0"/>
          <w:numId w:val="10"/>
        </w:numPr>
        <w:tabs>
          <w:tab w:val="clear" w:pos="680"/>
        </w:tabs>
        <w:ind w:left="567" w:hanging="283"/>
        <w:rPr>
          <w:rFonts w:eastAsia="Times New Roman"/>
          <w:spacing w:val="-8"/>
          <w:szCs w:val="24"/>
          <w:lang w:eastAsia="zh-CN"/>
        </w:rPr>
      </w:pPr>
      <w:r w:rsidRPr="0014349B">
        <w:rPr>
          <w:rFonts w:eastAsia="Times New Roman"/>
          <w:spacing w:val="-8"/>
          <w:szCs w:val="24"/>
          <w:lang w:eastAsia="zh-CN"/>
        </w:rPr>
        <w:t>2025</w:t>
      </w:r>
      <w:r w:rsidR="00DF07FD" w:rsidRPr="0014349B">
        <w:rPr>
          <w:rFonts w:eastAsia="Times New Roman"/>
          <w:spacing w:val="-8"/>
          <w:szCs w:val="24"/>
          <w:lang w:eastAsia="zh-CN"/>
        </w:rPr>
        <w:t> г.</w:t>
      </w:r>
      <w:r w:rsidRPr="0014349B">
        <w:rPr>
          <w:rFonts w:eastAsia="Times New Roman"/>
          <w:spacing w:val="-8"/>
          <w:szCs w:val="24"/>
          <w:lang w:eastAsia="zh-CN"/>
        </w:rPr>
        <w:t xml:space="preserve"> – имоти-частна държавна </w:t>
      </w:r>
      <w:r w:rsidR="00D25724" w:rsidRPr="0014349B">
        <w:rPr>
          <w:rFonts w:eastAsia="Times New Roman"/>
          <w:spacing w:val="-8"/>
          <w:szCs w:val="24"/>
          <w:lang w:eastAsia="zh-CN"/>
        </w:rPr>
        <w:t>собственост (0.3 млн. лв.), обособени части (0.</w:t>
      </w:r>
      <w:r w:rsidRPr="0014349B">
        <w:rPr>
          <w:rFonts w:eastAsia="Times New Roman"/>
          <w:spacing w:val="-8"/>
          <w:szCs w:val="24"/>
          <w:lang w:eastAsia="zh-CN"/>
        </w:rPr>
        <w:t>1 млн. лв.).</w:t>
      </w:r>
    </w:p>
    <w:p w14:paraId="077A1FD2" w14:textId="05E3A87B" w:rsidR="006109E4" w:rsidRPr="005B2032" w:rsidRDefault="008C7B61" w:rsidP="00D67B5D">
      <w:pPr>
        <w:rPr>
          <w:rFonts w:asciiTheme="minorHAnsi" w:hAnsiTheme="minorHAnsi" w:cstheme="minorHAnsi"/>
        </w:rPr>
      </w:pPr>
      <w:r w:rsidRPr="005B2032">
        <w:t>Очакват се и постъпления от осъществяване на следприватизационен контрол по сключени приватизационни договори.</w:t>
      </w:r>
    </w:p>
    <w:p w14:paraId="345CA459" w14:textId="77777777" w:rsidR="003E07B2" w:rsidRPr="00D661BA" w:rsidRDefault="00D359FF" w:rsidP="00D661BA">
      <w:pPr>
        <w:pStyle w:val="Heading2"/>
      </w:pPr>
      <w:bookmarkStart w:id="78" w:name="_Toc352851598"/>
      <w:bookmarkStart w:id="79" w:name="_Toc448227287"/>
      <w:bookmarkStart w:id="80" w:name="_Toc479332435"/>
      <w:bookmarkStart w:id="81" w:name="_Toc100906073"/>
      <w:bookmarkEnd w:id="76"/>
      <w:bookmarkEnd w:id="77"/>
      <w:r w:rsidRPr="00D661BA">
        <w:t xml:space="preserve">Ефекти върху бюджета от провеждането на основни </w:t>
      </w:r>
      <w:r w:rsidR="004C3633" w:rsidRPr="00D661BA">
        <w:br/>
      </w:r>
      <w:r w:rsidRPr="00D661BA">
        <w:t>структурни реформи</w:t>
      </w:r>
      <w:bookmarkStart w:id="82" w:name="_Toc385006966"/>
      <w:bookmarkStart w:id="83" w:name="_Toc417035470"/>
      <w:bookmarkEnd w:id="78"/>
      <w:bookmarkEnd w:id="79"/>
      <w:bookmarkEnd w:id="80"/>
      <w:bookmarkEnd w:id="81"/>
    </w:p>
    <w:p w14:paraId="150D7797" w14:textId="11A0C11D" w:rsidR="00AF3271" w:rsidRPr="00D661BA" w:rsidRDefault="0008700F" w:rsidP="00D661BA">
      <w:pPr>
        <w:pStyle w:val="Heading3"/>
      </w:pPr>
      <w:r w:rsidRPr="00D661BA">
        <w:t>Ефекти върху разходната част на бюджета</w:t>
      </w:r>
      <w:bookmarkEnd w:id="82"/>
      <w:bookmarkEnd w:id="83"/>
    </w:p>
    <w:p w14:paraId="7F075AE5" w14:textId="22FDB278" w:rsidR="0081379D" w:rsidRPr="00887584" w:rsidRDefault="0081379D" w:rsidP="00D661BA">
      <w:pPr>
        <w:pStyle w:val="Heading4"/>
      </w:pPr>
      <w:r w:rsidRPr="00887584">
        <w:t>Пенсионна политика:</w:t>
      </w:r>
    </w:p>
    <w:p w14:paraId="3A1FB61C" w14:textId="531F7510" w:rsidR="00D96F36" w:rsidRPr="00887584" w:rsidRDefault="00D96F36" w:rsidP="00887584">
      <w:pPr>
        <w:rPr>
          <w:szCs w:val="24"/>
        </w:rPr>
      </w:pPr>
      <w:r w:rsidRPr="00887584">
        <w:rPr>
          <w:szCs w:val="24"/>
        </w:rPr>
        <w:t>Осигуряването на устойчивост на приетата през 2015</w:t>
      </w:r>
      <w:r w:rsidR="00DF07FD">
        <w:rPr>
          <w:szCs w:val="24"/>
        </w:rPr>
        <w:t> г.</w:t>
      </w:r>
      <w:r w:rsidRPr="00887584">
        <w:rPr>
          <w:szCs w:val="24"/>
        </w:rPr>
        <w:t xml:space="preserve"> пенсионна реформа допринася за стабилността на приходите в пенсионно-осигурителната система, както и да постигне по-голяма адекватност на пенсиите с оглед на демографските, икономическите и социални предизвикателства пред страната. Заложеното още през 2015</w:t>
      </w:r>
      <w:r w:rsidR="00DF07FD">
        <w:rPr>
          <w:szCs w:val="24"/>
        </w:rPr>
        <w:t> г.</w:t>
      </w:r>
      <w:r w:rsidRPr="00887584">
        <w:rPr>
          <w:szCs w:val="24"/>
        </w:rPr>
        <w:t xml:space="preserve"> увеличаване на пенсионната възраст и изискуемия осигурителен стаж допринася не само за повишаване стабилността на пенсионната система в дългосрочен план, но и за запазване солидарността между поколенията и намаляване на риска от бедност при възрастните пенсионери. Същевременно, през 2021</w:t>
      </w:r>
      <w:r w:rsidR="00DF07FD">
        <w:rPr>
          <w:szCs w:val="24"/>
        </w:rPr>
        <w:t> г.</w:t>
      </w:r>
      <w:r w:rsidRPr="00887584">
        <w:rPr>
          <w:szCs w:val="24"/>
        </w:rPr>
        <w:t xml:space="preserve"> бяха приети промени, допълнително повишаващи адекватността на пенсиите.</w:t>
      </w:r>
    </w:p>
    <w:p w14:paraId="4C7D8659" w14:textId="7C512A80" w:rsidR="0005795A" w:rsidRPr="00887584" w:rsidRDefault="0005795A" w:rsidP="00887584">
      <w:pPr>
        <w:shd w:val="clear" w:color="auto" w:fill="FFFFFF"/>
        <w:rPr>
          <w:szCs w:val="24"/>
        </w:rPr>
      </w:pPr>
      <w:r w:rsidRPr="00887584">
        <w:rPr>
          <w:szCs w:val="24"/>
        </w:rPr>
        <w:t>По-важните акценти за 2022</w:t>
      </w:r>
      <w:r w:rsidR="00DF07FD">
        <w:rPr>
          <w:szCs w:val="24"/>
        </w:rPr>
        <w:t> г.</w:t>
      </w:r>
      <w:r w:rsidRPr="00887584">
        <w:rPr>
          <w:szCs w:val="24"/>
        </w:rPr>
        <w:t xml:space="preserve"> са следните:</w:t>
      </w:r>
    </w:p>
    <w:p w14:paraId="45141648" w14:textId="2EE3FED0" w:rsidR="008B56DD" w:rsidRDefault="008B56DD" w:rsidP="008B56DD">
      <w:pPr>
        <w:pStyle w:val="ListParagraph"/>
        <w:numPr>
          <w:ilvl w:val="0"/>
          <w:numId w:val="10"/>
        </w:numPr>
        <w:tabs>
          <w:tab w:val="clear" w:pos="680"/>
        </w:tabs>
        <w:autoSpaceDE w:val="0"/>
        <w:autoSpaceDN w:val="0"/>
        <w:adjustRightInd w:val="0"/>
        <w:ind w:left="568" w:hanging="284"/>
        <w:contextualSpacing/>
        <w:rPr>
          <w:szCs w:val="24"/>
        </w:rPr>
      </w:pPr>
      <w:r w:rsidRPr="00887584">
        <w:rPr>
          <w:i/>
          <w:iCs/>
          <w:szCs w:val="24"/>
        </w:rPr>
        <w:t xml:space="preserve">Минималният размер на пенсията за осигурителен стаж и възраст </w:t>
      </w:r>
      <w:r w:rsidRPr="00887584">
        <w:rPr>
          <w:szCs w:val="24"/>
        </w:rPr>
        <w:t>за 2022 г. е увеличен от 300 на 370 лв., считано от 25 декември 2021 г</w:t>
      </w:r>
      <w:r>
        <w:rPr>
          <w:szCs w:val="24"/>
        </w:rPr>
        <w:t>, а от 1 юли 2022 г.</w:t>
      </w:r>
      <w:r w:rsidRPr="001A4FA9">
        <w:rPr>
          <w:szCs w:val="24"/>
        </w:rPr>
        <w:t xml:space="preserve"> с 6</w:t>
      </w:r>
      <w:r>
        <w:rPr>
          <w:szCs w:val="24"/>
          <w:lang w:val="en-US"/>
        </w:rPr>
        <w:t>.</w:t>
      </w:r>
      <w:r w:rsidRPr="001A4FA9">
        <w:rPr>
          <w:szCs w:val="24"/>
        </w:rPr>
        <w:t>1 на сто</w:t>
      </w:r>
      <w:r>
        <w:rPr>
          <w:szCs w:val="24"/>
        </w:rPr>
        <w:t>;</w:t>
      </w:r>
    </w:p>
    <w:p w14:paraId="2EA7B361" w14:textId="3B51D43A" w:rsidR="008B56DD" w:rsidRPr="000726EE" w:rsidRDefault="008B56DD" w:rsidP="008B56DD">
      <w:pPr>
        <w:pStyle w:val="ListParagraph"/>
        <w:numPr>
          <w:ilvl w:val="0"/>
          <w:numId w:val="10"/>
        </w:numPr>
        <w:tabs>
          <w:tab w:val="clear" w:pos="680"/>
        </w:tabs>
        <w:autoSpaceDE w:val="0"/>
        <w:autoSpaceDN w:val="0"/>
        <w:adjustRightInd w:val="0"/>
        <w:ind w:left="568" w:hanging="284"/>
        <w:contextualSpacing/>
        <w:rPr>
          <w:szCs w:val="24"/>
        </w:rPr>
      </w:pPr>
      <w:r>
        <w:rPr>
          <w:i/>
          <w:iCs/>
          <w:szCs w:val="24"/>
        </w:rPr>
        <w:t>Социалната</w:t>
      </w:r>
      <w:r w:rsidRPr="00887584">
        <w:rPr>
          <w:i/>
          <w:iCs/>
          <w:szCs w:val="24"/>
        </w:rPr>
        <w:t xml:space="preserve"> пенсия</w:t>
      </w:r>
      <w:r>
        <w:rPr>
          <w:i/>
          <w:iCs/>
          <w:szCs w:val="24"/>
        </w:rPr>
        <w:t xml:space="preserve"> </w:t>
      </w:r>
      <w:r w:rsidRPr="00887584">
        <w:rPr>
          <w:i/>
          <w:iCs/>
          <w:szCs w:val="24"/>
        </w:rPr>
        <w:t xml:space="preserve">за </w:t>
      </w:r>
      <w:r>
        <w:rPr>
          <w:i/>
          <w:iCs/>
          <w:szCs w:val="24"/>
        </w:rPr>
        <w:t xml:space="preserve">старост </w:t>
      </w:r>
      <w:r w:rsidRPr="00887584">
        <w:rPr>
          <w:szCs w:val="24"/>
        </w:rPr>
        <w:t xml:space="preserve"> е увеличен от </w:t>
      </w:r>
      <w:r>
        <w:rPr>
          <w:szCs w:val="24"/>
        </w:rPr>
        <w:t>148</w:t>
      </w:r>
      <w:r>
        <w:rPr>
          <w:szCs w:val="24"/>
          <w:lang w:val="en-US"/>
        </w:rPr>
        <w:t>.</w:t>
      </w:r>
      <w:r>
        <w:rPr>
          <w:szCs w:val="24"/>
        </w:rPr>
        <w:t>71</w:t>
      </w:r>
      <w:r w:rsidRPr="00887584">
        <w:rPr>
          <w:szCs w:val="24"/>
        </w:rPr>
        <w:t xml:space="preserve"> на </w:t>
      </w:r>
      <w:r>
        <w:rPr>
          <w:szCs w:val="24"/>
        </w:rPr>
        <w:t>1</w:t>
      </w:r>
      <w:r w:rsidRPr="00887584">
        <w:rPr>
          <w:szCs w:val="24"/>
        </w:rPr>
        <w:t>70 лв., считано от 25 декември 2021 г.</w:t>
      </w:r>
      <w:r>
        <w:rPr>
          <w:szCs w:val="24"/>
        </w:rPr>
        <w:t>, а от 1 юли 2022 г. с 6</w:t>
      </w:r>
      <w:r>
        <w:rPr>
          <w:szCs w:val="24"/>
          <w:lang w:val="en-US"/>
        </w:rPr>
        <w:t>.</w:t>
      </w:r>
      <w:r>
        <w:rPr>
          <w:szCs w:val="24"/>
        </w:rPr>
        <w:t>1 на сто;</w:t>
      </w:r>
    </w:p>
    <w:p w14:paraId="7299674D" w14:textId="3F3CD0F3" w:rsidR="008B56DD" w:rsidRDefault="008B56DD" w:rsidP="008B56DD">
      <w:pPr>
        <w:pStyle w:val="ListParagraph"/>
        <w:numPr>
          <w:ilvl w:val="0"/>
          <w:numId w:val="10"/>
        </w:numPr>
        <w:tabs>
          <w:tab w:val="clear" w:pos="680"/>
        </w:tabs>
        <w:autoSpaceDE w:val="0"/>
        <w:autoSpaceDN w:val="0"/>
        <w:adjustRightInd w:val="0"/>
        <w:ind w:left="568" w:hanging="284"/>
        <w:contextualSpacing/>
        <w:rPr>
          <w:szCs w:val="24"/>
        </w:rPr>
      </w:pPr>
      <w:r w:rsidRPr="00887584">
        <w:rPr>
          <w:i/>
          <w:iCs/>
          <w:szCs w:val="24"/>
        </w:rPr>
        <w:lastRenderedPageBreak/>
        <w:t xml:space="preserve">Максималният размер на получаваните една или повече пенсии </w:t>
      </w:r>
      <w:r w:rsidRPr="00887584">
        <w:rPr>
          <w:szCs w:val="24"/>
        </w:rPr>
        <w:t>за 2022 г. е увеличен от 1 440 лв. на 1 500 лв., считано от 25 декември 2021 г.</w:t>
      </w:r>
      <w:r>
        <w:rPr>
          <w:szCs w:val="24"/>
          <w:lang w:val="en-US"/>
        </w:rPr>
        <w:t>;</w:t>
      </w:r>
      <w:r w:rsidRPr="00887584">
        <w:rPr>
          <w:szCs w:val="24"/>
        </w:rPr>
        <w:t xml:space="preserve"> </w:t>
      </w:r>
    </w:p>
    <w:p w14:paraId="3C831FC2" w14:textId="6356A616" w:rsidR="0005795A" w:rsidRPr="008B56DD" w:rsidRDefault="008B56DD" w:rsidP="008B56DD">
      <w:pPr>
        <w:pStyle w:val="ListParagraph"/>
        <w:numPr>
          <w:ilvl w:val="0"/>
          <w:numId w:val="10"/>
        </w:numPr>
        <w:tabs>
          <w:tab w:val="clear" w:pos="680"/>
        </w:tabs>
        <w:autoSpaceDE w:val="0"/>
        <w:autoSpaceDN w:val="0"/>
        <w:adjustRightInd w:val="0"/>
        <w:ind w:left="568" w:hanging="284"/>
        <w:contextualSpacing/>
        <w:rPr>
          <w:szCs w:val="24"/>
        </w:rPr>
      </w:pPr>
      <w:r w:rsidRPr="000639F1">
        <w:rPr>
          <w:i/>
          <w:iCs/>
          <w:szCs w:val="24"/>
        </w:rPr>
        <w:t>О</w:t>
      </w:r>
      <w:r w:rsidRPr="004E625C">
        <w:rPr>
          <w:i/>
          <w:iCs/>
          <w:szCs w:val="24"/>
        </w:rPr>
        <w:t>съвременяване</w:t>
      </w:r>
      <w:r w:rsidRPr="000639F1">
        <w:rPr>
          <w:iCs/>
          <w:szCs w:val="24"/>
        </w:rPr>
        <w:t xml:space="preserve"> на пенсиите за трудова дейност</w:t>
      </w:r>
      <w:r>
        <w:rPr>
          <w:iCs/>
          <w:szCs w:val="24"/>
        </w:rPr>
        <w:t>, отпуснати до края на 2021 г.</w:t>
      </w:r>
      <w:r w:rsidRPr="000639F1">
        <w:rPr>
          <w:iCs/>
          <w:szCs w:val="24"/>
        </w:rPr>
        <w:t xml:space="preserve"> с 6</w:t>
      </w:r>
      <w:r>
        <w:rPr>
          <w:iCs/>
          <w:szCs w:val="24"/>
          <w:lang w:val="en-US"/>
        </w:rPr>
        <w:t>.</w:t>
      </w:r>
      <w:r w:rsidRPr="000639F1">
        <w:rPr>
          <w:iCs/>
          <w:szCs w:val="24"/>
        </w:rPr>
        <w:t xml:space="preserve">1%. </w:t>
      </w:r>
    </w:p>
    <w:p w14:paraId="4C17201C" w14:textId="04418AD8" w:rsidR="00D96F36" w:rsidRPr="00887584" w:rsidRDefault="00D96F36" w:rsidP="00887584">
      <w:pPr>
        <w:pStyle w:val="BodyTextIndent"/>
        <w:spacing w:line="240" w:lineRule="auto"/>
        <w:ind w:left="0"/>
        <w:rPr>
          <w:rFonts w:ascii="Times New Roman" w:eastAsia="MS Mincho" w:hAnsi="Times New Roman"/>
          <w:sz w:val="24"/>
        </w:rPr>
      </w:pPr>
      <w:r w:rsidRPr="00887584">
        <w:rPr>
          <w:rFonts w:ascii="Times New Roman" w:eastAsia="MS Mincho" w:hAnsi="Times New Roman"/>
          <w:sz w:val="24"/>
        </w:rPr>
        <w:t xml:space="preserve">Разходите за пенсии в Закона за бюджета на </w:t>
      </w:r>
      <w:r w:rsidRPr="00887584">
        <w:rPr>
          <w:rFonts w:ascii="Times New Roman" w:eastAsia="MS Mincho" w:hAnsi="Times New Roman"/>
          <w:b/>
          <w:sz w:val="24"/>
        </w:rPr>
        <w:t>ДОО (ЗБДОО) за 2022</w:t>
      </w:r>
      <w:r w:rsidR="00DF07FD">
        <w:rPr>
          <w:rFonts w:ascii="Times New Roman" w:eastAsia="MS Mincho" w:hAnsi="Times New Roman"/>
          <w:b/>
          <w:sz w:val="24"/>
        </w:rPr>
        <w:t> г.</w:t>
      </w:r>
      <w:r w:rsidRPr="00887584">
        <w:rPr>
          <w:rFonts w:ascii="Times New Roman" w:eastAsia="MS Mincho" w:hAnsi="Times New Roman"/>
          <w:b/>
          <w:sz w:val="24"/>
        </w:rPr>
        <w:t xml:space="preserve"> са с 1</w:t>
      </w:r>
      <w:r w:rsidR="001B549D">
        <w:rPr>
          <w:rFonts w:ascii="Times New Roman" w:eastAsia="MS Mincho" w:hAnsi="Times New Roman"/>
          <w:b/>
          <w:sz w:val="24"/>
        </w:rPr>
        <w:t> </w:t>
      </w:r>
      <w:r w:rsidRPr="00887584">
        <w:rPr>
          <w:rFonts w:ascii="Times New Roman" w:eastAsia="MS Mincho" w:hAnsi="Times New Roman"/>
          <w:b/>
          <w:sz w:val="24"/>
        </w:rPr>
        <w:t>072</w:t>
      </w:r>
      <w:r w:rsidR="001B549D">
        <w:rPr>
          <w:rFonts w:ascii="Times New Roman" w:eastAsia="MS Mincho" w:hAnsi="Times New Roman"/>
          <w:b/>
          <w:sz w:val="24"/>
        </w:rPr>
        <w:t>.5 млн. лв. или с 8.</w:t>
      </w:r>
      <w:r w:rsidRPr="00887584">
        <w:rPr>
          <w:rFonts w:ascii="Times New Roman" w:eastAsia="MS Mincho" w:hAnsi="Times New Roman"/>
          <w:b/>
          <w:sz w:val="24"/>
        </w:rPr>
        <w:t>2% повече спрямо ЗБДОО за 2021</w:t>
      </w:r>
      <w:r w:rsidR="00DF07FD">
        <w:rPr>
          <w:rFonts w:ascii="Times New Roman" w:eastAsia="MS Mincho" w:hAnsi="Times New Roman"/>
          <w:b/>
          <w:sz w:val="24"/>
        </w:rPr>
        <w:t> г.</w:t>
      </w:r>
      <w:r w:rsidRPr="00887584">
        <w:rPr>
          <w:rFonts w:ascii="Times New Roman" w:eastAsia="MS Mincho" w:hAnsi="Times New Roman"/>
          <w:sz w:val="24"/>
        </w:rPr>
        <w:t xml:space="preserve"> Върху динамиката на разходите за пенсии влияят и в</w:t>
      </w:r>
      <w:r w:rsidR="001B549D">
        <w:rPr>
          <w:rFonts w:ascii="Times New Roman" w:eastAsia="MS Mincho" w:hAnsi="Times New Roman"/>
          <w:sz w:val="24"/>
        </w:rPr>
        <w:t>зетите решения 850.</w:t>
      </w:r>
      <w:r w:rsidRPr="00887584">
        <w:rPr>
          <w:rFonts w:ascii="Times New Roman" w:eastAsia="MS Mincho" w:hAnsi="Times New Roman"/>
          <w:sz w:val="24"/>
        </w:rPr>
        <w:t>0 млн. лв. да бъдат прехвърлени в сметка за чужди средства на Националния осигурителен институт (НОИ) за изплащане на допълнителни суми от 60 лв. към пенсиите на всички пенсионери и 75 лв. еднократна сума към пенсиите на ваксинирани пенсионери. Предвидено е сумите да се изплащат за периода от януари до юни 2022</w:t>
      </w:r>
      <w:r w:rsidR="00DF07FD">
        <w:rPr>
          <w:rFonts w:ascii="Times New Roman" w:eastAsia="MS Mincho" w:hAnsi="Times New Roman"/>
          <w:sz w:val="24"/>
        </w:rPr>
        <w:t> г.</w:t>
      </w:r>
      <w:r w:rsidRPr="00887584">
        <w:rPr>
          <w:rFonts w:ascii="Times New Roman" w:eastAsia="MS Mincho" w:hAnsi="Times New Roman"/>
          <w:sz w:val="24"/>
        </w:rPr>
        <w:t>, но са отразени в разходните показатели по бюджета на държавното обществено осигуряване (ДОО) за 2021</w:t>
      </w:r>
      <w:r w:rsidR="00DF07FD">
        <w:rPr>
          <w:rFonts w:ascii="Times New Roman" w:eastAsia="MS Mincho" w:hAnsi="Times New Roman"/>
          <w:sz w:val="24"/>
        </w:rPr>
        <w:t> г.</w:t>
      </w:r>
      <w:r w:rsidRPr="00887584">
        <w:rPr>
          <w:rFonts w:ascii="Times New Roman" w:eastAsia="MS Mincho" w:hAnsi="Times New Roman"/>
          <w:sz w:val="24"/>
        </w:rPr>
        <w:t>, както гласят приетите постановления на Министерския съвет.</w:t>
      </w:r>
      <w:r w:rsidR="009C0E16" w:rsidRPr="00887584">
        <w:rPr>
          <w:rFonts w:ascii="Times New Roman" w:eastAsia="MS Mincho" w:hAnsi="Times New Roman"/>
          <w:sz w:val="24"/>
        </w:rPr>
        <w:t xml:space="preserve"> </w:t>
      </w:r>
      <w:r w:rsidRPr="00887584">
        <w:rPr>
          <w:rFonts w:ascii="Times New Roman" w:eastAsia="MS Mincho" w:hAnsi="Times New Roman"/>
          <w:sz w:val="24"/>
        </w:rPr>
        <w:t xml:space="preserve">Отделно към </w:t>
      </w:r>
      <w:r w:rsidR="001B549D">
        <w:rPr>
          <w:rFonts w:ascii="Times New Roman" w:eastAsia="MS Mincho" w:hAnsi="Times New Roman"/>
          <w:sz w:val="24"/>
        </w:rPr>
        <w:t>това, 102.</w:t>
      </w:r>
      <w:r w:rsidRPr="00887584">
        <w:rPr>
          <w:rFonts w:ascii="Times New Roman" w:eastAsia="MS Mincho" w:hAnsi="Times New Roman"/>
          <w:sz w:val="24"/>
        </w:rPr>
        <w:t>0 млн. лв. са предвидени в централния бюджет за изплащане на допълнителни суми, представляващи компенсация за разликата между дохода от пенсии преди и след 25 декември 2021</w:t>
      </w:r>
      <w:r w:rsidR="00DF07FD">
        <w:rPr>
          <w:rFonts w:ascii="Times New Roman" w:eastAsia="MS Mincho" w:hAnsi="Times New Roman"/>
          <w:sz w:val="24"/>
        </w:rPr>
        <w:t> г.</w:t>
      </w:r>
      <w:r w:rsidRPr="00887584">
        <w:rPr>
          <w:rFonts w:ascii="Times New Roman" w:eastAsia="MS Mincho" w:hAnsi="Times New Roman"/>
          <w:sz w:val="24"/>
        </w:rPr>
        <w:t xml:space="preserve"> (с включени еднократни суми от 120 лв. за декември 2022</w:t>
      </w:r>
      <w:r w:rsidR="00DF07FD">
        <w:rPr>
          <w:rFonts w:ascii="Times New Roman" w:eastAsia="MS Mincho" w:hAnsi="Times New Roman"/>
          <w:sz w:val="24"/>
        </w:rPr>
        <w:t> г.</w:t>
      </w:r>
      <w:r w:rsidRPr="00887584">
        <w:rPr>
          <w:rFonts w:ascii="Times New Roman" w:eastAsia="MS Mincho" w:hAnsi="Times New Roman"/>
          <w:sz w:val="24"/>
        </w:rPr>
        <w:t xml:space="preserve"> и 60 лв. – за януари-юни 2022</w:t>
      </w:r>
      <w:r w:rsidR="00DF07FD">
        <w:rPr>
          <w:rFonts w:ascii="Times New Roman" w:eastAsia="MS Mincho" w:hAnsi="Times New Roman"/>
          <w:sz w:val="24"/>
        </w:rPr>
        <w:t> г.</w:t>
      </w:r>
      <w:r w:rsidRPr="00887584">
        <w:rPr>
          <w:rFonts w:ascii="Times New Roman" w:eastAsia="MS Mincho" w:hAnsi="Times New Roman"/>
          <w:sz w:val="24"/>
        </w:rPr>
        <w:t>). В допълнение, с Постановление № 43 на Министерския съвет от 1 април 2022</w:t>
      </w:r>
      <w:r w:rsidR="00DF07FD">
        <w:rPr>
          <w:rFonts w:ascii="Times New Roman" w:eastAsia="MS Mincho" w:hAnsi="Times New Roman"/>
          <w:sz w:val="24"/>
        </w:rPr>
        <w:t> г.</w:t>
      </w:r>
      <w:r w:rsidR="001B549D">
        <w:rPr>
          <w:rFonts w:ascii="Times New Roman" w:eastAsia="MS Mincho" w:hAnsi="Times New Roman"/>
          <w:sz w:val="24"/>
        </w:rPr>
        <w:t xml:space="preserve"> са одобрени допълнително 142.</w:t>
      </w:r>
      <w:r w:rsidRPr="00887584">
        <w:rPr>
          <w:rFonts w:ascii="Times New Roman" w:eastAsia="MS Mincho" w:hAnsi="Times New Roman"/>
          <w:sz w:val="24"/>
        </w:rPr>
        <w:t>9 млн. лв. за еднократно изплащане на допълнителна суми в размер на 70 лв. през април 2022</w:t>
      </w:r>
      <w:r w:rsidR="00DF07FD">
        <w:rPr>
          <w:rFonts w:ascii="Times New Roman" w:eastAsia="MS Mincho" w:hAnsi="Times New Roman"/>
          <w:sz w:val="24"/>
        </w:rPr>
        <w:t> г.</w:t>
      </w:r>
      <w:r w:rsidRPr="00887584">
        <w:rPr>
          <w:rFonts w:ascii="Times New Roman" w:eastAsia="MS Mincho" w:hAnsi="Times New Roman"/>
          <w:sz w:val="24"/>
        </w:rPr>
        <w:t xml:space="preserve"> към пенсиите на всички пенсионери</w:t>
      </w:r>
      <w:r w:rsidR="001B549D">
        <w:rPr>
          <w:rFonts w:ascii="Times New Roman" w:eastAsia="MS Mincho" w:hAnsi="Times New Roman"/>
          <w:sz w:val="24"/>
        </w:rPr>
        <w:t>. Посочените суми от 102.</w:t>
      </w:r>
      <w:r w:rsidRPr="00887584">
        <w:rPr>
          <w:rFonts w:ascii="Times New Roman" w:eastAsia="MS Mincho" w:hAnsi="Times New Roman"/>
          <w:sz w:val="24"/>
        </w:rPr>
        <w:t>0 млн. лв. и 142,9 млн. лв. не са включени в ЗБДОО за 2022</w:t>
      </w:r>
      <w:r w:rsidR="00DF07FD">
        <w:rPr>
          <w:rFonts w:ascii="Times New Roman" w:eastAsia="MS Mincho" w:hAnsi="Times New Roman"/>
          <w:sz w:val="24"/>
        </w:rPr>
        <w:t> г.</w:t>
      </w:r>
      <w:r w:rsidRPr="00887584">
        <w:rPr>
          <w:rFonts w:ascii="Times New Roman" w:eastAsia="MS Mincho" w:hAnsi="Times New Roman"/>
          <w:sz w:val="24"/>
        </w:rPr>
        <w:t xml:space="preserve"> и ще бъдат отразени в хода на изпълнението на бюджета.</w:t>
      </w:r>
    </w:p>
    <w:p w14:paraId="2E37ADD0" w14:textId="286E6F61" w:rsidR="00D96F36" w:rsidRPr="00887584" w:rsidRDefault="00D96F36" w:rsidP="00887584">
      <w:pPr>
        <w:pStyle w:val="BodyTextIndent"/>
        <w:spacing w:line="240" w:lineRule="auto"/>
        <w:ind w:left="0"/>
        <w:rPr>
          <w:rFonts w:ascii="Times New Roman" w:eastAsia="MS Mincho" w:hAnsi="Times New Roman"/>
          <w:sz w:val="24"/>
        </w:rPr>
      </w:pPr>
      <w:r w:rsidRPr="00887584">
        <w:rPr>
          <w:rFonts w:ascii="Times New Roman" w:eastAsia="MS Mincho" w:hAnsi="Times New Roman"/>
          <w:sz w:val="24"/>
        </w:rPr>
        <w:t>Що се отнася до разликата между ЗБДОО за 2022</w:t>
      </w:r>
      <w:r w:rsidR="00DF07FD">
        <w:rPr>
          <w:rFonts w:ascii="Times New Roman" w:eastAsia="MS Mincho" w:hAnsi="Times New Roman"/>
          <w:sz w:val="24"/>
        </w:rPr>
        <w:t> г.</w:t>
      </w:r>
      <w:r w:rsidRPr="00887584">
        <w:rPr>
          <w:rFonts w:ascii="Times New Roman" w:eastAsia="MS Mincho" w:hAnsi="Times New Roman"/>
          <w:sz w:val="24"/>
        </w:rPr>
        <w:t xml:space="preserve"> и актуализирания ЗБДОО 2021</w:t>
      </w:r>
      <w:r w:rsidR="00DF07FD">
        <w:rPr>
          <w:rFonts w:ascii="Times New Roman" w:eastAsia="MS Mincho" w:hAnsi="Times New Roman"/>
          <w:sz w:val="24"/>
        </w:rPr>
        <w:t> г.</w:t>
      </w:r>
      <w:r w:rsidRPr="00887584">
        <w:rPr>
          <w:rFonts w:ascii="Times New Roman" w:eastAsia="MS Mincho" w:hAnsi="Times New Roman"/>
          <w:sz w:val="24"/>
        </w:rPr>
        <w:t>, тя представлява нетният резултат от приложените през 2021</w:t>
      </w:r>
      <w:r w:rsidR="00DF07FD">
        <w:rPr>
          <w:rFonts w:ascii="Times New Roman" w:eastAsia="MS Mincho" w:hAnsi="Times New Roman"/>
          <w:sz w:val="24"/>
        </w:rPr>
        <w:t> г.</w:t>
      </w:r>
      <w:r w:rsidRPr="00887584">
        <w:rPr>
          <w:rFonts w:ascii="Times New Roman" w:eastAsia="MS Mincho" w:hAnsi="Times New Roman"/>
          <w:sz w:val="24"/>
        </w:rPr>
        <w:t xml:space="preserve"> и 2022</w:t>
      </w:r>
      <w:r w:rsidR="00DF07FD">
        <w:rPr>
          <w:rFonts w:ascii="Times New Roman" w:eastAsia="MS Mincho" w:hAnsi="Times New Roman"/>
          <w:sz w:val="24"/>
        </w:rPr>
        <w:t> г.</w:t>
      </w:r>
      <w:r w:rsidRPr="00887584">
        <w:rPr>
          <w:rFonts w:ascii="Times New Roman" w:eastAsia="MS Mincho" w:hAnsi="Times New Roman"/>
          <w:sz w:val="24"/>
        </w:rPr>
        <w:t xml:space="preserve"> мерки,</w:t>
      </w:r>
      <w:r w:rsidRPr="00887584">
        <w:rPr>
          <w:rFonts w:ascii="Times New Roman" w:eastAsia="MS Mincho" w:hAnsi="Times New Roman"/>
          <w:sz w:val="24"/>
          <w:lang w:val="en-US"/>
        </w:rPr>
        <w:t xml:space="preserve"> </w:t>
      </w:r>
      <w:r w:rsidRPr="00887584">
        <w:rPr>
          <w:rFonts w:ascii="Times New Roman" w:eastAsia="MS Mincho" w:hAnsi="Times New Roman"/>
          <w:sz w:val="24"/>
        </w:rPr>
        <w:t>промяната в условията за пенсиониране, както и демографски процеси, водещи до по-висок или по-нисък разход за 2022</w:t>
      </w:r>
      <w:r w:rsidR="00DF07FD">
        <w:rPr>
          <w:rFonts w:ascii="Times New Roman" w:eastAsia="MS Mincho" w:hAnsi="Times New Roman"/>
          <w:sz w:val="24"/>
        </w:rPr>
        <w:t> г.</w:t>
      </w:r>
      <w:r w:rsidRPr="00887584">
        <w:rPr>
          <w:rFonts w:ascii="Times New Roman" w:eastAsia="MS Mincho" w:hAnsi="Times New Roman"/>
          <w:sz w:val="24"/>
        </w:rPr>
        <w:t xml:space="preserve"> спрямо 2021</w:t>
      </w:r>
      <w:r w:rsidR="00DF07FD">
        <w:rPr>
          <w:rFonts w:ascii="Times New Roman" w:eastAsia="MS Mincho" w:hAnsi="Times New Roman"/>
          <w:sz w:val="24"/>
        </w:rPr>
        <w:t> г.</w:t>
      </w:r>
    </w:p>
    <w:p w14:paraId="2913BDA9" w14:textId="1743E9A7" w:rsidR="00D96F36" w:rsidRPr="00887584" w:rsidRDefault="00D96F36" w:rsidP="00887584">
      <w:pPr>
        <w:pStyle w:val="BodyText2"/>
        <w:shd w:val="clear" w:color="auto" w:fill="FFFFFF"/>
        <w:spacing w:line="240" w:lineRule="auto"/>
        <w:rPr>
          <w:rFonts w:ascii="Times New Roman" w:hAnsi="Times New Roman"/>
          <w:color w:val="auto"/>
          <w:sz w:val="24"/>
          <w:szCs w:val="24"/>
        </w:rPr>
      </w:pPr>
      <w:r w:rsidRPr="00887584">
        <w:rPr>
          <w:rFonts w:ascii="Times New Roman" w:hAnsi="Times New Roman"/>
          <w:color w:val="auto"/>
          <w:sz w:val="24"/>
          <w:szCs w:val="24"/>
        </w:rPr>
        <w:t xml:space="preserve">Обстоятелства, водещи до </w:t>
      </w:r>
      <w:r w:rsidRPr="00887584">
        <w:rPr>
          <w:rFonts w:ascii="Times New Roman" w:hAnsi="Times New Roman"/>
          <w:b/>
          <w:color w:val="auto"/>
          <w:sz w:val="24"/>
          <w:szCs w:val="24"/>
        </w:rPr>
        <w:t>увеличение</w:t>
      </w:r>
      <w:r w:rsidRPr="00887584">
        <w:rPr>
          <w:rFonts w:ascii="Times New Roman" w:hAnsi="Times New Roman"/>
          <w:color w:val="auto"/>
          <w:sz w:val="24"/>
          <w:szCs w:val="24"/>
        </w:rPr>
        <w:t xml:space="preserve"> на разходите за пенсии през 2022</w:t>
      </w:r>
      <w:r w:rsidR="00DF07FD">
        <w:rPr>
          <w:rFonts w:ascii="Times New Roman" w:hAnsi="Times New Roman"/>
          <w:color w:val="auto"/>
          <w:sz w:val="24"/>
          <w:szCs w:val="24"/>
        </w:rPr>
        <w:t> г.</w:t>
      </w:r>
      <w:r w:rsidRPr="00887584">
        <w:rPr>
          <w:rFonts w:ascii="Times New Roman" w:hAnsi="Times New Roman"/>
          <w:color w:val="auto"/>
          <w:sz w:val="24"/>
          <w:szCs w:val="24"/>
        </w:rPr>
        <w:t>:</w:t>
      </w:r>
    </w:p>
    <w:p w14:paraId="755FBF9A" w14:textId="4F58AA6E" w:rsidR="00D96F36" w:rsidRPr="00887584" w:rsidRDefault="001B549D" w:rsidP="005F0B57">
      <w:pPr>
        <w:pStyle w:val="ListParagraph"/>
        <w:numPr>
          <w:ilvl w:val="0"/>
          <w:numId w:val="10"/>
        </w:numPr>
        <w:tabs>
          <w:tab w:val="clear" w:pos="680"/>
        </w:tabs>
        <w:ind w:left="567" w:hanging="283"/>
        <w:rPr>
          <w:szCs w:val="24"/>
        </w:rPr>
      </w:pPr>
      <w:r w:rsidRPr="00327E64">
        <w:rPr>
          <w:szCs w:val="24"/>
          <w:lang w:val="en-US"/>
        </w:rPr>
        <w:t>696.</w:t>
      </w:r>
      <w:r w:rsidR="00327E64" w:rsidRPr="00327E64">
        <w:rPr>
          <w:szCs w:val="24"/>
        </w:rPr>
        <w:t>9</w:t>
      </w:r>
      <w:r w:rsidR="00D96F36" w:rsidRPr="00327E64">
        <w:rPr>
          <w:szCs w:val="24"/>
        </w:rPr>
        <w:t xml:space="preserve"> млн.</w:t>
      </w:r>
      <w:r w:rsidR="00D96F36" w:rsidRPr="00887584">
        <w:rPr>
          <w:szCs w:val="24"/>
        </w:rPr>
        <w:t xml:space="preserve"> лв. – целогодишното изплащане на увеличените от 1 юли 2021</w:t>
      </w:r>
      <w:r w:rsidR="00DF07FD">
        <w:rPr>
          <w:szCs w:val="24"/>
        </w:rPr>
        <w:t> г.</w:t>
      </w:r>
      <w:r w:rsidR="00D96F36" w:rsidRPr="00887584">
        <w:rPr>
          <w:szCs w:val="24"/>
        </w:rPr>
        <w:t xml:space="preserve"> с 5%</w:t>
      </w:r>
      <w:r w:rsidR="009C0E16" w:rsidRPr="00887584">
        <w:rPr>
          <w:szCs w:val="24"/>
        </w:rPr>
        <w:t xml:space="preserve"> </w:t>
      </w:r>
      <w:r w:rsidR="00D96F36" w:rsidRPr="00887584">
        <w:rPr>
          <w:szCs w:val="24"/>
        </w:rPr>
        <w:t>размери на пенсиите за трудова дейност; осъвременяване н</w:t>
      </w:r>
      <w:r>
        <w:rPr>
          <w:szCs w:val="24"/>
        </w:rPr>
        <w:t>а пенсиите от 1 юли 2022</w:t>
      </w:r>
      <w:r w:rsidR="00DF07FD">
        <w:rPr>
          <w:szCs w:val="24"/>
        </w:rPr>
        <w:t> г.</w:t>
      </w:r>
      <w:r>
        <w:rPr>
          <w:szCs w:val="24"/>
        </w:rPr>
        <w:t xml:space="preserve"> с 6.</w:t>
      </w:r>
      <w:r w:rsidR="00D96F36" w:rsidRPr="00887584">
        <w:rPr>
          <w:szCs w:val="24"/>
        </w:rPr>
        <w:t xml:space="preserve">1%; </w:t>
      </w:r>
    </w:p>
    <w:p w14:paraId="75467486" w14:textId="59119E08" w:rsidR="00D96F36" w:rsidRPr="00887584" w:rsidRDefault="001B549D" w:rsidP="005F0B57">
      <w:pPr>
        <w:pStyle w:val="ListParagraph"/>
        <w:numPr>
          <w:ilvl w:val="0"/>
          <w:numId w:val="10"/>
        </w:numPr>
        <w:tabs>
          <w:tab w:val="clear" w:pos="680"/>
        </w:tabs>
        <w:ind w:left="567" w:hanging="283"/>
        <w:rPr>
          <w:szCs w:val="24"/>
        </w:rPr>
      </w:pPr>
      <w:r>
        <w:rPr>
          <w:szCs w:val="24"/>
          <w:lang w:val="en-US"/>
        </w:rPr>
        <w:t>118.</w:t>
      </w:r>
      <w:r w:rsidR="00D96F36" w:rsidRPr="00887584">
        <w:rPr>
          <w:szCs w:val="24"/>
          <w:lang w:val="en-US"/>
        </w:rPr>
        <w:t>1</w:t>
      </w:r>
      <w:r w:rsidR="00D96F36" w:rsidRPr="00887584">
        <w:rPr>
          <w:szCs w:val="24"/>
        </w:rPr>
        <w:t xml:space="preserve"> млн. лв. –</w:t>
      </w:r>
      <w:r w:rsidR="00D96F36" w:rsidRPr="00887584">
        <w:rPr>
          <w:szCs w:val="24"/>
          <w:lang w:val="en-US"/>
        </w:rPr>
        <w:t xml:space="preserve"> </w:t>
      </w:r>
      <w:r w:rsidR="00D96F36" w:rsidRPr="00887584">
        <w:rPr>
          <w:szCs w:val="24"/>
        </w:rPr>
        <w:t>преизчисляване на пенсии с намален индивидуален коефициент в пълен размер (§9, ал.2 от ПЗР на ЗБДОО за 2021г.); преизчисляване на пенсии с намален индивидуален коефициент, като индивидуалния коефициент бъде изчислен по новите правила на чл. 70, ал. 10,</w:t>
      </w:r>
      <w:r w:rsidR="009C0E16" w:rsidRPr="00887584">
        <w:rPr>
          <w:szCs w:val="24"/>
        </w:rPr>
        <w:t xml:space="preserve"> </w:t>
      </w:r>
      <w:r w:rsidR="00D96F36" w:rsidRPr="00887584">
        <w:rPr>
          <w:szCs w:val="24"/>
        </w:rPr>
        <w:t>11 и 19 от КСО (в сила от 1 септември 2021</w:t>
      </w:r>
      <w:r w:rsidR="00DF07FD">
        <w:rPr>
          <w:szCs w:val="24"/>
        </w:rPr>
        <w:t> г.</w:t>
      </w:r>
      <w:r w:rsidR="00D96F36" w:rsidRPr="00887584">
        <w:rPr>
          <w:szCs w:val="24"/>
        </w:rPr>
        <w:t xml:space="preserve">) и ако това е по-благоприятно за лицето; възможност за избор на методика за определяне на индивидуалния коефициент </w:t>
      </w:r>
      <w:r w:rsidR="00D96F36" w:rsidRPr="00887584">
        <w:rPr>
          <w:szCs w:val="24"/>
          <w:lang w:val="en-US"/>
        </w:rPr>
        <w:t>(</w:t>
      </w:r>
      <w:r w:rsidR="00D96F36" w:rsidRPr="00887584">
        <w:rPr>
          <w:szCs w:val="24"/>
        </w:rPr>
        <w:t>§</w:t>
      </w:r>
      <w:r w:rsidR="00D96F36" w:rsidRPr="00887584">
        <w:rPr>
          <w:szCs w:val="24"/>
          <w:lang w:val="en-US"/>
        </w:rPr>
        <w:t>22</w:t>
      </w:r>
      <w:r w:rsidR="00D96F36" w:rsidRPr="00887584">
        <w:rPr>
          <w:szCs w:val="24"/>
        </w:rPr>
        <w:t>ц от ПЗР на КСО); естествен ръст на разходите за пенсии;</w:t>
      </w:r>
    </w:p>
    <w:p w14:paraId="2AF12301" w14:textId="594FE67F" w:rsidR="00D96F36" w:rsidRPr="00887584" w:rsidRDefault="001B549D" w:rsidP="005F0B57">
      <w:pPr>
        <w:pStyle w:val="ListParagraph"/>
        <w:numPr>
          <w:ilvl w:val="0"/>
          <w:numId w:val="10"/>
        </w:numPr>
        <w:tabs>
          <w:tab w:val="clear" w:pos="680"/>
        </w:tabs>
        <w:ind w:left="567" w:hanging="283"/>
        <w:rPr>
          <w:szCs w:val="24"/>
        </w:rPr>
      </w:pPr>
      <w:r>
        <w:rPr>
          <w:szCs w:val="24"/>
        </w:rPr>
        <w:t>775.</w:t>
      </w:r>
      <w:r w:rsidR="00D96F36" w:rsidRPr="00887584">
        <w:rPr>
          <w:szCs w:val="24"/>
        </w:rPr>
        <w:t>0 млн. лв. –</w:t>
      </w:r>
      <w:r w:rsidR="009C0E16" w:rsidRPr="00887584">
        <w:rPr>
          <w:szCs w:val="24"/>
        </w:rPr>
        <w:t xml:space="preserve"> </w:t>
      </w:r>
      <w:r w:rsidR="00D96F36" w:rsidRPr="00887584">
        <w:rPr>
          <w:szCs w:val="24"/>
        </w:rPr>
        <w:t>увеличаване на минималния размер на пенсията за осигурителен стаж и възраст по чл. 68, ал. 1 от КСО, считано</w:t>
      </w:r>
      <w:r>
        <w:rPr>
          <w:szCs w:val="24"/>
        </w:rPr>
        <w:t xml:space="preserve"> от 25 декември 2021</w:t>
      </w:r>
      <w:r w:rsidR="00DF07FD">
        <w:rPr>
          <w:szCs w:val="24"/>
        </w:rPr>
        <w:t> г.</w:t>
      </w:r>
      <w:r>
        <w:rPr>
          <w:szCs w:val="24"/>
        </w:rPr>
        <w:t>, от 300.00 лв. на 370.</w:t>
      </w:r>
      <w:r w:rsidR="00D96F36" w:rsidRPr="00887584">
        <w:rPr>
          <w:szCs w:val="24"/>
        </w:rPr>
        <w:t>00 лв.;</w:t>
      </w:r>
    </w:p>
    <w:p w14:paraId="7FD8AD9C" w14:textId="672F8192" w:rsidR="00D96F36" w:rsidRPr="00887584" w:rsidRDefault="001B549D" w:rsidP="005F0B57">
      <w:pPr>
        <w:pStyle w:val="ListParagraph"/>
        <w:numPr>
          <w:ilvl w:val="0"/>
          <w:numId w:val="10"/>
        </w:numPr>
        <w:tabs>
          <w:tab w:val="clear" w:pos="680"/>
        </w:tabs>
        <w:ind w:left="567" w:hanging="283"/>
        <w:rPr>
          <w:szCs w:val="24"/>
        </w:rPr>
      </w:pPr>
      <w:r>
        <w:rPr>
          <w:szCs w:val="24"/>
        </w:rPr>
        <w:t>760.0 млн. лв. – нова тежест от 1.</w:t>
      </w:r>
      <w:r w:rsidR="00D96F36" w:rsidRPr="00887584">
        <w:rPr>
          <w:szCs w:val="24"/>
        </w:rPr>
        <w:t>35 на сто за всяка година осигурителен стаж без превръщане, съгласно §13 от заключителните разпоредби на Закона за изменение и допълнение на Закона за бюджета на ДОО за 2021</w:t>
      </w:r>
      <w:r w:rsidR="00DF07FD">
        <w:rPr>
          <w:szCs w:val="24"/>
        </w:rPr>
        <w:t> г.</w:t>
      </w:r>
      <w:r w:rsidR="00D96F36" w:rsidRPr="00887584">
        <w:rPr>
          <w:szCs w:val="24"/>
        </w:rPr>
        <w:t>;</w:t>
      </w:r>
    </w:p>
    <w:p w14:paraId="3689281E" w14:textId="742801F3" w:rsidR="00D96F36" w:rsidRPr="00887584" w:rsidRDefault="001B549D" w:rsidP="005F0B57">
      <w:pPr>
        <w:pStyle w:val="ListParagraph"/>
        <w:numPr>
          <w:ilvl w:val="0"/>
          <w:numId w:val="10"/>
        </w:numPr>
        <w:tabs>
          <w:tab w:val="clear" w:pos="680"/>
        </w:tabs>
        <w:ind w:left="567" w:hanging="283"/>
        <w:rPr>
          <w:szCs w:val="24"/>
        </w:rPr>
      </w:pPr>
      <w:r>
        <w:rPr>
          <w:szCs w:val="24"/>
        </w:rPr>
        <w:t>30.</w:t>
      </w:r>
      <w:r w:rsidR="00D96F36" w:rsidRPr="00887584">
        <w:rPr>
          <w:szCs w:val="24"/>
        </w:rPr>
        <w:t>5 млн. лв.</w:t>
      </w:r>
      <w:r w:rsidR="009C0E16" w:rsidRPr="00887584">
        <w:rPr>
          <w:szCs w:val="24"/>
        </w:rPr>
        <w:t xml:space="preserve"> </w:t>
      </w:r>
      <w:r w:rsidR="00D96F36" w:rsidRPr="00887584">
        <w:rPr>
          <w:szCs w:val="24"/>
        </w:rPr>
        <w:t>–</w:t>
      </w:r>
      <w:r w:rsidR="009C0E16" w:rsidRPr="00887584">
        <w:rPr>
          <w:szCs w:val="24"/>
        </w:rPr>
        <w:t xml:space="preserve"> </w:t>
      </w:r>
      <w:r w:rsidR="00D96F36" w:rsidRPr="00887584">
        <w:rPr>
          <w:szCs w:val="24"/>
        </w:rPr>
        <w:t>увеличаване на максималния размер на получаваните една или повече пенсии на 1 500 лв., считано от 25 декември 2021</w:t>
      </w:r>
      <w:r w:rsidR="00DF07FD">
        <w:rPr>
          <w:szCs w:val="24"/>
        </w:rPr>
        <w:t> г.</w:t>
      </w:r>
      <w:r w:rsidR="00D96F36" w:rsidRPr="00887584">
        <w:rPr>
          <w:szCs w:val="24"/>
        </w:rPr>
        <w:t>;</w:t>
      </w:r>
    </w:p>
    <w:p w14:paraId="46D4D6D9" w14:textId="4CA6EED9" w:rsidR="00D96F36" w:rsidRPr="00887584" w:rsidRDefault="001B549D" w:rsidP="005F0B57">
      <w:pPr>
        <w:pStyle w:val="ListParagraph"/>
        <w:numPr>
          <w:ilvl w:val="0"/>
          <w:numId w:val="10"/>
        </w:numPr>
        <w:tabs>
          <w:tab w:val="clear" w:pos="680"/>
        </w:tabs>
        <w:ind w:left="567" w:hanging="283"/>
        <w:rPr>
          <w:szCs w:val="24"/>
        </w:rPr>
      </w:pPr>
      <w:r>
        <w:rPr>
          <w:szCs w:val="24"/>
        </w:rPr>
        <w:t>31.</w:t>
      </w:r>
      <w:r w:rsidR="00D96F36" w:rsidRPr="00887584">
        <w:rPr>
          <w:szCs w:val="24"/>
        </w:rPr>
        <w:t>6 млн. лв. – увеличаване на размера на социалната пенсия за старост от 148,71 лв. до 170,00 лв., считано от 25 декември 2021</w:t>
      </w:r>
      <w:r w:rsidR="00DF07FD">
        <w:rPr>
          <w:szCs w:val="24"/>
        </w:rPr>
        <w:t> г.</w:t>
      </w:r>
    </w:p>
    <w:p w14:paraId="6E431567" w14:textId="01B34293" w:rsidR="00D96F36" w:rsidRPr="00887584" w:rsidRDefault="00D96F36" w:rsidP="005F0B57">
      <w:pPr>
        <w:pStyle w:val="ListParagraph"/>
        <w:numPr>
          <w:ilvl w:val="0"/>
          <w:numId w:val="10"/>
        </w:numPr>
        <w:tabs>
          <w:tab w:val="clear" w:pos="680"/>
        </w:tabs>
        <w:ind w:left="567" w:hanging="283"/>
        <w:rPr>
          <w:szCs w:val="24"/>
        </w:rPr>
      </w:pPr>
      <w:r w:rsidRPr="00887584">
        <w:rPr>
          <w:szCs w:val="24"/>
        </w:rPr>
        <w:lastRenderedPageBreak/>
        <w:t>20</w:t>
      </w:r>
      <w:r w:rsidR="001B549D">
        <w:rPr>
          <w:szCs w:val="24"/>
          <w:lang w:val="en-US"/>
        </w:rPr>
        <w:t>.</w:t>
      </w:r>
      <w:r w:rsidRPr="00887584">
        <w:rPr>
          <w:szCs w:val="24"/>
        </w:rPr>
        <w:t>4 млн. лв. – увеличение на процентите по чл. 90а, ал. 2 от КСО за определяне размера на социалната пенсия за инвалидност на две стъпки (от 16.09.2021</w:t>
      </w:r>
      <w:r w:rsidR="00DF07FD">
        <w:rPr>
          <w:szCs w:val="24"/>
        </w:rPr>
        <w:t> г.</w:t>
      </w:r>
      <w:r w:rsidRPr="00887584">
        <w:rPr>
          <w:szCs w:val="24"/>
        </w:rPr>
        <w:t xml:space="preserve"> до 31.03.2022</w:t>
      </w:r>
      <w:r w:rsidR="00DF07FD">
        <w:rPr>
          <w:szCs w:val="24"/>
        </w:rPr>
        <w:t> г.</w:t>
      </w:r>
      <w:r w:rsidRPr="00887584">
        <w:rPr>
          <w:szCs w:val="24"/>
        </w:rPr>
        <w:t xml:space="preserve"> и считано от 01.04.2022</w:t>
      </w:r>
      <w:r w:rsidR="00DF07FD">
        <w:rPr>
          <w:szCs w:val="24"/>
        </w:rPr>
        <w:t> г.</w:t>
      </w:r>
      <w:r w:rsidRPr="00887584">
        <w:rPr>
          <w:szCs w:val="24"/>
        </w:rPr>
        <w:t>).</w:t>
      </w:r>
    </w:p>
    <w:p w14:paraId="1E98F0B4" w14:textId="0C2E32E7" w:rsidR="00D96F36" w:rsidRPr="00887584" w:rsidRDefault="00D96F36" w:rsidP="00887584">
      <w:pPr>
        <w:pStyle w:val="BodyText2"/>
        <w:shd w:val="clear" w:color="auto" w:fill="FFFFFF"/>
        <w:spacing w:line="240" w:lineRule="auto"/>
        <w:rPr>
          <w:rFonts w:ascii="Times New Roman" w:hAnsi="Times New Roman"/>
          <w:b/>
          <w:color w:val="auto"/>
          <w:sz w:val="24"/>
          <w:szCs w:val="24"/>
        </w:rPr>
      </w:pPr>
      <w:r w:rsidRPr="00887584">
        <w:rPr>
          <w:rFonts w:ascii="Times New Roman" w:hAnsi="Times New Roman"/>
          <w:color w:val="auto"/>
          <w:sz w:val="24"/>
          <w:szCs w:val="24"/>
        </w:rPr>
        <w:t xml:space="preserve">Обстоятелства, водещи до </w:t>
      </w:r>
      <w:r w:rsidRPr="00887584">
        <w:rPr>
          <w:rFonts w:ascii="Times New Roman" w:hAnsi="Times New Roman"/>
          <w:b/>
          <w:color w:val="auto"/>
          <w:sz w:val="24"/>
          <w:szCs w:val="24"/>
        </w:rPr>
        <w:t>намаление</w:t>
      </w:r>
      <w:r w:rsidRPr="00887584">
        <w:rPr>
          <w:rFonts w:ascii="Times New Roman" w:hAnsi="Times New Roman"/>
          <w:color w:val="auto"/>
          <w:sz w:val="24"/>
          <w:szCs w:val="24"/>
        </w:rPr>
        <w:t xml:space="preserve"> на разходите за пенсии през 2022</w:t>
      </w:r>
      <w:r w:rsidR="00DF07FD">
        <w:rPr>
          <w:rFonts w:ascii="Times New Roman" w:hAnsi="Times New Roman"/>
          <w:color w:val="auto"/>
          <w:sz w:val="24"/>
          <w:szCs w:val="24"/>
        </w:rPr>
        <w:t> г.</w:t>
      </w:r>
      <w:r w:rsidRPr="00887584">
        <w:rPr>
          <w:rFonts w:ascii="Times New Roman" w:hAnsi="Times New Roman"/>
          <w:color w:val="auto"/>
          <w:sz w:val="24"/>
          <w:szCs w:val="24"/>
        </w:rPr>
        <w:t>:</w:t>
      </w:r>
    </w:p>
    <w:p w14:paraId="6C56EC99" w14:textId="5A6D04E3" w:rsidR="00D96F36" w:rsidRPr="00887584" w:rsidRDefault="001B549D" w:rsidP="005F0B57">
      <w:pPr>
        <w:pStyle w:val="ListParagraph"/>
        <w:numPr>
          <w:ilvl w:val="0"/>
          <w:numId w:val="10"/>
        </w:numPr>
        <w:tabs>
          <w:tab w:val="clear" w:pos="680"/>
        </w:tabs>
        <w:ind w:left="567" w:hanging="283"/>
        <w:rPr>
          <w:szCs w:val="24"/>
        </w:rPr>
      </w:pPr>
      <w:r>
        <w:rPr>
          <w:szCs w:val="24"/>
        </w:rPr>
        <w:t>1 168.</w:t>
      </w:r>
      <w:r w:rsidR="00D96F36" w:rsidRPr="00887584">
        <w:rPr>
          <w:szCs w:val="24"/>
        </w:rPr>
        <w:t>0 млн. лв. – средствата, изплатени през 2021</w:t>
      </w:r>
      <w:r w:rsidR="00DF07FD">
        <w:rPr>
          <w:szCs w:val="24"/>
        </w:rPr>
        <w:t> г.</w:t>
      </w:r>
      <w:r w:rsidR="00D96F36" w:rsidRPr="00887584">
        <w:rPr>
          <w:szCs w:val="24"/>
        </w:rPr>
        <w:t xml:space="preserve"> и заложени в ЗБДОО за 2021</w:t>
      </w:r>
      <w:r w:rsidR="00DF07FD">
        <w:rPr>
          <w:szCs w:val="24"/>
        </w:rPr>
        <w:t> г.</w:t>
      </w:r>
      <w:r w:rsidR="00D96F36" w:rsidRPr="00887584">
        <w:rPr>
          <w:szCs w:val="24"/>
        </w:rPr>
        <w:t xml:space="preserve"> допълнителни суми от 50 лв. към пенсиите на всички пенсионери в периода януари, февруари, март и септември, и по 120 лв. за периода от октомври до декември 2021</w:t>
      </w:r>
      <w:r w:rsidR="00DF07FD">
        <w:rPr>
          <w:szCs w:val="24"/>
        </w:rPr>
        <w:t> г.</w:t>
      </w:r>
      <w:r w:rsidR="00D96F36" w:rsidRPr="00887584">
        <w:rPr>
          <w:szCs w:val="24"/>
        </w:rPr>
        <w:t>, както и преведените в сметка за чужди средства на НОИ и отразени в разходните показатели п</w:t>
      </w:r>
      <w:r>
        <w:rPr>
          <w:szCs w:val="24"/>
        </w:rPr>
        <w:t>о бюджета на ДОО за 2021</w:t>
      </w:r>
      <w:r w:rsidR="00DF07FD">
        <w:rPr>
          <w:szCs w:val="24"/>
        </w:rPr>
        <w:t> г.</w:t>
      </w:r>
      <w:r>
        <w:rPr>
          <w:szCs w:val="24"/>
        </w:rPr>
        <w:t xml:space="preserve"> 850.</w:t>
      </w:r>
      <w:r w:rsidR="00D96F36" w:rsidRPr="00887584">
        <w:rPr>
          <w:szCs w:val="24"/>
        </w:rPr>
        <w:t>0 млн. лв. за изплащане на еднократни суми от 60 лв. към пенсиите на всички пенсионери и по 75 лв. на ваксинирани пенсионери за периода януари-юни 2022</w:t>
      </w:r>
      <w:r w:rsidR="00DF07FD">
        <w:rPr>
          <w:szCs w:val="24"/>
        </w:rPr>
        <w:t> г.</w:t>
      </w:r>
      <w:r w:rsidR="00D96F36" w:rsidRPr="00887584">
        <w:rPr>
          <w:szCs w:val="24"/>
        </w:rPr>
        <w:t>, не са заложени в ЗБДОО за 2022</w:t>
      </w:r>
      <w:r w:rsidR="00DF07FD">
        <w:rPr>
          <w:szCs w:val="24"/>
        </w:rPr>
        <w:t> г.</w:t>
      </w:r>
      <w:r w:rsidR="00D96F36" w:rsidRPr="00887584">
        <w:rPr>
          <w:szCs w:val="24"/>
        </w:rPr>
        <w:t xml:space="preserve"> и съответно водят до намаление на разходите за пенсии в сравнение със ЗБДОО за 2021</w:t>
      </w:r>
      <w:r w:rsidR="00DF07FD">
        <w:rPr>
          <w:szCs w:val="24"/>
        </w:rPr>
        <w:t> г.</w:t>
      </w:r>
      <w:r w:rsidR="00D96F36" w:rsidRPr="00887584">
        <w:rPr>
          <w:szCs w:val="24"/>
        </w:rPr>
        <w:t xml:space="preserve">; </w:t>
      </w:r>
    </w:p>
    <w:p w14:paraId="5DBFA729" w14:textId="480B808D" w:rsidR="00D96F36" w:rsidRPr="00887584" w:rsidRDefault="001B549D" w:rsidP="005F0B57">
      <w:pPr>
        <w:pStyle w:val="ListParagraph"/>
        <w:numPr>
          <w:ilvl w:val="0"/>
          <w:numId w:val="10"/>
        </w:numPr>
        <w:tabs>
          <w:tab w:val="clear" w:pos="680"/>
        </w:tabs>
        <w:ind w:left="567" w:hanging="283"/>
        <w:rPr>
          <w:szCs w:val="24"/>
        </w:rPr>
      </w:pPr>
      <w:r>
        <w:rPr>
          <w:szCs w:val="24"/>
          <w:lang w:val="en-US"/>
        </w:rPr>
        <w:t>1</w:t>
      </w:r>
      <w:r w:rsidR="00327E64">
        <w:rPr>
          <w:szCs w:val="24"/>
        </w:rPr>
        <w:t>6</w:t>
      </w:r>
      <w:r>
        <w:rPr>
          <w:szCs w:val="24"/>
          <w:lang w:val="en-US"/>
        </w:rPr>
        <w:t>1.</w:t>
      </w:r>
      <w:r w:rsidR="00D96F36" w:rsidRPr="00887584">
        <w:rPr>
          <w:szCs w:val="24"/>
          <w:lang w:val="en-US"/>
        </w:rPr>
        <w:t>7</w:t>
      </w:r>
      <w:r w:rsidR="00D96F36" w:rsidRPr="00887584">
        <w:rPr>
          <w:szCs w:val="24"/>
        </w:rPr>
        <w:t xml:space="preserve"> млн. лв. – намаление в броя на пенсионерите, в т.ч. поради промяната в условията за пенсиониране и демографските процеси. </w:t>
      </w:r>
    </w:p>
    <w:p w14:paraId="5E81CE9C" w14:textId="7F71335A" w:rsidR="0081379D" w:rsidRPr="00887584" w:rsidRDefault="0081379D" w:rsidP="00887584">
      <w:pPr>
        <w:shd w:val="clear" w:color="auto" w:fill="FFFFFF"/>
        <w:rPr>
          <w:rFonts w:eastAsia="Times New Roman"/>
          <w:szCs w:val="24"/>
        </w:rPr>
      </w:pPr>
      <w:r w:rsidRPr="00887584">
        <w:rPr>
          <w:rFonts w:eastAsia="Times New Roman"/>
          <w:szCs w:val="24"/>
        </w:rPr>
        <w:t>При разработването на прогнозата за разходите за пенсии</w:t>
      </w:r>
      <w:r w:rsidRPr="00887584">
        <w:rPr>
          <w:rFonts w:eastAsia="Times New Roman"/>
          <w:b/>
          <w:szCs w:val="24"/>
        </w:rPr>
        <w:t xml:space="preserve"> </w:t>
      </w:r>
      <w:r w:rsidRPr="00887584">
        <w:rPr>
          <w:rFonts w:eastAsia="Times New Roman"/>
          <w:szCs w:val="24"/>
        </w:rPr>
        <w:t>за периода</w:t>
      </w:r>
      <w:r w:rsidR="009C0E16" w:rsidRPr="00887584">
        <w:rPr>
          <w:rFonts w:eastAsia="Times New Roman"/>
          <w:szCs w:val="24"/>
        </w:rPr>
        <w:t xml:space="preserve"> </w:t>
      </w:r>
      <w:r w:rsidRPr="00887584">
        <w:rPr>
          <w:rFonts w:eastAsia="Times New Roman"/>
          <w:szCs w:val="24"/>
        </w:rPr>
        <w:t>2023 – 2025</w:t>
      </w:r>
      <w:r w:rsidR="00DF07FD">
        <w:rPr>
          <w:rFonts w:eastAsia="Times New Roman"/>
          <w:szCs w:val="24"/>
        </w:rPr>
        <w:t> г.</w:t>
      </w:r>
      <w:r w:rsidRPr="00887584">
        <w:rPr>
          <w:rFonts w:eastAsia="Times New Roman"/>
          <w:szCs w:val="24"/>
        </w:rPr>
        <w:t xml:space="preserve"> са взети предвид параметрите на действащото законодателство, актуализирания Закон за бюджета на държавното обществено осигуряване за 2021</w:t>
      </w:r>
      <w:r w:rsidR="00DF07FD">
        <w:rPr>
          <w:rFonts w:eastAsia="Times New Roman"/>
          <w:szCs w:val="24"/>
        </w:rPr>
        <w:t> г.</w:t>
      </w:r>
      <w:r w:rsidR="009C0E16" w:rsidRPr="00887584">
        <w:rPr>
          <w:rFonts w:eastAsia="Times New Roman"/>
          <w:szCs w:val="24"/>
        </w:rPr>
        <w:t xml:space="preserve"> </w:t>
      </w:r>
      <w:r w:rsidRPr="00887584">
        <w:rPr>
          <w:rFonts w:eastAsia="Times New Roman"/>
          <w:szCs w:val="24"/>
        </w:rPr>
        <w:t>и Закона за бюджета на държавното обществено осигуряване за 2022</w:t>
      </w:r>
      <w:r w:rsidR="00DF07FD">
        <w:rPr>
          <w:rFonts w:eastAsia="Times New Roman"/>
          <w:szCs w:val="24"/>
        </w:rPr>
        <w:t> г.</w:t>
      </w:r>
      <w:r w:rsidRPr="00887584">
        <w:rPr>
          <w:rFonts w:eastAsia="Times New Roman"/>
          <w:szCs w:val="24"/>
          <w:lang w:val="ru-RU"/>
        </w:rPr>
        <w:t>,</w:t>
      </w:r>
      <w:r w:rsidR="009C0E16" w:rsidRPr="00887584">
        <w:rPr>
          <w:rFonts w:eastAsia="Times New Roman"/>
          <w:szCs w:val="24"/>
          <w:lang w:val="ru-RU"/>
        </w:rPr>
        <w:t xml:space="preserve"> </w:t>
      </w:r>
      <w:r w:rsidRPr="00887584">
        <w:rPr>
          <w:rFonts w:eastAsia="Times New Roman"/>
          <w:szCs w:val="24"/>
        </w:rPr>
        <w:t xml:space="preserve">в т.ч.: </w:t>
      </w:r>
    </w:p>
    <w:p w14:paraId="153F083C" w14:textId="3CA9A938" w:rsidR="0081379D" w:rsidRPr="00887584" w:rsidRDefault="00F1384F" w:rsidP="005F0B57">
      <w:pPr>
        <w:pStyle w:val="ListParagraph"/>
        <w:numPr>
          <w:ilvl w:val="0"/>
          <w:numId w:val="10"/>
        </w:numPr>
        <w:tabs>
          <w:tab w:val="clear" w:pos="680"/>
        </w:tabs>
        <w:ind w:left="567" w:hanging="283"/>
        <w:rPr>
          <w:rFonts w:eastAsia="Times New Roman"/>
          <w:szCs w:val="24"/>
        </w:rPr>
      </w:pPr>
      <w:r>
        <w:rPr>
          <w:rFonts w:eastAsia="Times New Roman"/>
          <w:szCs w:val="24"/>
        </w:rPr>
        <w:t>О</w:t>
      </w:r>
      <w:r w:rsidR="0081379D" w:rsidRPr="00887584">
        <w:rPr>
          <w:rFonts w:eastAsia="Times New Roman"/>
          <w:szCs w:val="24"/>
        </w:rPr>
        <w:t>т 1 януари на всяка календарна година продължава увеличаването на</w:t>
      </w:r>
      <w:r w:rsidR="0081379D" w:rsidRPr="00887584">
        <w:rPr>
          <w:rFonts w:eastAsia="Times New Roman"/>
          <w:b/>
          <w:szCs w:val="24"/>
        </w:rPr>
        <w:t xml:space="preserve"> </w:t>
      </w:r>
      <w:r w:rsidR="0081379D" w:rsidRPr="00887584">
        <w:rPr>
          <w:rFonts w:eastAsia="Times New Roman"/>
          <w:szCs w:val="24"/>
        </w:rPr>
        <w:t xml:space="preserve">възрастта за придобиване право на пенсия с по 2 месеца за жените и с по 1 месец за мъжете, както и на необходимия осигурителен стаж за придобиване </w:t>
      </w:r>
      <w:r w:rsidR="0081379D" w:rsidRPr="00BC5325">
        <w:rPr>
          <w:szCs w:val="24"/>
        </w:rPr>
        <w:t>право</w:t>
      </w:r>
      <w:r w:rsidR="0081379D" w:rsidRPr="00887584">
        <w:rPr>
          <w:rFonts w:eastAsia="Times New Roman"/>
          <w:szCs w:val="24"/>
        </w:rPr>
        <w:t xml:space="preserve"> на пенсия с по 2 месеца и за двата пола. Необходимите условия за пенсиониране на лицата, работили при условията на трета категория труд в периода</w:t>
      </w:r>
      <w:r w:rsidR="009C0E16" w:rsidRPr="00887584">
        <w:rPr>
          <w:rFonts w:eastAsia="Times New Roman"/>
          <w:szCs w:val="24"/>
        </w:rPr>
        <w:t xml:space="preserve"> </w:t>
      </w:r>
      <w:r w:rsidR="0081379D" w:rsidRPr="00887584">
        <w:rPr>
          <w:rFonts w:eastAsia="Times New Roman"/>
          <w:szCs w:val="24"/>
        </w:rPr>
        <w:t>20</w:t>
      </w:r>
      <w:r w:rsidR="0081379D" w:rsidRPr="00887584">
        <w:rPr>
          <w:rFonts w:eastAsia="Times New Roman"/>
          <w:szCs w:val="24"/>
          <w:lang w:val="en-US"/>
        </w:rPr>
        <w:t>2</w:t>
      </w:r>
      <w:r w:rsidR="0081379D" w:rsidRPr="00887584">
        <w:rPr>
          <w:rFonts w:eastAsia="Times New Roman"/>
          <w:szCs w:val="24"/>
        </w:rPr>
        <w:t>3 – 2025</w:t>
      </w:r>
      <w:r w:rsidR="00DF07FD">
        <w:rPr>
          <w:rFonts w:eastAsia="Times New Roman"/>
          <w:szCs w:val="24"/>
        </w:rPr>
        <w:t> г.</w:t>
      </w:r>
      <w:r w:rsidR="0081379D" w:rsidRPr="00887584">
        <w:rPr>
          <w:rFonts w:eastAsia="Times New Roman"/>
          <w:szCs w:val="24"/>
        </w:rPr>
        <w:t xml:space="preserve"> са посочени в таблицата по-долу:</w:t>
      </w:r>
    </w:p>
    <w:p w14:paraId="5CBA6089" w14:textId="44C5C25C" w:rsidR="0081379D" w:rsidRPr="00887584" w:rsidRDefault="0081379D" w:rsidP="00BC5325">
      <w:pPr>
        <w:pStyle w:val="Caption"/>
      </w:pPr>
      <w:r w:rsidRPr="00887584">
        <w:t>Табл</w:t>
      </w:r>
      <w:r w:rsidR="00887584">
        <w:t>. 3-2</w:t>
      </w:r>
      <w:r w:rsidR="0014349B">
        <w:t>:</w:t>
      </w:r>
      <w:r w:rsidRPr="00887584">
        <w:t xml:space="preserve"> „Условия за пенсиониране по чл. 68, ал. 1-2 на КСО, 20</w:t>
      </w:r>
      <w:r w:rsidRPr="00887584">
        <w:rPr>
          <w:lang w:val="en-US"/>
        </w:rPr>
        <w:t>2</w:t>
      </w:r>
      <w:r w:rsidRPr="00887584">
        <w:t>3–2025</w:t>
      </w:r>
      <w:r w:rsidR="00DF07FD">
        <w:t> г.</w:t>
      </w:r>
      <w:r w:rsidRPr="00887584">
        <w:t>“</w:t>
      </w:r>
    </w:p>
    <w:tbl>
      <w:tblPr>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Look w:val="01E0" w:firstRow="1" w:lastRow="1" w:firstColumn="1" w:lastColumn="1" w:noHBand="0" w:noVBand="0"/>
      </w:tblPr>
      <w:tblGrid>
        <w:gridCol w:w="1476"/>
        <w:gridCol w:w="1894"/>
        <w:gridCol w:w="1814"/>
        <w:gridCol w:w="2064"/>
        <w:gridCol w:w="1816"/>
      </w:tblGrid>
      <w:tr w:rsidR="00042905" w:rsidRPr="00646E11" w14:paraId="298F9452" w14:textId="77777777" w:rsidTr="0029327F">
        <w:trPr>
          <w:trHeight w:val="454"/>
          <w:jc w:val="center"/>
        </w:trPr>
        <w:tc>
          <w:tcPr>
            <w:tcW w:w="1476" w:type="dxa"/>
            <w:vMerge w:val="restart"/>
            <w:shd w:val="clear" w:color="auto" w:fill="D7D4F1"/>
            <w:vAlign w:val="bottom"/>
          </w:tcPr>
          <w:p w14:paraId="747211BA" w14:textId="2479968C" w:rsidR="00042905" w:rsidRPr="00646E11" w:rsidRDefault="00042905" w:rsidP="006166F3">
            <w:pPr>
              <w:tabs>
                <w:tab w:val="left" w:pos="2736"/>
              </w:tabs>
              <w:spacing w:after="0"/>
              <w:ind w:left="55"/>
              <w:jc w:val="center"/>
              <w:rPr>
                <w:bCs/>
                <w:sz w:val="20"/>
                <w:szCs w:val="24"/>
              </w:rPr>
            </w:pPr>
            <w:r w:rsidRPr="00646E11">
              <w:rPr>
                <w:b/>
                <w:bCs/>
                <w:sz w:val="20"/>
                <w:szCs w:val="24"/>
              </w:rPr>
              <w:t>година</w:t>
            </w:r>
          </w:p>
        </w:tc>
        <w:tc>
          <w:tcPr>
            <w:tcW w:w="3708" w:type="dxa"/>
            <w:gridSpan w:val="2"/>
            <w:shd w:val="clear" w:color="auto" w:fill="D7D4F1"/>
            <w:vAlign w:val="center"/>
            <w:hideMark/>
          </w:tcPr>
          <w:p w14:paraId="571EF565" w14:textId="77777777" w:rsidR="00042905" w:rsidRPr="00646E11" w:rsidRDefault="00042905" w:rsidP="006166F3">
            <w:pPr>
              <w:tabs>
                <w:tab w:val="left" w:pos="2736"/>
              </w:tabs>
              <w:spacing w:after="0"/>
              <w:ind w:left="55"/>
              <w:jc w:val="center"/>
              <w:rPr>
                <w:b/>
                <w:bCs/>
                <w:sz w:val="20"/>
                <w:szCs w:val="24"/>
              </w:rPr>
            </w:pPr>
            <w:r w:rsidRPr="00646E11">
              <w:rPr>
                <w:b/>
                <w:bCs/>
                <w:sz w:val="20"/>
                <w:szCs w:val="24"/>
              </w:rPr>
              <w:t>ЖЕНИ</w:t>
            </w:r>
          </w:p>
        </w:tc>
        <w:tc>
          <w:tcPr>
            <w:tcW w:w="3880" w:type="dxa"/>
            <w:gridSpan w:val="2"/>
            <w:shd w:val="clear" w:color="auto" w:fill="D7D4F1"/>
            <w:vAlign w:val="center"/>
            <w:hideMark/>
          </w:tcPr>
          <w:p w14:paraId="59B90206" w14:textId="77777777" w:rsidR="00042905" w:rsidRPr="00646E11" w:rsidRDefault="00042905" w:rsidP="006166F3">
            <w:pPr>
              <w:tabs>
                <w:tab w:val="left" w:pos="2736"/>
              </w:tabs>
              <w:spacing w:after="0"/>
              <w:ind w:left="55"/>
              <w:jc w:val="center"/>
              <w:rPr>
                <w:b/>
                <w:bCs/>
                <w:sz w:val="20"/>
                <w:szCs w:val="24"/>
              </w:rPr>
            </w:pPr>
            <w:r w:rsidRPr="00646E11">
              <w:rPr>
                <w:b/>
                <w:bCs/>
                <w:sz w:val="20"/>
                <w:szCs w:val="24"/>
              </w:rPr>
              <w:t>МЪЖЕ</w:t>
            </w:r>
          </w:p>
        </w:tc>
      </w:tr>
      <w:tr w:rsidR="00042905" w:rsidRPr="00646E11" w14:paraId="700678F2" w14:textId="77777777" w:rsidTr="0029327F">
        <w:trPr>
          <w:trHeight w:val="454"/>
          <w:jc w:val="center"/>
        </w:trPr>
        <w:tc>
          <w:tcPr>
            <w:tcW w:w="1476" w:type="dxa"/>
            <w:vMerge/>
            <w:shd w:val="clear" w:color="auto" w:fill="D7D4F1"/>
            <w:vAlign w:val="center"/>
            <w:hideMark/>
          </w:tcPr>
          <w:p w14:paraId="0439D619" w14:textId="600B16E1" w:rsidR="00042905" w:rsidRPr="00646E11" w:rsidRDefault="00042905" w:rsidP="006166F3">
            <w:pPr>
              <w:tabs>
                <w:tab w:val="left" w:pos="2736"/>
              </w:tabs>
              <w:spacing w:after="0"/>
              <w:ind w:left="55"/>
              <w:jc w:val="center"/>
              <w:rPr>
                <w:b/>
                <w:bCs/>
                <w:sz w:val="20"/>
                <w:szCs w:val="24"/>
              </w:rPr>
            </w:pPr>
          </w:p>
        </w:tc>
        <w:tc>
          <w:tcPr>
            <w:tcW w:w="1894" w:type="dxa"/>
            <w:shd w:val="clear" w:color="auto" w:fill="D7D4F1"/>
            <w:vAlign w:val="center"/>
            <w:hideMark/>
          </w:tcPr>
          <w:p w14:paraId="39D73B6C" w14:textId="77777777" w:rsidR="00042905" w:rsidRPr="00646E11" w:rsidRDefault="00042905" w:rsidP="006166F3">
            <w:pPr>
              <w:tabs>
                <w:tab w:val="left" w:pos="2736"/>
              </w:tabs>
              <w:spacing w:after="0"/>
              <w:ind w:left="55"/>
              <w:jc w:val="center"/>
              <w:rPr>
                <w:b/>
                <w:bCs/>
                <w:sz w:val="20"/>
                <w:szCs w:val="24"/>
              </w:rPr>
            </w:pPr>
            <w:r w:rsidRPr="00646E11">
              <w:rPr>
                <w:b/>
                <w:bCs/>
                <w:sz w:val="20"/>
                <w:szCs w:val="24"/>
              </w:rPr>
              <w:t>възраст</w:t>
            </w:r>
          </w:p>
        </w:tc>
        <w:tc>
          <w:tcPr>
            <w:tcW w:w="1814" w:type="dxa"/>
            <w:shd w:val="clear" w:color="auto" w:fill="D7D4F1"/>
            <w:vAlign w:val="center"/>
            <w:hideMark/>
          </w:tcPr>
          <w:p w14:paraId="110F7CDF" w14:textId="77777777" w:rsidR="00042905" w:rsidRPr="00646E11" w:rsidRDefault="00042905" w:rsidP="006166F3">
            <w:pPr>
              <w:tabs>
                <w:tab w:val="left" w:pos="2736"/>
              </w:tabs>
              <w:spacing w:after="0"/>
              <w:ind w:left="55"/>
              <w:jc w:val="center"/>
              <w:rPr>
                <w:b/>
                <w:bCs/>
                <w:sz w:val="20"/>
                <w:szCs w:val="24"/>
              </w:rPr>
            </w:pPr>
            <w:r w:rsidRPr="00646E11">
              <w:rPr>
                <w:b/>
                <w:bCs/>
                <w:sz w:val="20"/>
                <w:szCs w:val="24"/>
              </w:rPr>
              <w:t>стаж</w:t>
            </w:r>
          </w:p>
        </w:tc>
        <w:tc>
          <w:tcPr>
            <w:tcW w:w="2064" w:type="dxa"/>
            <w:shd w:val="clear" w:color="auto" w:fill="D7D4F1"/>
            <w:vAlign w:val="center"/>
            <w:hideMark/>
          </w:tcPr>
          <w:p w14:paraId="1A363A4D" w14:textId="77777777" w:rsidR="00042905" w:rsidRPr="00646E11" w:rsidRDefault="00042905" w:rsidP="006166F3">
            <w:pPr>
              <w:tabs>
                <w:tab w:val="left" w:pos="2736"/>
              </w:tabs>
              <w:spacing w:after="0"/>
              <w:ind w:left="55"/>
              <w:jc w:val="center"/>
              <w:rPr>
                <w:b/>
                <w:bCs/>
                <w:sz w:val="20"/>
                <w:szCs w:val="24"/>
              </w:rPr>
            </w:pPr>
            <w:r w:rsidRPr="00646E11">
              <w:rPr>
                <w:b/>
                <w:bCs/>
                <w:sz w:val="20"/>
                <w:szCs w:val="24"/>
              </w:rPr>
              <w:t>възраст</w:t>
            </w:r>
          </w:p>
        </w:tc>
        <w:tc>
          <w:tcPr>
            <w:tcW w:w="1816" w:type="dxa"/>
            <w:shd w:val="clear" w:color="auto" w:fill="D7D4F1"/>
            <w:vAlign w:val="center"/>
            <w:hideMark/>
          </w:tcPr>
          <w:p w14:paraId="2D6753CC" w14:textId="77777777" w:rsidR="00042905" w:rsidRPr="00646E11" w:rsidRDefault="00042905" w:rsidP="006166F3">
            <w:pPr>
              <w:tabs>
                <w:tab w:val="left" w:pos="2736"/>
              </w:tabs>
              <w:spacing w:after="0"/>
              <w:ind w:left="55"/>
              <w:jc w:val="center"/>
              <w:rPr>
                <w:b/>
                <w:bCs/>
                <w:sz w:val="20"/>
                <w:szCs w:val="24"/>
              </w:rPr>
            </w:pPr>
            <w:r w:rsidRPr="00646E11">
              <w:rPr>
                <w:b/>
                <w:bCs/>
                <w:sz w:val="20"/>
                <w:szCs w:val="24"/>
              </w:rPr>
              <w:t>стаж</w:t>
            </w:r>
          </w:p>
        </w:tc>
      </w:tr>
      <w:tr w:rsidR="005B2032" w:rsidRPr="00646E11" w14:paraId="219C33C0" w14:textId="77777777" w:rsidTr="0029327F">
        <w:trPr>
          <w:trHeight w:val="454"/>
          <w:jc w:val="center"/>
        </w:trPr>
        <w:tc>
          <w:tcPr>
            <w:tcW w:w="1476" w:type="dxa"/>
            <w:shd w:val="clear" w:color="auto" w:fill="auto"/>
            <w:vAlign w:val="center"/>
            <w:hideMark/>
          </w:tcPr>
          <w:p w14:paraId="435AD2D3" w14:textId="77777777" w:rsidR="0081379D" w:rsidRPr="00646E11" w:rsidRDefault="0081379D" w:rsidP="006166F3">
            <w:pPr>
              <w:tabs>
                <w:tab w:val="left" w:pos="2736"/>
              </w:tabs>
              <w:spacing w:after="0"/>
              <w:ind w:left="55"/>
              <w:jc w:val="center"/>
              <w:rPr>
                <w:b/>
                <w:bCs/>
                <w:sz w:val="20"/>
                <w:szCs w:val="24"/>
              </w:rPr>
            </w:pPr>
            <w:r w:rsidRPr="00646E11">
              <w:rPr>
                <w:b/>
                <w:bCs/>
                <w:sz w:val="20"/>
                <w:szCs w:val="24"/>
              </w:rPr>
              <w:t>2022</w:t>
            </w:r>
          </w:p>
        </w:tc>
        <w:tc>
          <w:tcPr>
            <w:tcW w:w="1894" w:type="dxa"/>
            <w:shd w:val="clear" w:color="auto" w:fill="auto"/>
            <w:vAlign w:val="center"/>
            <w:hideMark/>
          </w:tcPr>
          <w:p w14:paraId="0E56CCAF" w14:textId="6E863E6D" w:rsidR="0081379D" w:rsidRPr="00646E11" w:rsidRDefault="0081379D" w:rsidP="006166F3">
            <w:pPr>
              <w:tabs>
                <w:tab w:val="left" w:pos="2736"/>
              </w:tabs>
              <w:spacing w:after="0"/>
              <w:ind w:left="55"/>
              <w:jc w:val="center"/>
              <w:rPr>
                <w:bCs/>
                <w:sz w:val="20"/>
                <w:szCs w:val="24"/>
              </w:rPr>
            </w:pPr>
            <w:r w:rsidRPr="00646E11">
              <w:rPr>
                <w:bCs/>
                <w:sz w:val="20"/>
                <w:szCs w:val="24"/>
              </w:rPr>
              <w:t>61</w:t>
            </w:r>
            <w:r w:rsidR="00DF07FD" w:rsidRPr="00646E11">
              <w:rPr>
                <w:bCs/>
                <w:sz w:val="20"/>
                <w:szCs w:val="24"/>
              </w:rPr>
              <w:t> г.</w:t>
            </w:r>
            <w:r w:rsidRPr="00646E11">
              <w:rPr>
                <w:bCs/>
                <w:sz w:val="20"/>
                <w:szCs w:val="24"/>
              </w:rPr>
              <w:t xml:space="preserve"> и 10 м.</w:t>
            </w:r>
          </w:p>
        </w:tc>
        <w:tc>
          <w:tcPr>
            <w:tcW w:w="1814" w:type="dxa"/>
            <w:shd w:val="clear" w:color="auto" w:fill="auto"/>
            <w:vAlign w:val="center"/>
            <w:hideMark/>
          </w:tcPr>
          <w:p w14:paraId="32F71BDC" w14:textId="710C0258" w:rsidR="0081379D" w:rsidRPr="00646E11" w:rsidRDefault="0081379D" w:rsidP="006166F3">
            <w:pPr>
              <w:tabs>
                <w:tab w:val="left" w:pos="2736"/>
              </w:tabs>
              <w:spacing w:after="0"/>
              <w:ind w:left="55"/>
              <w:jc w:val="center"/>
              <w:rPr>
                <w:bCs/>
                <w:sz w:val="20"/>
                <w:szCs w:val="24"/>
              </w:rPr>
            </w:pPr>
            <w:r w:rsidRPr="00646E11">
              <w:rPr>
                <w:bCs/>
                <w:sz w:val="20"/>
                <w:szCs w:val="24"/>
              </w:rPr>
              <w:t>36</w:t>
            </w:r>
            <w:r w:rsidR="00DF07FD" w:rsidRPr="00646E11">
              <w:rPr>
                <w:bCs/>
                <w:sz w:val="20"/>
                <w:szCs w:val="24"/>
              </w:rPr>
              <w:t> г.</w:t>
            </w:r>
            <w:r w:rsidRPr="00646E11">
              <w:rPr>
                <w:bCs/>
                <w:sz w:val="20"/>
                <w:szCs w:val="24"/>
              </w:rPr>
              <w:t xml:space="preserve"> и 2 м.</w:t>
            </w:r>
          </w:p>
        </w:tc>
        <w:tc>
          <w:tcPr>
            <w:tcW w:w="2064" w:type="dxa"/>
            <w:shd w:val="clear" w:color="auto" w:fill="auto"/>
            <w:vAlign w:val="center"/>
            <w:hideMark/>
          </w:tcPr>
          <w:p w14:paraId="4CF488EF" w14:textId="70C47803" w:rsidR="0081379D" w:rsidRPr="00646E11" w:rsidRDefault="0081379D" w:rsidP="006166F3">
            <w:pPr>
              <w:tabs>
                <w:tab w:val="left" w:pos="2736"/>
              </w:tabs>
              <w:spacing w:after="0"/>
              <w:ind w:left="55"/>
              <w:jc w:val="center"/>
              <w:rPr>
                <w:bCs/>
                <w:sz w:val="20"/>
                <w:szCs w:val="24"/>
              </w:rPr>
            </w:pPr>
            <w:r w:rsidRPr="00646E11">
              <w:rPr>
                <w:bCs/>
                <w:sz w:val="20"/>
                <w:szCs w:val="24"/>
              </w:rPr>
              <w:t>64</w:t>
            </w:r>
            <w:r w:rsidR="00DF07FD" w:rsidRPr="00646E11">
              <w:rPr>
                <w:bCs/>
                <w:sz w:val="20"/>
                <w:szCs w:val="24"/>
              </w:rPr>
              <w:t> г.</w:t>
            </w:r>
            <w:r w:rsidRPr="00646E11">
              <w:rPr>
                <w:bCs/>
                <w:sz w:val="20"/>
                <w:szCs w:val="24"/>
              </w:rPr>
              <w:t xml:space="preserve"> и 5 м.</w:t>
            </w:r>
          </w:p>
        </w:tc>
        <w:tc>
          <w:tcPr>
            <w:tcW w:w="1816" w:type="dxa"/>
            <w:shd w:val="clear" w:color="auto" w:fill="auto"/>
            <w:vAlign w:val="center"/>
            <w:hideMark/>
          </w:tcPr>
          <w:p w14:paraId="5C3613A3" w14:textId="0BF598DC" w:rsidR="0081379D" w:rsidRPr="00646E11" w:rsidRDefault="0081379D" w:rsidP="006166F3">
            <w:pPr>
              <w:tabs>
                <w:tab w:val="left" w:pos="2736"/>
              </w:tabs>
              <w:spacing w:after="0"/>
              <w:ind w:left="55"/>
              <w:jc w:val="center"/>
              <w:rPr>
                <w:bCs/>
                <w:sz w:val="20"/>
                <w:szCs w:val="24"/>
              </w:rPr>
            </w:pPr>
            <w:r w:rsidRPr="00646E11">
              <w:rPr>
                <w:bCs/>
                <w:sz w:val="20"/>
                <w:szCs w:val="24"/>
              </w:rPr>
              <w:t>39</w:t>
            </w:r>
            <w:r w:rsidR="00DF07FD" w:rsidRPr="00646E11">
              <w:rPr>
                <w:bCs/>
                <w:sz w:val="20"/>
                <w:szCs w:val="24"/>
              </w:rPr>
              <w:t> г.</w:t>
            </w:r>
            <w:r w:rsidRPr="00646E11">
              <w:rPr>
                <w:bCs/>
                <w:sz w:val="20"/>
                <w:szCs w:val="24"/>
              </w:rPr>
              <w:t xml:space="preserve"> и 2 м.</w:t>
            </w:r>
          </w:p>
        </w:tc>
      </w:tr>
      <w:tr w:rsidR="005B2032" w:rsidRPr="00646E11" w14:paraId="61033CB2" w14:textId="77777777" w:rsidTr="0029327F">
        <w:trPr>
          <w:trHeight w:val="454"/>
          <w:jc w:val="center"/>
        </w:trPr>
        <w:tc>
          <w:tcPr>
            <w:tcW w:w="1476" w:type="dxa"/>
            <w:shd w:val="clear" w:color="auto" w:fill="auto"/>
            <w:vAlign w:val="center"/>
            <w:hideMark/>
          </w:tcPr>
          <w:p w14:paraId="007A16EF" w14:textId="77777777" w:rsidR="0081379D" w:rsidRPr="00646E11" w:rsidRDefault="0081379D" w:rsidP="006166F3">
            <w:pPr>
              <w:tabs>
                <w:tab w:val="left" w:pos="2736"/>
              </w:tabs>
              <w:spacing w:after="0"/>
              <w:ind w:left="55"/>
              <w:jc w:val="center"/>
              <w:rPr>
                <w:b/>
                <w:bCs/>
                <w:sz w:val="20"/>
                <w:szCs w:val="24"/>
              </w:rPr>
            </w:pPr>
            <w:r w:rsidRPr="00646E11">
              <w:rPr>
                <w:b/>
                <w:bCs/>
                <w:sz w:val="20"/>
                <w:szCs w:val="24"/>
              </w:rPr>
              <w:t>2023</w:t>
            </w:r>
          </w:p>
        </w:tc>
        <w:tc>
          <w:tcPr>
            <w:tcW w:w="1894" w:type="dxa"/>
            <w:shd w:val="clear" w:color="auto" w:fill="auto"/>
            <w:vAlign w:val="center"/>
            <w:hideMark/>
          </w:tcPr>
          <w:p w14:paraId="66CE7B8E" w14:textId="052FAA81" w:rsidR="0081379D" w:rsidRPr="00646E11" w:rsidRDefault="0081379D" w:rsidP="006166F3">
            <w:pPr>
              <w:tabs>
                <w:tab w:val="left" w:pos="2736"/>
              </w:tabs>
              <w:spacing w:after="0"/>
              <w:ind w:left="55"/>
              <w:jc w:val="center"/>
              <w:rPr>
                <w:bCs/>
                <w:sz w:val="20"/>
                <w:szCs w:val="24"/>
              </w:rPr>
            </w:pPr>
            <w:r w:rsidRPr="00646E11">
              <w:rPr>
                <w:bCs/>
                <w:sz w:val="20"/>
                <w:szCs w:val="24"/>
              </w:rPr>
              <w:t>62</w:t>
            </w:r>
            <w:r w:rsidR="00DF07FD" w:rsidRPr="00646E11">
              <w:rPr>
                <w:bCs/>
                <w:sz w:val="20"/>
                <w:szCs w:val="24"/>
              </w:rPr>
              <w:t> г.</w:t>
            </w:r>
          </w:p>
        </w:tc>
        <w:tc>
          <w:tcPr>
            <w:tcW w:w="1814" w:type="dxa"/>
            <w:shd w:val="clear" w:color="auto" w:fill="auto"/>
            <w:vAlign w:val="center"/>
            <w:hideMark/>
          </w:tcPr>
          <w:p w14:paraId="1A66E14A" w14:textId="733760AA" w:rsidR="0081379D" w:rsidRPr="00646E11" w:rsidRDefault="0081379D" w:rsidP="006166F3">
            <w:pPr>
              <w:tabs>
                <w:tab w:val="left" w:pos="2736"/>
              </w:tabs>
              <w:spacing w:after="0"/>
              <w:ind w:left="55"/>
              <w:jc w:val="center"/>
              <w:rPr>
                <w:bCs/>
                <w:sz w:val="20"/>
                <w:szCs w:val="24"/>
              </w:rPr>
            </w:pPr>
            <w:r w:rsidRPr="00646E11">
              <w:rPr>
                <w:bCs/>
                <w:sz w:val="20"/>
                <w:szCs w:val="24"/>
              </w:rPr>
              <w:t>36</w:t>
            </w:r>
            <w:r w:rsidR="00DF07FD" w:rsidRPr="00646E11">
              <w:rPr>
                <w:bCs/>
                <w:sz w:val="20"/>
                <w:szCs w:val="24"/>
              </w:rPr>
              <w:t> г.</w:t>
            </w:r>
            <w:r w:rsidRPr="00646E11">
              <w:rPr>
                <w:bCs/>
                <w:sz w:val="20"/>
                <w:szCs w:val="24"/>
              </w:rPr>
              <w:t xml:space="preserve"> и 4 м.</w:t>
            </w:r>
          </w:p>
        </w:tc>
        <w:tc>
          <w:tcPr>
            <w:tcW w:w="2064" w:type="dxa"/>
            <w:shd w:val="clear" w:color="auto" w:fill="auto"/>
            <w:vAlign w:val="center"/>
            <w:hideMark/>
          </w:tcPr>
          <w:p w14:paraId="77DD85A2" w14:textId="23DE4253" w:rsidR="0081379D" w:rsidRPr="00646E11" w:rsidRDefault="0081379D" w:rsidP="006166F3">
            <w:pPr>
              <w:tabs>
                <w:tab w:val="left" w:pos="2736"/>
              </w:tabs>
              <w:spacing w:after="0"/>
              <w:ind w:left="55"/>
              <w:jc w:val="center"/>
              <w:rPr>
                <w:bCs/>
                <w:sz w:val="20"/>
                <w:szCs w:val="24"/>
              </w:rPr>
            </w:pPr>
            <w:r w:rsidRPr="00646E11">
              <w:rPr>
                <w:bCs/>
                <w:sz w:val="20"/>
                <w:szCs w:val="24"/>
              </w:rPr>
              <w:t>64</w:t>
            </w:r>
            <w:r w:rsidR="00DF07FD" w:rsidRPr="00646E11">
              <w:rPr>
                <w:bCs/>
                <w:sz w:val="20"/>
                <w:szCs w:val="24"/>
              </w:rPr>
              <w:t> г.</w:t>
            </w:r>
            <w:r w:rsidRPr="00646E11">
              <w:rPr>
                <w:bCs/>
                <w:sz w:val="20"/>
                <w:szCs w:val="24"/>
              </w:rPr>
              <w:t xml:space="preserve"> и 6 м.</w:t>
            </w:r>
          </w:p>
        </w:tc>
        <w:tc>
          <w:tcPr>
            <w:tcW w:w="1816" w:type="dxa"/>
            <w:shd w:val="clear" w:color="auto" w:fill="auto"/>
            <w:vAlign w:val="center"/>
            <w:hideMark/>
          </w:tcPr>
          <w:p w14:paraId="085C8912" w14:textId="2EE501F1" w:rsidR="0081379D" w:rsidRPr="00646E11" w:rsidRDefault="0081379D" w:rsidP="006166F3">
            <w:pPr>
              <w:tabs>
                <w:tab w:val="left" w:pos="2736"/>
              </w:tabs>
              <w:spacing w:after="0"/>
              <w:ind w:left="55"/>
              <w:jc w:val="center"/>
              <w:rPr>
                <w:bCs/>
                <w:sz w:val="20"/>
                <w:szCs w:val="24"/>
              </w:rPr>
            </w:pPr>
            <w:r w:rsidRPr="00646E11">
              <w:rPr>
                <w:bCs/>
                <w:sz w:val="20"/>
                <w:szCs w:val="24"/>
              </w:rPr>
              <w:t>39</w:t>
            </w:r>
            <w:r w:rsidR="00DF07FD" w:rsidRPr="00646E11">
              <w:rPr>
                <w:bCs/>
                <w:sz w:val="20"/>
                <w:szCs w:val="24"/>
              </w:rPr>
              <w:t> г.</w:t>
            </w:r>
            <w:r w:rsidRPr="00646E11">
              <w:rPr>
                <w:bCs/>
                <w:sz w:val="20"/>
                <w:szCs w:val="24"/>
              </w:rPr>
              <w:t xml:space="preserve"> и 4 м.</w:t>
            </w:r>
          </w:p>
        </w:tc>
      </w:tr>
      <w:tr w:rsidR="005B2032" w:rsidRPr="00646E11" w14:paraId="384AA03D" w14:textId="77777777" w:rsidTr="0029327F">
        <w:trPr>
          <w:trHeight w:val="454"/>
          <w:jc w:val="center"/>
        </w:trPr>
        <w:tc>
          <w:tcPr>
            <w:tcW w:w="1476" w:type="dxa"/>
            <w:shd w:val="clear" w:color="auto" w:fill="auto"/>
            <w:vAlign w:val="center"/>
            <w:hideMark/>
          </w:tcPr>
          <w:p w14:paraId="543C6B9A" w14:textId="77777777" w:rsidR="0081379D" w:rsidRPr="00646E11" w:rsidRDefault="0081379D" w:rsidP="006166F3">
            <w:pPr>
              <w:tabs>
                <w:tab w:val="left" w:pos="2736"/>
              </w:tabs>
              <w:spacing w:after="0"/>
              <w:ind w:left="55"/>
              <w:jc w:val="center"/>
              <w:rPr>
                <w:b/>
                <w:bCs/>
                <w:sz w:val="20"/>
                <w:szCs w:val="24"/>
              </w:rPr>
            </w:pPr>
            <w:r w:rsidRPr="00646E11">
              <w:rPr>
                <w:b/>
                <w:bCs/>
                <w:sz w:val="20"/>
                <w:szCs w:val="24"/>
              </w:rPr>
              <w:t>2024</w:t>
            </w:r>
          </w:p>
        </w:tc>
        <w:tc>
          <w:tcPr>
            <w:tcW w:w="1894" w:type="dxa"/>
            <w:shd w:val="clear" w:color="auto" w:fill="auto"/>
            <w:vAlign w:val="center"/>
            <w:hideMark/>
          </w:tcPr>
          <w:p w14:paraId="2CF8E536" w14:textId="6356AF48" w:rsidR="0081379D" w:rsidRPr="00646E11" w:rsidRDefault="0081379D" w:rsidP="006166F3">
            <w:pPr>
              <w:tabs>
                <w:tab w:val="left" w:pos="2736"/>
              </w:tabs>
              <w:spacing w:after="0"/>
              <w:ind w:left="55"/>
              <w:jc w:val="center"/>
              <w:rPr>
                <w:bCs/>
                <w:sz w:val="20"/>
                <w:szCs w:val="24"/>
              </w:rPr>
            </w:pPr>
            <w:r w:rsidRPr="00646E11">
              <w:rPr>
                <w:bCs/>
                <w:sz w:val="20"/>
                <w:szCs w:val="24"/>
              </w:rPr>
              <w:t>62</w:t>
            </w:r>
            <w:r w:rsidR="00DF07FD" w:rsidRPr="00646E11">
              <w:rPr>
                <w:bCs/>
                <w:sz w:val="20"/>
                <w:szCs w:val="24"/>
              </w:rPr>
              <w:t> г.</w:t>
            </w:r>
            <w:r w:rsidRPr="00646E11">
              <w:rPr>
                <w:bCs/>
                <w:sz w:val="20"/>
                <w:szCs w:val="24"/>
              </w:rPr>
              <w:t xml:space="preserve"> и 2 м.</w:t>
            </w:r>
          </w:p>
        </w:tc>
        <w:tc>
          <w:tcPr>
            <w:tcW w:w="1814" w:type="dxa"/>
            <w:shd w:val="clear" w:color="auto" w:fill="auto"/>
            <w:vAlign w:val="center"/>
            <w:hideMark/>
          </w:tcPr>
          <w:p w14:paraId="637E2288" w14:textId="087395D1" w:rsidR="0081379D" w:rsidRPr="00646E11" w:rsidRDefault="0081379D" w:rsidP="006166F3">
            <w:pPr>
              <w:tabs>
                <w:tab w:val="left" w:pos="2736"/>
              </w:tabs>
              <w:spacing w:after="0"/>
              <w:ind w:left="55"/>
              <w:jc w:val="center"/>
              <w:rPr>
                <w:bCs/>
                <w:sz w:val="20"/>
                <w:szCs w:val="24"/>
              </w:rPr>
            </w:pPr>
            <w:r w:rsidRPr="00646E11">
              <w:rPr>
                <w:bCs/>
                <w:sz w:val="20"/>
                <w:szCs w:val="24"/>
              </w:rPr>
              <w:t>36</w:t>
            </w:r>
            <w:r w:rsidR="00DF07FD" w:rsidRPr="00646E11">
              <w:rPr>
                <w:bCs/>
                <w:sz w:val="20"/>
                <w:szCs w:val="24"/>
              </w:rPr>
              <w:t> г.</w:t>
            </w:r>
            <w:r w:rsidRPr="00646E11">
              <w:rPr>
                <w:bCs/>
                <w:sz w:val="20"/>
                <w:szCs w:val="24"/>
              </w:rPr>
              <w:t xml:space="preserve"> и 6 м.</w:t>
            </w:r>
          </w:p>
        </w:tc>
        <w:tc>
          <w:tcPr>
            <w:tcW w:w="2064" w:type="dxa"/>
            <w:shd w:val="clear" w:color="auto" w:fill="auto"/>
            <w:vAlign w:val="center"/>
            <w:hideMark/>
          </w:tcPr>
          <w:p w14:paraId="78FF940B" w14:textId="23E7029F" w:rsidR="0081379D" w:rsidRPr="00646E11" w:rsidRDefault="0081379D" w:rsidP="006166F3">
            <w:pPr>
              <w:tabs>
                <w:tab w:val="left" w:pos="2736"/>
              </w:tabs>
              <w:spacing w:after="0"/>
              <w:ind w:left="55"/>
              <w:jc w:val="center"/>
              <w:rPr>
                <w:bCs/>
                <w:sz w:val="20"/>
                <w:szCs w:val="24"/>
              </w:rPr>
            </w:pPr>
            <w:r w:rsidRPr="00646E11">
              <w:rPr>
                <w:bCs/>
                <w:sz w:val="20"/>
                <w:szCs w:val="24"/>
              </w:rPr>
              <w:t>64</w:t>
            </w:r>
            <w:r w:rsidR="00DF07FD" w:rsidRPr="00646E11">
              <w:rPr>
                <w:bCs/>
                <w:sz w:val="20"/>
                <w:szCs w:val="24"/>
              </w:rPr>
              <w:t> г.</w:t>
            </w:r>
            <w:r w:rsidRPr="00646E11">
              <w:rPr>
                <w:bCs/>
                <w:sz w:val="20"/>
                <w:szCs w:val="24"/>
              </w:rPr>
              <w:t xml:space="preserve"> и 7 м.</w:t>
            </w:r>
          </w:p>
        </w:tc>
        <w:tc>
          <w:tcPr>
            <w:tcW w:w="1816" w:type="dxa"/>
            <w:shd w:val="clear" w:color="auto" w:fill="auto"/>
            <w:vAlign w:val="center"/>
            <w:hideMark/>
          </w:tcPr>
          <w:p w14:paraId="7FDF65A0" w14:textId="1F7324FF" w:rsidR="0081379D" w:rsidRPr="00646E11" w:rsidRDefault="0081379D" w:rsidP="006166F3">
            <w:pPr>
              <w:tabs>
                <w:tab w:val="left" w:pos="2736"/>
              </w:tabs>
              <w:spacing w:after="0"/>
              <w:ind w:left="55"/>
              <w:jc w:val="center"/>
              <w:rPr>
                <w:bCs/>
                <w:sz w:val="20"/>
                <w:szCs w:val="24"/>
              </w:rPr>
            </w:pPr>
            <w:r w:rsidRPr="00646E11">
              <w:rPr>
                <w:bCs/>
                <w:sz w:val="20"/>
                <w:szCs w:val="24"/>
              </w:rPr>
              <w:t>39</w:t>
            </w:r>
            <w:r w:rsidR="00DF07FD" w:rsidRPr="00646E11">
              <w:rPr>
                <w:bCs/>
                <w:sz w:val="20"/>
                <w:szCs w:val="24"/>
              </w:rPr>
              <w:t> г.</w:t>
            </w:r>
            <w:r w:rsidRPr="00646E11">
              <w:rPr>
                <w:bCs/>
                <w:sz w:val="20"/>
                <w:szCs w:val="24"/>
              </w:rPr>
              <w:t xml:space="preserve"> и 6 м.</w:t>
            </w:r>
          </w:p>
        </w:tc>
      </w:tr>
      <w:tr w:rsidR="005B2032" w:rsidRPr="00646E11" w14:paraId="695D2F7E" w14:textId="77777777" w:rsidTr="0029327F">
        <w:trPr>
          <w:trHeight w:val="454"/>
          <w:jc w:val="center"/>
        </w:trPr>
        <w:tc>
          <w:tcPr>
            <w:tcW w:w="1476" w:type="dxa"/>
            <w:shd w:val="clear" w:color="auto" w:fill="auto"/>
            <w:vAlign w:val="center"/>
            <w:hideMark/>
          </w:tcPr>
          <w:p w14:paraId="21F21A68" w14:textId="77777777" w:rsidR="0081379D" w:rsidRPr="00646E11" w:rsidRDefault="0081379D" w:rsidP="006166F3">
            <w:pPr>
              <w:tabs>
                <w:tab w:val="left" w:pos="2736"/>
              </w:tabs>
              <w:spacing w:after="0"/>
              <w:ind w:left="55"/>
              <w:jc w:val="center"/>
              <w:rPr>
                <w:b/>
                <w:bCs/>
                <w:sz w:val="20"/>
                <w:szCs w:val="24"/>
              </w:rPr>
            </w:pPr>
            <w:r w:rsidRPr="00646E11">
              <w:rPr>
                <w:b/>
                <w:bCs/>
                <w:sz w:val="20"/>
                <w:szCs w:val="24"/>
              </w:rPr>
              <w:t>2025</w:t>
            </w:r>
          </w:p>
        </w:tc>
        <w:tc>
          <w:tcPr>
            <w:tcW w:w="1894" w:type="dxa"/>
            <w:shd w:val="clear" w:color="auto" w:fill="auto"/>
            <w:vAlign w:val="center"/>
            <w:hideMark/>
          </w:tcPr>
          <w:p w14:paraId="5FEBBDE1" w14:textId="1D218F5C" w:rsidR="0081379D" w:rsidRPr="00646E11" w:rsidRDefault="0081379D" w:rsidP="006166F3">
            <w:pPr>
              <w:tabs>
                <w:tab w:val="left" w:pos="2736"/>
              </w:tabs>
              <w:spacing w:after="0"/>
              <w:ind w:left="55"/>
              <w:jc w:val="center"/>
              <w:rPr>
                <w:bCs/>
                <w:sz w:val="20"/>
                <w:szCs w:val="24"/>
              </w:rPr>
            </w:pPr>
            <w:r w:rsidRPr="00646E11">
              <w:rPr>
                <w:bCs/>
                <w:sz w:val="20"/>
                <w:szCs w:val="24"/>
              </w:rPr>
              <w:t>62</w:t>
            </w:r>
            <w:r w:rsidR="00DF07FD" w:rsidRPr="00646E11">
              <w:rPr>
                <w:bCs/>
                <w:sz w:val="20"/>
                <w:szCs w:val="24"/>
              </w:rPr>
              <w:t> г.</w:t>
            </w:r>
            <w:r w:rsidRPr="00646E11">
              <w:rPr>
                <w:bCs/>
                <w:sz w:val="20"/>
                <w:szCs w:val="24"/>
              </w:rPr>
              <w:t xml:space="preserve"> и 4 м.</w:t>
            </w:r>
          </w:p>
        </w:tc>
        <w:tc>
          <w:tcPr>
            <w:tcW w:w="1814" w:type="dxa"/>
            <w:shd w:val="clear" w:color="auto" w:fill="auto"/>
            <w:vAlign w:val="center"/>
            <w:hideMark/>
          </w:tcPr>
          <w:p w14:paraId="71E0401F" w14:textId="3D2D6DAB" w:rsidR="0081379D" w:rsidRPr="00646E11" w:rsidRDefault="0081379D" w:rsidP="006166F3">
            <w:pPr>
              <w:tabs>
                <w:tab w:val="left" w:pos="2736"/>
              </w:tabs>
              <w:spacing w:after="0"/>
              <w:ind w:left="55"/>
              <w:jc w:val="center"/>
              <w:rPr>
                <w:bCs/>
                <w:sz w:val="20"/>
                <w:szCs w:val="24"/>
              </w:rPr>
            </w:pPr>
            <w:r w:rsidRPr="00646E11">
              <w:rPr>
                <w:bCs/>
                <w:sz w:val="20"/>
                <w:szCs w:val="24"/>
              </w:rPr>
              <w:t>36</w:t>
            </w:r>
            <w:r w:rsidR="00DF07FD" w:rsidRPr="00646E11">
              <w:rPr>
                <w:bCs/>
                <w:sz w:val="20"/>
                <w:szCs w:val="24"/>
              </w:rPr>
              <w:t> г.</w:t>
            </w:r>
            <w:r w:rsidRPr="00646E11">
              <w:rPr>
                <w:bCs/>
                <w:sz w:val="20"/>
                <w:szCs w:val="24"/>
              </w:rPr>
              <w:t xml:space="preserve"> и 8 м.</w:t>
            </w:r>
          </w:p>
        </w:tc>
        <w:tc>
          <w:tcPr>
            <w:tcW w:w="2064" w:type="dxa"/>
            <w:shd w:val="clear" w:color="auto" w:fill="auto"/>
            <w:vAlign w:val="center"/>
            <w:hideMark/>
          </w:tcPr>
          <w:p w14:paraId="4308C7DE" w14:textId="1516E417" w:rsidR="0081379D" w:rsidRPr="00646E11" w:rsidRDefault="0081379D" w:rsidP="006166F3">
            <w:pPr>
              <w:tabs>
                <w:tab w:val="left" w:pos="2736"/>
              </w:tabs>
              <w:spacing w:after="0"/>
              <w:ind w:left="55"/>
              <w:jc w:val="center"/>
              <w:rPr>
                <w:bCs/>
                <w:sz w:val="20"/>
                <w:szCs w:val="24"/>
              </w:rPr>
            </w:pPr>
            <w:r w:rsidRPr="00646E11">
              <w:rPr>
                <w:bCs/>
                <w:sz w:val="20"/>
                <w:szCs w:val="24"/>
              </w:rPr>
              <w:t>64</w:t>
            </w:r>
            <w:r w:rsidR="00DF07FD" w:rsidRPr="00646E11">
              <w:rPr>
                <w:bCs/>
                <w:sz w:val="20"/>
                <w:szCs w:val="24"/>
              </w:rPr>
              <w:t> г.</w:t>
            </w:r>
            <w:r w:rsidRPr="00646E11">
              <w:rPr>
                <w:bCs/>
                <w:sz w:val="20"/>
                <w:szCs w:val="24"/>
              </w:rPr>
              <w:t xml:space="preserve"> и 8 м.</w:t>
            </w:r>
          </w:p>
        </w:tc>
        <w:tc>
          <w:tcPr>
            <w:tcW w:w="1816" w:type="dxa"/>
            <w:shd w:val="clear" w:color="auto" w:fill="auto"/>
            <w:vAlign w:val="center"/>
            <w:hideMark/>
          </w:tcPr>
          <w:p w14:paraId="42E86AFC" w14:textId="6A338B40" w:rsidR="0081379D" w:rsidRPr="00646E11" w:rsidRDefault="0081379D" w:rsidP="006166F3">
            <w:pPr>
              <w:tabs>
                <w:tab w:val="left" w:pos="2736"/>
              </w:tabs>
              <w:spacing w:after="0"/>
              <w:ind w:left="55"/>
              <w:jc w:val="center"/>
              <w:rPr>
                <w:bCs/>
                <w:sz w:val="20"/>
                <w:szCs w:val="24"/>
              </w:rPr>
            </w:pPr>
            <w:r w:rsidRPr="00646E11">
              <w:rPr>
                <w:bCs/>
                <w:sz w:val="20"/>
                <w:szCs w:val="24"/>
              </w:rPr>
              <w:t>39</w:t>
            </w:r>
            <w:r w:rsidR="00DF07FD" w:rsidRPr="00646E11">
              <w:rPr>
                <w:bCs/>
                <w:sz w:val="20"/>
                <w:szCs w:val="24"/>
              </w:rPr>
              <w:t> г.</w:t>
            </w:r>
            <w:r w:rsidRPr="00646E11">
              <w:rPr>
                <w:bCs/>
                <w:sz w:val="20"/>
                <w:szCs w:val="24"/>
              </w:rPr>
              <w:t xml:space="preserve"> и 8 м.</w:t>
            </w:r>
          </w:p>
        </w:tc>
      </w:tr>
    </w:tbl>
    <w:p w14:paraId="63118A4F" w14:textId="499DEC89" w:rsidR="003F7043" w:rsidRPr="00BC5325" w:rsidRDefault="003F7043" w:rsidP="00BC5325">
      <w:pPr>
        <w:pStyle w:val="a"/>
      </w:pPr>
      <w:r w:rsidRPr="00BC5325">
        <w:t>Източник: НОИ</w:t>
      </w:r>
      <w:r w:rsidR="00272405" w:rsidRPr="00BC5325">
        <w:t>, МФ</w:t>
      </w:r>
    </w:p>
    <w:p w14:paraId="471E3719" w14:textId="34E54F0B" w:rsidR="0081379D" w:rsidRPr="005B2032" w:rsidRDefault="00F1384F" w:rsidP="005F0B57">
      <w:pPr>
        <w:pStyle w:val="ListParagraph"/>
        <w:numPr>
          <w:ilvl w:val="0"/>
          <w:numId w:val="10"/>
        </w:numPr>
        <w:tabs>
          <w:tab w:val="clear" w:pos="680"/>
        </w:tabs>
        <w:ind w:left="567" w:hanging="283"/>
        <w:rPr>
          <w:rFonts w:eastAsia="Times New Roman"/>
          <w:szCs w:val="24"/>
        </w:rPr>
      </w:pPr>
      <w:r>
        <w:rPr>
          <w:rFonts w:eastAsia="Times New Roman"/>
          <w:szCs w:val="24"/>
        </w:rPr>
        <w:t>П</w:t>
      </w:r>
      <w:r w:rsidR="0081379D" w:rsidRPr="005B2032">
        <w:rPr>
          <w:rFonts w:eastAsia="Times New Roman"/>
          <w:szCs w:val="24"/>
        </w:rPr>
        <w:t>родължава нарастването на възрастта за пенсиониране при непълен стаж с по 2 месеца до достигане на 6</w:t>
      </w:r>
      <w:r w:rsidR="0081379D" w:rsidRPr="005B2032">
        <w:rPr>
          <w:rFonts w:eastAsia="Times New Roman"/>
          <w:szCs w:val="24"/>
          <w:lang w:val="en-US"/>
        </w:rPr>
        <w:t>7</w:t>
      </w:r>
      <w:r w:rsidR="0081379D" w:rsidRPr="005B2032">
        <w:rPr>
          <w:rFonts w:eastAsia="Times New Roman"/>
          <w:szCs w:val="24"/>
        </w:rPr>
        <w:t xml:space="preserve"> години в 202</w:t>
      </w:r>
      <w:r w:rsidR="0081379D" w:rsidRPr="005B2032">
        <w:rPr>
          <w:rFonts w:eastAsia="Times New Roman"/>
          <w:szCs w:val="24"/>
          <w:lang w:val="en-US"/>
        </w:rPr>
        <w:t>3</w:t>
      </w:r>
      <w:r w:rsidR="00DF07FD">
        <w:rPr>
          <w:rFonts w:eastAsia="Times New Roman"/>
          <w:szCs w:val="24"/>
        </w:rPr>
        <w:t> г.</w:t>
      </w:r>
      <w:r w:rsidR="0081379D" w:rsidRPr="005B2032">
        <w:rPr>
          <w:rFonts w:eastAsia="Times New Roman"/>
          <w:szCs w:val="24"/>
        </w:rPr>
        <w:t xml:space="preserve"> През 2024 и 2025</w:t>
      </w:r>
      <w:r w:rsidR="00DF07FD">
        <w:rPr>
          <w:rFonts w:eastAsia="Times New Roman"/>
          <w:szCs w:val="24"/>
        </w:rPr>
        <w:t> г.</w:t>
      </w:r>
      <w:r w:rsidR="0081379D" w:rsidRPr="005B2032">
        <w:rPr>
          <w:rFonts w:eastAsia="Times New Roman"/>
          <w:szCs w:val="24"/>
        </w:rPr>
        <w:t xml:space="preserve"> пенсионната възраст се запазва на достигнатото през 2023</w:t>
      </w:r>
      <w:r w:rsidR="00DF07FD">
        <w:rPr>
          <w:rFonts w:eastAsia="Times New Roman"/>
          <w:szCs w:val="24"/>
        </w:rPr>
        <w:t> г.</w:t>
      </w:r>
      <w:r w:rsidR="0081379D" w:rsidRPr="005B2032">
        <w:rPr>
          <w:rFonts w:eastAsia="Times New Roman"/>
          <w:szCs w:val="24"/>
        </w:rPr>
        <w:t xml:space="preserve"> ниво.</w:t>
      </w:r>
    </w:p>
    <w:p w14:paraId="6D348C20" w14:textId="6783BA62" w:rsidR="0081379D" w:rsidRPr="005B2032" w:rsidRDefault="00F1384F" w:rsidP="005F0B57">
      <w:pPr>
        <w:pStyle w:val="ListParagraph"/>
        <w:numPr>
          <w:ilvl w:val="0"/>
          <w:numId w:val="10"/>
        </w:numPr>
        <w:tabs>
          <w:tab w:val="clear" w:pos="680"/>
        </w:tabs>
        <w:ind w:left="567" w:hanging="283"/>
        <w:rPr>
          <w:rFonts w:eastAsia="Times New Roman"/>
          <w:szCs w:val="24"/>
        </w:rPr>
      </w:pPr>
      <w:r>
        <w:rPr>
          <w:rFonts w:eastAsia="Times New Roman"/>
          <w:szCs w:val="24"/>
        </w:rPr>
        <w:t>М</w:t>
      </w:r>
      <w:r w:rsidR="0081379D" w:rsidRPr="005B2032">
        <w:rPr>
          <w:rFonts w:eastAsia="Times New Roman"/>
          <w:szCs w:val="24"/>
        </w:rPr>
        <w:t>инималната</w:t>
      </w:r>
      <w:r w:rsidR="009C0E16" w:rsidRPr="005B2032">
        <w:rPr>
          <w:rFonts w:eastAsia="Times New Roman"/>
          <w:szCs w:val="24"/>
        </w:rPr>
        <w:t xml:space="preserve"> </w:t>
      </w:r>
      <w:r w:rsidR="0081379D" w:rsidRPr="005B2032">
        <w:rPr>
          <w:rFonts w:eastAsia="Times New Roman"/>
          <w:szCs w:val="24"/>
        </w:rPr>
        <w:t>възраст за пенсиониране на работещите в сектор „Отбрана и сигурност” продължава да се увеличава с по 2 месеца до достигане на 5</w:t>
      </w:r>
      <w:r w:rsidR="0081379D" w:rsidRPr="005B2032">
        <w:rPr>
          <w:rFonts w:eastAsia="Times New Roman"/>
          <w:szCs w:val="24"/>
          <w:lang w:val="en-US"/>
        </w:rPr>
        <w:t>4</w:t>
      </w:r>
      <w:r w:rsidR="0081379D" w:rsidRPr="005B2032">
        <w:rPr>
          <w:rFonts w:eastAsia="Times New Roman"/>
          <w:szCs w:val="24"/>
        </w:rPr>
        <w:t xml:space="preserve"> години и 4 месеца в 2025</w:t>
      </w:r>
      <w:r w:rsidR="00DF07FD">
        <w:rPr>
          <w:rFonts w:eastAsia="Times New Roman"/>
          <w:szCs w:val="24"/>
        </w:rPr>
        <w:t> г.</w:t>
      </w:r>
      <w:r w:rsidR="0081379D" w:rsidRPr="005B2032">
        <w:rPr>
          <w:rFonts w:eastAsia="Times New Roman"/>
          <w:szCs w:val="24"/>
        </w:rPr>
        <w:t xml:space="preserve"> </w:t>
      </w:r>
    </w:p>
    <w:p w14:paraId="13F0A3DC" w14:textId="78F05A8B" w:rsidR="0081379D" w:rsidRPr="005B2032" w:rsidRDefault="00F1384F" w:rsidP="005F0B57">
      <w:pPr>
        <w:pStyle w:val="ListParagraph"/>
        <w:numPr>
          <w:ilvl w:val="0"/>
          <w:numId w:val="10"/>
        </w:numPr>
        <w:tabs>
          <w:tab w:val="clear" w:pos="680"/>
        </w:tabs>
        <w:ind w:left="567" w:hanging="283"/>
        <w:rPr>
          <w:rFonts w:eastAsia="Times New Roman"/>
          <w:szCs w:val="24"/>
        </w:rPr>
      </w:pPr>
      <w:r>
        <w:rPr>
          <w:rFonts w:eastAsia="Times New Roman"/>
          <w:szCs w:val="24"/>
        </w:rPr>
        <w:lastRenderedPageBreak/>
        <w:t>М</w:t>
      </w:r>
      <w:r w:rsidR="0081379D" w:rsidRPr="005B2032">
        <w:rPr>
          <w:rFonts w:eastAsia="Times New Roman"/>
          <w:szCs w:val="24"/>
        </w:rPr>
        <w:t>инималната</w:t>
      </w:r>
      <w:r w:rsidR="009C0E16" w:rsidRPr="005B2032">
        <w:rPr>
          <w:rFonts w:eastAsia="Times New Roman"/>
          <w:szCs w:val="24"/>
        </w:rPr>
        <w:t xml:space="preserve"> </w:t>
      </w:r>
      <w:r w:rsidR="0081379D" w:rsidRPr="005B2032">
        <w:rPr>
          <w:rFonts w:eastAsia="Times New Roman"/>
          <w:szCs w:val="24"/>
        </w:rPr>
        <w:t>възраст за пенсиониране на лицата, работили при условията на първа и втора категория труд, които не отговарят на условията за пенсиониране от професионален пенсионен фонд по чл. 168 на КСО или са променили осигуряването си по чл. 4в на КСО, продължава да се увеличава с по 4 месеца за жените и с по 2 месеца за мъжете до достигане в 2025</w:t>
      </w:r>
      <w:r w:rsidR="00DF07FD">
        <w:rPr>
          <w:rFonts w:eastAsia="Times New Roman"/>
          <w:szCs w:val="24"/>
        </w:rPr>
        <w:t> г.</w:t>
      </w:r>
      <w:r w:rsidR="0081379D" w:rsidRPr="005B2032">
        <w:rPr>
          <w:rFonts w:eastAsia="Times New Roman"/>
          <w:szCs w:val="24"/>
        </w:rPr>
        <w:t xml:space="preserve"> на 5</w:t>
      </w:r>
      <w:r w:rsidR="0081379D" w:rsidRPr="005B2032">
        <w:rPr>
          <w:rFonts w:eastAsia="Times New Roman"/>
          <w:szCs w:val="24"/>
          <w:lang w:val="en-US"/>
        </w:rPr>
        <w:t>1</w:t>
      </w:r>
      <w:r w:rsidR="0081379D" w:rsidRPr="005B2032">
        <w:rPr>
          <w:rFonts w:eastAsia="Times New Roman"/>
          <w:szCs w:val="24"/>
        </w:rPr>
        <w:t xml:space="preserve"> години за жените и 54 години и</w:t>
      </w:r>
      <w:r w:rsidR="009C0E16" w:rsidRPr="005B2032">
        <w:rPr>
          <w:rFonts w:eastAsia="Times New Roman"/>
          <w:szCs w:val="24"/>
        </w:rPr>
        <w:t xml:space="preserve"> </w:t>
      </w:r>
      <w:r w:rsidR="0081379D" w:rsidRPr="005B2032">
        <w:rPr>
          <w:rFonts w:eastAsia="Times New Roman"/>
          <w:szCs w:val="24"/>
        </w:rPr>
        <w:t>4 месеца за мъжете от първа категория и на 5</w:t>
      </w:r>
      <w:r w:rsidR="0081379D" w:rsidRPr="005B2032">
        <w:rPr>
          <w:rFonts w:eastAsia="Times New Roman"/>
          <w:szCs w:val="24"/>
          <w:lang w:val="en-US"/>
        </w:rPr>
        <w:t>6</w:t>
      </w:r>
      <w:r w:rsidR="0081379D" w:rsidRPr="005B2032">
        <w:rPr>
          <w:rFonts w:eastAsia="Times New Roman"/>
          <w:szCs w:val="24"/>
        </w:rPr>
        <w:t xml:space="preserve"> години за жените и 59 години и 4 месеца за мъжете от втора категория труд. </w:t>
      </w:r>
    </w:p>
    <w:p w14:paraId="567E1A92" w14:textId="5C1EA160" w:rsidR="00713B5F" w:rsidRPr="005B2032" w:rsidRDefault="00713B5F" w:rsidP="005F0B57">
      <w:pPr>
        <w:pStyle w:val="ListParagraph"/>
        <w:numPr>
          <w:ilvl w:val="0"/>
          <w:numId w:val="10"/>
        </w:numPr>
        <w:tabs>
          <w:tab w:val="clear" w:pos="680"/>
        </w:tabs>
        <w:ind w:left="567" w:hanging="283"/>
        <w:rPr>
          <w:rFonts w:eastAsia="Times New Roman"/>
          <w:szCs w:val="24"/>
        </w:rPr>
      </w:pPr>
      <w:r w:rsidRPr="005B2032">
        <w:rPr>
          <w:rFonts w:eastAsia="Times New Roman"/>
          <w:szCs w:val="24"/>
        </w:rPr>
        <w:t>В периода 2023</w:t>
      </w:r>
      <w:r w:rsidR="00807278">
        <w:rPr>
          <w:rFonts w:eastAsia="Times New Roman"/>
          <w:szCs w:val="24"/>
        </w:rPr>
        <w:t>–</w:t>
      </w:r>
      <w:r w:rsidRPr="005B2032">
        <w:rPr>
          <w:rFonts w:eastAsia="Times New Roman"/>
          <w:szCs w:val="24"/>
        </w:rPr>
        <w:t>2025</w:t>
      </w:r>
      <w:r w:rsidR="00DF07FD">
        <w:rPr>
          <w:rFonts w:eastAsia="Times New Roman"/>
          <w:szCs w:val="24"/>
        </w:rPr>
        <w:t> г.</w:t>
      </w:r>
      <w:r w:rsidRPr="005B2032">
        <w:rPr>
          <w:rFonts w:eastAsia="Times New Roman"/>
          <w:szCs w:val="24"/>
        </w:rPr>
        <w:t xml:space="preserve"> стойността на процента по чл. 70, ал. 1 от КСО в пенсионна</w:t>
      </w:r>
      <w:r w:rsidR="001B549D">
        <w:rPr>
          <w:rFonts w:eastAsia="Times New Roman"/>
          <w:szCs w:val="24"/>
        </w:rPr>
        <w:t>та формула се запазва на 1.</w:t>
      </w:r>
      <w:r w:rsidRPr="005B2032">
        <w:rPr>
          <w:rFonts w:eastAsia="Times New Roman"/>
          <w:szCs w:val="24"/>
        </w:rPr>
        <w:t>35, в сила от 25 декември 2021</w:t>
      </w:r>
      <w:r w:rsidR="00DF07FD">
        <w:rPr>
          <w:rFonts w:eastAsia="Times New Roman"/>
          <w:szCs w:val="24"/>
        </w:rPr>
        <w:t> г.</w:t>
      </w:r>
      <w:r w:rsidRPr="005B2032">
        <w:rPr>
          <w:rFonts w:eastAsia="Times New Roman"/>
          <w:szCs w:val="24"/>
        </w:rPr>
        <w:t>, за всяка година осигурителен стаж без превръщане и съответната пропорционална част от този процент за месеците осигурителен стаж без превръщане. За останалата част от зачетения стаж процентът се</w:t>
      </w:r>
      <w:r w:rsidR="001B549D">
        <w:rPr>
          <w:rFonts w:eastAsia="Times New Roman"/>
          <w:szCs w:val="24"/>
        </w:rPr>
        <w:t xml:space="preserve"> запазва на 1.</w:t>
      </w:r>
      <w:r w:rsidRPr="005B2032">
        <w:rPr>
          <w:rFonts w:eastAsia="Times New Roman"/>
          <w:szCs w:val="24"/>
        </w:rPr>
        <w:t>2.</w:t>
      </w:r>
    </w:p>
    <w:p w14:paraId="11CAE8B2" w14:textId="587CD832" w:rsidR="0081379D" w:rsidRPr="005B2032" w:rsidRDefault="00807278" w:rsidP="005F0B57">
      <w:pPr>
        <w:pStyle w:val="ListParagraph"/>
        <w:numPr>
          <w:ilvl w:val="0"/>
          <w:numId w:val="10"/>
        </w:numPr>
        <w:tabs>
          <w:tab w:val="clear" w:pos="680"/>
        </w:tabs>
        <w:ind w:left="567" w:hanging="283"/>
        <w:rPr>
          <w:rFonts w:eastAsia="Times New Roman"/>
          <w:szCs w:val="24"/>
        </w:rPr>
      </w:pPr>
      <w:r>
        <w:rPr>
          <w:rFonts w:eastAsia="Times New Roman"/>
          <w:szCs w:val="24"/>
        </w:rPr>
        <w:t>В периода 2023–</w:t>
      </w:r>
      <w:r w:rsidR="0081379D" w:rsidRPr="005B2032">
        <w:rPr>
          <w:rFonts w:eastAsia="Times New Roman"/>
          <w:szCs w:val="24"/>
        </w:rPr>
        <w:t>2025</w:t>
      </w:r>
      <w:r w:rsidR="00DF07FD">
        <w:rPr>
          <w:rFonts w:eastAsia="Times New Roman"/>
          <w:szCs w:val="24"/>
        </w:rPr>
        <w:t> г.</w:t>
      </w:r>
      <w:r w:rsidR="0081379D" w:rsidRPr="005B2032">
        <w:rPr>
          <w:rFonts w:eastAsia="Times New Roman"/>
          <w:szCs w:val="24"/>
        </w:rPr>
        <w:t xml:space="preserve"> пенсиите за трудова дейност, отпуснати до 31 декември на предходната година, се осъвременяват </w:t>
      </w:r>
      <w:r w:rsidR="0081379D" w:rsidRPr="005B2032">
        <w:rPr>
          <w:rFonts w:eastAsia="Times New Roman"/>
          <w:szCs w:val="24"/>
          <w:lang w:val="ru-RU"/>
        </w:rPr>
        <w:t>от 1 юли</w:t>
      </w:r>
      <w:r w:rsidR="0081379D" w:rsidRPr="005B2032">
        <w:rPr>
          <w:rFonts w:eastAsia="Times New Roman"/>
          <w:szCs w:val="24"/>
        </w:rPr>
        <w:t xml:space="preserve"> всяка година</w:t>
      </w:r>
      <w:r w:rsidR="00713B5F" w:rsidRPr="005B2032">
        <w:rPr>
          <w:rFonts w:eastAsia="Times New Roman"/>
          <w:szCs w:val="24"/>
        </w:rPr>
        <w:t>,</w:t>
      </w:r>
      <w:r w:rsidR="0081379D" w:rsidRPr="005B2032">
        <w:rPr>
          <w:rFonts w:eastAsia="Times New Roman"/>
          <w:szCs w:val="24"/>
          <w:lang w:val="ru-RU"/>
        </w:rPr>
        <w:t xml:space="preserve"> </w:t>
      </w:r>
      <w:r w:rsidR="00713B5F" w:rsidRPr="005B2032">
        <w:t xml:space="preserve">по чл. 100 от КСО (т.нар. „швейцарско правило”), </w:t>
      </w:r>
      <w:r w:rsidR="0081379D" w:rsidRPr="005B2032">
        <w:rPr>
          <w:rFonts w:eastAsia="Times New Roman"/>
          <w:szCs w:val="24"/>
          <w:lang w:val="ru-RU"/>
        </w:rPr>
        <w:t>с процент</w:t>
      </w:r>
      <w:r w:rsidR="0081379D" w:rsidRPr="005B2032">
        <w:rPr>
          <w:rFonts w:eastAsia="Times New Roman"/>
          <w:szCs w:val="24"/>
        </w:rPr>
        <w:t>, определен като сбора от 50 на сто от нарастването на осигурителния доход и 50 на сто от индекса на потребителските цени през предходната календарна година</w:t>
      </w:r>
      <w:r w:rsidR="0081379D" w:rsidRPr="005B2032">
        <w:rPr>
          <w:rFonts w:eastAsia="Times New Roman"/>
          <w:szCs w:val="24"/>
          <w:lang w:val="ru-RU"/>
        </w:rPr>
        <w:t xml:space="preserve">. </w:t>
      </w:r>
      <w:r w:rsidR="0081379D" w:rsidRPr="005B2032">
        <w:rPr>
          <w:rFonts w:eastAsia="Times New Roman"/>
          <w:szCs w:val="24"/>
        </w:rPr>
        <w:t>При заложените в прогнозата ръст на средния осигурителен доход и ниво на средногодишния хармонизиран индекс на потребителските цени, процентите по чл. 100 от КСО са както следва:</w:t>
      </w:r>
    </w:p>
    <w:p w14:paraId="4FF85C7D" w14:textId="7BB35DD6" w:rsidR="00713B5F" w:rsidRPr="005B2032" w:rsidRDefault="00713B5F" w:rsidP="005F0B57">
      <w:pPr>
        <w:pStyle w:val="ListParagraph2"/>
        <w:numPr>
          <w:ilvl w:val="1"/>
          <w:numId w:val="7"/>
        </w:numPr>
        <w:tabs>
          <w:tab w:val="clear" w:pos="2148"/>
          <w:tab w:val="num" w:pos="1843"/>
        </w:tabs>
        <w:ind w:left="1134" w:hanging="425"/>
      </w:pPr>
      <w:r w:rsidRPr="005B2032">
        <w:t>за 2023</w:t>
      </w:r>
      <w:r w:rsidR="00DF07FD">
        <w:t> г.</w:t>
      </w:r>
      <w:r w:rsidRPr="005B2032">
        <w:t xml:space="preserve"> – пенсиите за трудова дейност, отпуснати до 31 декември на предходната година, както и пенсиите, несвързани с трудова дейност, е предвидено да се о</w:t>
      </w:r>
      <w:r w:rsidR="001B549D">
        <w:t>съвременят от 1 юли 2023</w:t>
      </w:r>
      <w:r w:rsidR="00DF07FD">
        <w:t> г.</w:t>
      </w:r>
      <w:r w:rsidR="001B549D">
        <w:t xml:space="preserve"> с 9.</w:t>
      </w:r>
      <w:r w:rsidRPr="005B2032">
        <w:t>1 на сто (процент, определен по чл. 100 от КСО), като необходим</w:t>
      </w:r>
      <w:r w:rsidR="001B549D">
        <w:t>ите средства са в размер на 651.</w:t>
      </w:r>
      <w:r w:rsidRPr="005B2032">
        <w:t>1 млн. лв.;</w:t>
      </w:r>
    </w:p>
    <w:p w14:paraId="0600FE8E" w14:textId="5CF3710E" w:rsidR="00713B5F" w:rsidRPr="005B2032" w:rsidRDefault="00713B5F" w:rsidP="005F0B57">
      <w:pPr>
        <w:pStyle w:val="ListParagraph2"/>
        <w:numPr>
          <w:ilvl w:val="1"/>
          <w:numId w:val="7"/>
        </w:numPr>
        <w:tabs>
          <w:tab w:val="clear" w:pos="2148"/>
          <w:tab w:val="num" w:pos="1843"/>
        </w:tabs>
        <w:ind w:left="1134" w:hanging="425"/>
      </w:pPr>
      <w:r w:rsidRPr="005B2032">
        <w:t>за 2024</w:t>
      </w:r>
      <w:r w:rsidR="00DF07FD">
        <w:t> г.</w:t>
      </w:r>
      <w:r w:rsidRPr="005B2032">
        <w:t xml:space="preserve"> – пенсиите за трудова дейност, отпуснати до 31 декември на предходната година, както и пенсиите, несвързани с трудова дейност, е предвидено да се осъвременят от 1 юли 2024</w:t>
      </w:r>
      <w:r w:rsidR="00DF07FD">
        <w:t> г.</w:t>
      </w:r>
      <w:r w:rsidRPr="005B2032">
        <w:t xml:space="preserve"> с </w:t>
      </w:r>
      <w:r w:rsidRPr="005B2032">
        <w:rPr>
          <w:lang w:val="en-US"/>
        </w:rPr>
        <w:t>6</w:t>
      </w:r>
      <w:r w:rsidR="001B549D">
        <w:t>.</w:t>
      </w:r>
      <w:r w:rsidRPr="005B2032">
        <w:t>9 на сто (процент, определен по чл. 100 от КСО), като необходим</w:t>
      </w:r>
      <w:r w:rsidR="001B549D">
        <w:t>ите средства са в размер на 522.</w:t>
      </w:r>
      <w:r w:rsidRPr="005B2032">
        <w:t>6 млн. лв.;</w:t>
      </w:r>
    </w:p>
    <w:p w14:paraId="6F324A93" w14:textId="6F90C3F2" w:rsidR="00713B5F" w:rsidRPr="005B2032" w:rsidRDefault="00713B5F" w:rsidP="005F0B57">
      <w:pPr>
        <w:pStyle w:val="ListParagraph2"/>
        <w:numPr>
          <w:ilvl w:val="1"/>
          <w:numId w:val="7"/>
        </w:numPr>
        <w:tabs>
          <w:tab w:val="clear" w:pos="2148"/>
          <w:tab w:val="num" w:pos="1843"/>
        </w:tabs>
        <w:ind w:left="1134" w:hanging="425"/>
      </w:pPr>
      <w:r w:rsidRPr="005B2032">
        <w:t>за 2025</w:t>
      </w:r>
      <w:r w:rsidR="00DF07FD">
        <w:t> г.</w:t>
      </w:r>
      <w:r w:rsidRPr="005B2032">
        <w:t xml:space="preserve"> – пенсиите за трудова дейност, отпуснати до 31 декември на предходната година, както и пенсиите, несвързани с трудова дейност, е предвидено да се о</w:t>
      </w:r>
      <w:r w:rsidR="001B549D">
        <w:t>съвременят от 1 юли 2025</w:t>
      </w:r>
      <w:r w:rsidR="00DF07FD">
        <w:t> г.</w:t>
      </w:r>
      <w:r w:rsidR="001B549D">
        <w:t xml:space="preserve"> с 5.</w:t>
      </w:r>
      <w:r w:rsidRPr="005B2032">
        <w:t>4 на сто (процент, определен по чл. 100 от КСО), като необходимите средства са в размер на 4</w:t>
      </w:r>
      <w:r w:rsidRPr="005B2032">
        <w:rPr>
          <w:lang w:val="en-US"/>
        </w:rPr>
        <w:t>5</w:t>
      </w:r>
      <w:r w:rsidR="001B549D">
        <w:t>3.</w:t>
      </w:r>
      <w:r w:rsidRPr="005B2032">
        <w:t>9 млн. лв.</w:t>
      </w:r>
    </w:p>
    <w:p w14:paraId="5D546993" w14:textId="01C2A318" w:rsidR="0081379D" w:rsidRPr="005B2032" w:rsidRDefault="0081379D" w:rsidP="005F0B57">
      <w:pPr>
        <w:pStyle w:val="ListParagraph"/>
        <w:numPr>
          <w:ilvl w:val="0"/>
          <w:numId w:val="10"/>
        </w:numPr>
        <w:tabs>
          <w:tab w:val="clear" w:pos="680"/>
        </w:tabs>
        <w:ind w:left="567" w:hanging="283"/>
        <w:rPr>
          <w:rFonts w:eastAsia="Times New Roman"/>
          <w:szCs w:val="24"/>
        </w:rPr>
      </w:pPr>
      <w:r w:rsidRPr="005B2032">
        <w:rPr>
          <w:rFonts w:eastAsia="Times New Roman"/>
          <w:szCs w:val="24"/>
        </w:rPr>
        <w:t>В периода 2023</w:t>
      </w:r>
      <w:r w:rsidR="008010F6">
        <w:rPr>
          <w:rFonts w:eastAsia="Times New Roman"/>
          <w:szCs w:val="24"/>
        </w:rPr>
        <w:t>–</w:t>
      </w:r>
      <w:r w:rsidRPr="005B2032">
        <w:rPr>
          <w:rFonts w:eastAsia="Times New Roman"/>
          <w:szCs w:val="24"/>
        </w:rPr>
        <w:t>2025</w:t>
      </w:r>
      <w:r w:rsidR="00DF07FD">
        <w:rPr>
          <w:rFonts w:eastAsia="Times New Roman"/>
          <w:szCs w:val="24"/>
        </w:rPr>
        <w:t> г.</w:t>
      </w:r>
      <w:r w:rsidRPr="005B2032">
        <w:rPr>
          <w:rFonts w:eastAsia="Times New Roman"/>
          <w:szCs w:val="24"/>
        </w:rPr>
        <w:t xml:space="preserve"> е предвидено размерите на минималната пенсия за осигурителен стаж и възраст и на социалната пенсия за старост, както и на свързаните с тях пенсии и добавки, да се увеличават от 1 юли на съответната година с процентите по чл. 100 на КСО;</w:t>
      </w:r>
    </w:p>
    <w:p w14:paraId="1596F751" w14:textId="4CBD0AAF" w:rsidR="0081379D" w:rsidRPr="005B2032" w:rsidRDefault="0081379D" w:rsidP="005F0B57">
      <w:pPr>
        <w:pStyle w:val="ListParagraph"/>
        <w:numPr>
          <w:ilvl w:val="0"/>
          <w:numId w:val="10"/>
        </w:numPr>
        <w:tabs>
          <w:tab w:val="clear" w:pos="680"/>
        </w:tabs>
        <w:ind w:left="567" w:hanging="283"/>
        <w:rPr>
          <w:rFonts w:eastAsia="Times New Roman"/>
          <w:szCs w:val="24"/>
        </w:rPr>
      </w:pPr>
      <w:r w:rsidRPr="005B2032">
        <w:rPr>
          <w:szCs w:val="24"/>
        </w:rPr>
        <w:t xml:space="preserve"> В периода 202</w:t>
      </w:r>
      <w:r w:rsidRPr="005B2032">
        <w:rPr>
          <w:szCs w:val="24"/>
          <w:lang w:val="en-US"/>
        </w:rPr>
        <w:t>3</w:t>
      </w:r>
      <w:r w:rsidR="00DF07FD">
        <w:rPr>
          <w:szCs w:val="24"/>
        </w:rPr>
        <w:t>–</w:t>
      </w:r>
      <w:r w:rsidRPr="005B2032">
        <w:rPr>
          <w:szCs w:val="24"/>
        </w:rPr>
        <w:t>202</w:t>
      </w:r>
      <w:r w:rsidRPr="005B2032">
        <w:rPr>
          <w:szCs w:val="24"/>
          <w:lang w:val="en-US"/>
        </w:rPr>
        <w:t>5</w:t>
      </w:r>
      <w:r w:rsidR="00DF07FD">
        <w:rPr>
          <w:szCs w:val="24"/>
        </w:rPr>
        <w:t> г.</w:t>
      </w:r>
      <w:r w:rsidRPr="005B2032">
        <w:rPr>
          <w:szCs w:val="24"/>
        </w:rPr>
        <w:t xml:space="preserve"> максималният размер на получаваните една или повече пенсии се </w:t>
      </w:r>
      <w:r w:rsidRPr="00DD6E61">
        <w:rPr>
          <w:rFonts w:eastAsia="Times New Roman"/>
          <w:szCs w:val="24"/>
        </w:rPr>
        <w:t>запазва</w:t>
      </w:r>
      <w:r w:rsidRPr="005B2032">
        <w:rPr>
          <w:szCs w:val="24"/>
        </w:rPr>
        <w:t xml:space="preserve"> на достигнато през декември 2021</w:t>
      </w:r>
      <w:r w:rsidR="00DF07FD">
        <w:rPr>
          <w:szCs w:val="24"/>
        </w:rPr>
        <w:t> г.</w:t>
      </w:r>
      <w:r w:rsidRPr="005B2032">
        <w:rPr>
          <w:szCs w:val="24"/>
        </w:rPr>
        <w:t xml:space="preserve"> ниво от </w:t>
      </w:r>
      <w:r w:rsidRPr="005B2032">
        <w:rPr>
          <w:szCs w:val="24"/>
          <w:lang w:val="ru-RU"/>
        </w:rPr>
        <w:t>1</w:t>
      </w:r>
      <w:r w:rsidR="001B549D">
        <w:rPr>
          <w:szCs w:val="24"/>
          <w:lang w:val="en-US"/>
        </w:rPr>
        <w:t> </w:t>
      </w:r>
      <w:r w:rsidRPr="005B2032">
        <w:rPr>
          <w:szCs w:val="24"/>
        </w:rPr>
        <w:t>500</w:t>
      </w:r>
      <w:r w:rsidR="001B549D">
        <w:rPr>
          <w:szCs w:val="24"/>
          <w:lang w:val="ru-RU"/>
        </w:rPr>
        <w:t>.</w:t>
      </w:r>
      <w:r w:rsidRPr="005B2032">
        <w:rPr>
          <w:szCs w:val="24"/>
          <w:lang w:val="ru-RU"/>
        </w:rPr>
        <w:t>00 лв.</w:t>
      </w:r>
    </w:p>
    <w:p w14:paraId="5B9A9D97" w14:textId="1A1C5FAA" w:rsidR="0081379D" w:rsidRPr="005B2032" w:rsidRDefault="0081379D" w:rsidP="00887584">
      <w:pPr>
        <w:rPr>
          <w:rFonts w:eastAsia="Times New Roman"/>
          <w:szCs w:val="24"/>
        </w:rPr>
      </w:pPr>
      <w:r w:rsidRPr="005B2032">
        <w:rPr>
          <w:rFonts w:eastAsia="Times New Roman"/>
          <w:szCs w:val="24"/>
        </w:rPr>
        <w:t>В резултат на посочените по-горе допускания през 2023</w:t>
      </w:r>
      <w:r w:rsidR="00DF07FD">
        <w:rPr>
          <w:rFonts w:eastAsia="Times New Roman"/>
          <w:szCs w:val="24"/>
        </w:rPr>
        <w:t> г.</w:t>
      </w:r>
      <w:r w:rsidRPr="005B2032">
        <w:rPr>
          <w:rFonts w:eastAsia="Times New Roman"/>
          <w:szCs w:val="24"/>
        </w:rPr>
        <w:t xml:space="preserve"> разходите за пенсии по бюджета на ДОО нарастват с 848.4 млн. лв. спрямо закона за 2022</w:t>
      </w:r>
      <w:r w:rsidR="00DF07FD">
        <w:rPr>
          <w:rFonts w:eastAsia="Times New Roman"/>
          <w:szCs w:val="24"/>
        </w:rPr>
        <w:t> г.</w:t>
      </w:r>
      <w:r w:rsidRPr="005B2032">
        <w:rPr>
          <w:rFonts w:eastAsia="Times New Roman"/>
          <w:szCs w:val="24"/>
        </w:rPr>
        <w:t xml:space="preserve"> </w:t>
      </w:r>
    </w:p>
    <w:p w14:paraId="712A2D30" w14:textId="0BD77710" w:rsidR="0081379D" w:rsidRPr="005B2032" w:rsidRDefault="0081379D" w:rsidP="00887584">
      <w:pPr>
        <w:rPr>
          <w:rFonts w:eastAsia="Times New Roman"/>
          <w:szCs w:val="24"/>
        </w:rPr>
      </w:pPr>
      <w:r w:rsidRPr="005B2032">
        <w:rPr>
          <w:rFonts w:eastAsia="Times New Roman"/>
          <w:szCs w:val="24"/>
        </w:rPr>
        <w:t>През 2024</w:t>
      </w:r>
      <w:r w:rsidR="00DF07FD">
        <w:rPr>
          <w:rFonts w:eastAsia="Times New Roman"/>
          <w:szCs w:val="24"/>
        </w:rPr>
        <w:t> г.</w:t>
      </w:r>
      <w:r w:rsidRPr="005B2032">
        <w:rPr>
          <w:rFonts w:eastAsia="Times New Roman"/>
          <w:szCs w:val="24"/>
        </w:rPr>
        <w:t xml:space="preserve"> и 2025</w:t>
      </w:r>
      <w:r w:rsidR="00DF07FD">
        <w:rPr>
          <w:rFonts w:eastAsia="Times New Roman"/>
          <w:szCs w:val="24"/>
        </w:rPr>
        <w:t> г.</w:t>
      </w:r>
      <w:r w:rsidRPr="005B2032">
        <w:rPr>
          <w:rFonts w:eastAsia="Times New Roman"/>
          <w:szCs w:val="24"/>
        </w:rPr>
        <w:t xml:space="preserve"> ръстовете в разходите за пенсии по бюджета на ДОО спрямо предх</w:t>
      </w:r>
      <w:r w:rsidR="001B549D">
        <w:rPr>
          <w:rFonts w:eastAsia="Times New Roman"/>
          <w:szCs w:val="24"/>
        </w:rPr>
        <w:t>одната година са съответно 1154.0 млн. лв. и 958.</w:t>
      </w:r>
      <w:r w:rsidR="00327E64">
        <w:rPr>
          <w:rFonts w:eastAsia="Times New Roman"/>
          <w:szCs w:val="24"/>
        </w:rPr>
        <w:t>9</w:t>
      </w:r>
      <w:r w:rsidRPr="005B2032">
        <w:rPr>
          <w:rFonts w:eastAsia="Times New Roman"/>
          <w:szCs w:val="24"/>
        </w:rPr>
        <w:t xml:space="preserve"> млн. лв.</w:t>
      </w:r>
    </w:p>
    <w:p w14:paraId="09243712" w14:textId="29F42935" w:rsidR="00713B5F" w:rsidRPr="005B2032" w:rsidRDefault="00713B5F" w:rsidP="00887584">
      <w:pPr>
        <w:rPr>
          <w:rFonts w:eastAsia="Times New Roman"/>
          <w:szCs w:val="24"/>
        </w:rPr>
      </w:pPr>
      <w:r w:rsidRPr="005B2032">
        <w:rPr>
          <w:rFonts w:eastAsia="Times New Roman"/>
          <w:szCs w:val="24"/>
        </w:rPr>
        <w:t xml:space="preserve">В рамките на референтната средносрочна програма касовите разходи за пенсии и добавки остават на нива между </w:t>
      </w:r>
      <w:r w:rsidRPr="005B2032">
        <w:rPr>
          <w:rFonts w:eastAsia="Times New Roman"/>
          <w:szCs w:val="24"/>
          <w:lang w:val="en-US"/>
        </w:rPr>
        <w:t>9</w:t>
      </w:r>
      <w:r w:rsidR="00327E64">
        <w:rPr>
          <w:rFonts w:eastAsia="Times New Roman"/>
          <w:szCs w:val="24"/>
        </w:rPr>
        <w:t>.</w:t>
      </w:r>
      <w:r w:rsidRPr="005B2032">
        <w:rPr>
          <w:rFonts w:eastAsia="Times New Roman"/>
          <w:szCs w:val="24"/>
        </w:rPr>
        <w:t>3% и 9</w:t>
      </w:r>
      <w:r w:rsidR="00327E64">
        <w:rPr>
          <w:rFonts w:eastAsia="Times New Roman"/>
          <w:szCs w:val="24"/>
        </w:rPr>
        <w:t>.</w:t>
      </w:r>
      <w:r w:rsidRPr="005B2032">
        <w:rPr>
          <w:rFonts w:eastAsia="Times New Roman"/>
          <w:szCs w:val="24"/>
        </w:rPr>
        <w:t>6% от БВП.</w:t>
      </w:r>
    </w:p>
    <w:p w14:paraId="4D6166B5" w14:textId="3E58D513" w:rsidR="00713B5F" w:rsidRPr="00DD6E61" w:rsidRDefault="00887584" w:rsidP="00DD6E61">
      <w:pPr>
        <w:pStyle w:val="Caption"/>
      </w:pPr>
      <w:r w:rsidRPr="00DD6E61">
        <w:lastRenderedPageBreak/>
        <w:t>Табл. 3-3</w:t>
      </w:r>
      <w:r w:rsidR="00713B5F" w:rsidRPr="00DD6E61">
        <w:t>: Прогнозни разходи за пенсии и добавки, 2021–2024</w:t>
      </w:r>
      <w:r w:rsidR="00DF07FD" w:rsidRPr="00DD6E61">
        <w:t> г.</w:t>
      </w:r>
      <w:r w:rsidR="00713B5F" w:rsidRPr="00DD6E61">
        <w:footnoteReference w:id="23"/>
      </w:r>
    </w:p>
    <w:tbl>
      <w:tblPr>
        <w:tblStyle w:val="TableGrid7"/>
        <w:tblW w:w="9072" w:type="dxa"/>
        <w:jc w:val="center"/>
        <w:tblInd w:w="0"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4A0" w:firstRow="1" w:lastRow="0" w:firstColumn="1" w:lastColumn="0" w:noHBand="0" w:noVBand="1"/>
      </w:tblPr>
      <w:tblGrid>
        <w:gridCol w:w="2217"/>
        <w:gridCol w:w="3433"/>
        <w:gridCol w:w="3422"/>
      </w:tblGrid>
      <w:tr w:rsidR="005B2032" w:rsidRPr="00646E11" w14:paraId="0DD31018" w14:textId="77777777" w:rsidTr="0029327F">
        <w:trPr>
          <w:trHeight w:val="340"/>
          <w:jc w:val="center"/>
        </w:trPr>
        <w:tc>
          <w:tcPr>
            <w:tcW w:w="1945" w:type="dxa"/>
            <w:vMerge w:val="restart"/>
            <w:shd w:val="clear" w:color="auto" w:fill="D7D4F1"/>
            <w:vAlign w:val="center"/>
            <w:hideMark/>
          </w:tcPr>
          <w:p w14:paraId="2CAE1E4C" w14:textId="77777777" w:rsidR="00713B5F" w:rsidRPr="00646E11" w:rsidRDefault="00713B5F" w:rsidP="00DD6E61">
            <w:pPr>
              <w:tabs>
                <w:tab w:val="left" w:pos="2736"/>
              </w:tabs>
              <w:spacing w:after="0"/>
              <w:ind w:left="55"/>
              <w:jc w:val="center"/>
              <w:rPr>
                <w:rFonts w:eastAsia="MS Mincho"/>
                <w:b/>
                <w:bCs/>
                <w:sz w:val="20"/>
                <w:szCs w:val="24"/>
                <w:lang w:eastAsia="bg-BG"/>
              </w:rPr>
            </w:pPr>
            <w:r w:rsidRPr="00646E11">
              <w:rPr>
                <w:rFonts w:eastAsia="MS Mincho"/>
                <w:b/>
                <w:bCs/>
                <w:sz w:val="20"/>
                <w:szCs w:val="24"/>
                <w:lang w:eastAsia="bg-BG"/>
              </w:rPr>
              <w:t>година</w:t>
            </w:r>
          </w:p>
        </w:tc>
        <w:tc>
          <w:tcPr>
            <w:tcW w:w="6014" w:type="dxa"/>
            <w:gridSpan w:val="2"/>
            <w:shd w:val="clear" w:color="auto" w:fill="D7D4F1"/>
            <w:vAlign w:val="center"/>
            <w:hideMark/>
          </w:tcPr>
          <w:p w14:paraId="2ECD1CB5" w14:textId="77777777" w:rsidR="00713B5F" w:rsidRPr="00646E11" w:rsidRDefault="00713B5F" w:rsidP="00DD6E61">
            <w:pPr>
              <w:tabs>
                <w:tab w:val="left" w:pos="2736"/>
              </w:tabs>
              <w:spacing w:after="0"/>
              <w:ind w:left="55"/>
              <w:jc w:val="center"/>
              <w:rPr>
                <w:rFonts w:eastAsia="MS Mincho"/>
                <w:b/>
                <w:bCs/>
                <w:sz w:val="20"/>
                <w:szCs w:val="24"/>
                <w:lang w:eastAsia="bg-BG"/>
              </w:rPr>
            </w:pPr>
            <w:r w:rsidRPr="00646E11">
              <w:rPr>
                <w:rFonts w:eastAsia="MS Mincho"/>
                <w:b/>
                <w:bCs/>
                <w:sz w:val="20"/>
                <w:szCs w:val="24"/>
                <w:lang w:eastAsia="bg-BG"/>
              </w:rPr>
              <w:t>Разходи за пенсии</w:t>
            </w:r>
          </w:p>
        </w:tc>
      </w:tr>
      <w:tr w:rsidR="005B2032" w:rsidRPr="00646E11" w14:paraId="2E8A74B5" w14:textId="77777777" w:rsidTr="0029327F">
        <w:trPr>
          <w:trHeight w:val="340"/>
          <w:jc w:val="center"/>
        </w:trPr>
        <w:tc>
          <w:tcPr>
            <w:tcW w:w="0" w:type="auto"/>
            <w:vMerge/>
            <w:shd w:val="clear" w:color="auto" w:fill="D7D4F1"/>
            <w:vAlign w:val="center"/>
            <w:hideMark/>
          </w:tcPr>
          <w:p w14:paraId="751D0F01" w14:textId="77777777" w:rsidR="00713B5F" w:rsidRPr="00646E11" w:rsidRDefault="00713B5F" w:rsidP="00DD6E61">
            <w:pPr>
              <w:tabs>
                <w:tab w:val="left" w:pos="2736"/>
              </w:tabs>
              <w:spacing w:after="0"/>
              <w:ind w:left="55"/>
              <w:jc w:val="center"/>
              <w:rPr>
                <w:rFonts w:eastAsia="MS Mincho"/>
                <w:b/>
                <w:bCs/>
                <w:sz w:val="20"/>
                <w:szCs w:val="24"/>
              </w:rPr>
            </w:pPr>
          </w:p>
        </w:tc>
        <w:tc>
          <w:tcPr>
            <w:tcW w:w="3012" w:type="dxa"/>
            <w:shd w:val="clear" w:color="auto" w:fill="D7D4F1"/>
            <w:vAlign w:val="center"/>
            <w:hideMark/>
          </w:tcPr>
          <w:p w14:paraId="76D59298" w14:textId="77777777" w:rsidR="00713B5F" w:rsidRPr="00646E11" w:rsidRDefault="00713B5F" w:rsidP="00DD6E61">
            <w:pPr>
              <w:pStyle w:val="tabletextleft"/>
              <w:tabs>
                <w:tab w:val="left" w:pos="2736"/>
              </w:tabs>
              <w:ind w:left="55"/>
              <w:jc w:val="center"/>
              <w:rPr>
                <w:b/>
                <w:bCs/>
                <w:sz w:val="20"/>
                <w:szCs w:val="24"/>
              </w:rPr>
            </w:pPr>
            <w:r w:rsidRPr="00646E11">
              <w:rPr>
                <w:b/>
                <w:bCs/>
                <w:sz w:val="20"/>
                <w:szCs w:val="24"/>
              </w:rPr>
              <w:t>млн. лв.</w:t>
            </w:r>
          </w:p>
        </w:tc>
        <w:tc>
          <w:tcPr>
            <w:tcW w:w="3002" w:type="dxa"/>
            <w:shd w:val="clear" w:color="auto" w:fill="D7D4F1"/>
            <w:vAlign w:val="center"/>
            <w:hideMark/>
          </w:tcPr>
          <w:p w14:paraId="7A65CD86" w14:textId="77777777" w:rsidR="00713B5F" w:rsidRPr="00646E11" w:rsidRDefault="00713B5F" w:rsidP="00DD6E61">
            <w:pPr>
              <w:pStyle w:val="tabletextleft"/>
              <w:tabs>
                <w:tab w:val="left" w:pos="2736"/>
              </w:tabs>
              <w:ind w:left="55"/>
              <w:jc w:val="center"/>
              <w:rPr>
                <w:b/>
                <w:bCs/>
                <w:sz w:val="20"/>
                <w:szCs w:val="24"/>
              </w:rPr>
            </w:pPr>
            <w:r w:rsidRPr="00646E11">
              <w:rPr>
                <w:b/>
                <w:bCs/>
                <w:sz w:val="20"/>
                <w:szCs w:val="24"/>
              </w:rPr>
              <w:t>% от БВП</w:t>
            </w:r>
          </w:p>
        </w:tc>
      </w:tr>
      <w:tr w:rsidR="005B2032" w:rsidRPr="00646E11" w14:paraId="0BF9B66E" w14:textId="77777777" w:rsidTr="0029327F">
        <w:trPr>
          <w:trHeight w:val="340"/>
          <w:jc w:val="center"/>
        </w:trPr>
        <w:tc>
          <w:tcPr>
            <w:tcW w:w="1945" w:type="dxa"/>
            <w:vAlign w:val="center"/>
            <w:hideMark/>
          </w:tcPr>
          <w:p w14:paraId="10AC144E"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2022 (ЗБДОО)</w:t>
            </w:r>
          </w:p>
        </w:tc>
        <w:tc>
          <w:tcPr>
            <w:tcW w:w="3012" w:type="dxa"/>
            <w:vAlign w:val="center"/>
            <w:hideMark/>
          </w:tcPr>
          <w:p w14:paraId="3493B1EE"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14 119.2</w:t>
            </w:r>
          </w:p>
        </w:tc>
        <w:tc>
          <w:tcPr>
            <w:tcW w:w="3002" w:type="dxa"/>
            <w:vAlign w:val="center"/>
            <w:hideMark/>
          </w:tcPr>
          <w:p w14:paraId="211DB6C7"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9.6</w:t>
            </w:r>
          </w:p>
        </w:tc>
      </w:tr>
      <w:tr w:rsidR="005B2032" w:rsidRPr="00646E11" w14:paraId="1D98C06A" w14:textId="77777777" w:rsidTr="0029327F">
        <w:trPr>
          <w:trHeight w:val="340"/>
          <w:jc w:val="center"/>
        </w:trPr>
        <w:tc>
          <w:tcPr>
            <w:tcW w:w="1945" w:type="dxa"/>
            <w:vAlign w:val="center"/>
            <w:hideMark/>
          </w:tcPr>
          <w:p w14:paraId="05D84E0A"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2023</w:t>
            </w:r>
          </w:p>
        </w:tc>
        <w:tc>
          <w:tcPr>
            <w:tcW w:w="3012" w:type="dxa"/>
            <w:vAlign w:val="center"/>
            <w:hideMark/>
          </w:tcPr>
          <w:p w14:paraId="56369253"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14 967.6</w:t>
            </w:r>
          </w:p>
        </w:tc>
        <w:tc>
          <w:tcPr>
            <w:tcW w:w="3002" w:type="dxa"/>
            <w:vAlign w:val="center"/>
            <w:hideMark/>
          </w:tcPr>
          <w:p w14:paraId="069858F1"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9.3</w:t>
            </w:r>
          </w:p>
        </w:tc>
      </w:tr>
      <w:tr w:rsidR="005B2032" w:rsidRPr="00646E11" w14:paraId="15117F0E" w14:textId="77777777" w:rsidTr="0029327F">
        <w:trPr>
          <w:trHeight w:val="340"/>
          <w:jc w:val="center"/>
        </w:trPr>
        <w:tc>
          <w:tcPr>
            <w:tcW w:w="1945" w:type="dxa"/>
            <w:vAlign w:val="center"/>
            <w:hideMark/>
          </w:tcPr>
          <w:p w14:paraId="081A5217"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2024</w:t>
            </w:r>
          </w:p>
        </w:tc>
        <w:tc>
          <w:tcPr>
            <w:tcW w:w="3012" w:type="dxa"/>
            <w:vAlign w:val="center"/>
            <w:hideMark/>
          </w:tcPr>
          <w:p w14:paraId="74CBFCF1"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16 121.6</w:t>
            </w:r>
          </w:p>
        </w:tc>
        <w:tc>
          <w:tcPr>
            <w:tcW w:w="3002" w:type="dxa"/>
            <w:vAlign w:val="center"/>
            <w:hideMark/>
          </w:tcPr>
          <w:p w14:paraId="50B3996B"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9.3</w:t>
            </w:r>
          </w:p>
        </w:tc>
      </w:tr>
      <w:tr w:rsidR="005B2032" w:rsidRPr="00646E11" w14:paraId="4613B672" w14:textId="77777777" w:rsidTr="0029327F">
        <w:trPr>
          <w:trHeight w:val="340"/>
          <w:jc w:val="center"/>
        </w:trPr>
        <w:tc>
          <w:tcPr>
            <w:tcW w:w="1945" w:type="dxa"/>
            <w:vAlign w:val="center"/>
            <w:hideMark/>
          </w:tcPr>
          <w:p w14:paraId="5B44061D"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2025</w:t>
            </w:r>
          </w:p>
        </w:tc>
        <w:tc>
          <w:tcPr>
            <w:tcW w:w="3012" w:type="dxa"/>
            <w:vAlign w:val="center"/>
            <w:hideMark/>
          </w:tcPr>
          <w:p w14:paraId="5BAB720E"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17 080.4</w:t>
            </w:r>
          </w:p>
        </w:tc>
        <w:tc>
          <w:tcPr>
            <w:tcW w:w="3002" w:type="dxa"/>
            <w:vAlign w:val="center"/>
            <w:hideMark/>
          </w:tcPr>
          <w:p w14:paraId="5B437606" w14:textId="77777777" w:rsidR="00713B5F" w:rsidRPr="00646E11" w:rsidRDefault="00713B5F" w:rsidP="00DD6E61">
            <w:pPr>
              <w:tabs>
                <w:tab w:val="left" w:pos="2736"/>
              </w:tabs>
              <w:spacing w:after="0"/>
              <w:ind w:left="55"/>
              <w:jc w:val="center"/>
              <w:rPr>
                <w:rFonts w:eastAsia="MS Mincho"/>
                <w:bCs/>
                <w:sz w:val="20"/>
                <w:szCs w:val="24"/>
                <w:lang w:eastAsia="bg-BG"/>
              </w:rPr>
            </w:pPr>
            <w:r w:rsidRPr="00646E11">
              <w:rPr>
                <w:rFonts w:eastAsia="MS Mincho"/>
                <w:bCs/>
                <w:sz w:val="20"/>
                <w:szCs w:val="24"/>
                <w:lang w:eastAsia="bg-BG"/>
              </w:rPr>
              <w:t>9.3</w:t>
            </w:r>
          </w:p>
        </w:tc>
      </w:tr>
    </w:tbl>
    <w:p w14:paraId="7D4B0D53" w14:textId="77777777" w:rsidR="00713B5F" w:rsidRPr="00DD6E61" w:rsidRDefault="00713B5F" w:rsidP="00DD6E61">
      <w:pPr>
        <w:pStyle w:val="a"/>
      </w:pPr>
      <w:r w:rsidRPr="00DD6E61">
        <w:t>Източник: НОИ</w:t>
      </w:r>
    </w:p>
    <w:p w14:paraId="5EB26367" w14:textId="4480AEFC" w:rsidR="0081379D" w:rsidRPr="00887584" w:rsidRDefault="001A5908" w:rsidP="00D661BA">
      <w:pPr>
        <w:pStyle w:val="Heading4"/>
      </w:pPr>
      <w:r>
        <w:t>Мерки</w:t>
      </w:r>
      <w:r w:rsidR="0081379D" w:rsidRPr="00887584">
        <w:t xml:space="preserve"> във връзка с военната инвазия в Република Украйна</w:t>
      </w:r>
    </w:p>
    <w:p w14:paraId="29D4E017" w14:textId="3947B192" w:rsidR="00327E64" w:rsidRPr="00887584" w:rsidRDefault="00327E64" w:rsidP="00327E64">
      <w:pPr>
        <w:rPr>
          <w:szCs w:val="24"/>
        </w:rPr>
      </w:pPr>
      <w:r w:rsidRPr="00887584">
        <w:rPr>
          <w:szCs w:val="24"/>
        </w:rPr>
        <w:t>1. С Решение № 145 от 10 март на Министерския съвет беше одобрена Програмата за ползване на хуманитарна помощ за лица, търсещи временна закрила в Република България вследствие на военните действия в Република Украйна. Програмата се администрира от Министерството на туризма, като се финансира от инструменти на Европейския съюз и/или от държавния бюджет по реда на Закона за публичните финанси и Закона за държавния бюджет на Република България за 2022 г. Помощта се изплаща от Министерството на туризма на категоризирани или регистрирани места за настаняване, вписани в Националния туристически регистър и на обектите, вписани в създадения за целите на изпълнението на програмата Регистър на местата за подслон на три отчетни периода. Хуманитарната помощ е в общ размер на 4</w:t>
      </w:r>
      <w:r>
        <w:rPr>
          <w:szCs w:val="24"/>
        </w:rPr>
        <w:t>3.60</w:t>
      </w:r>
      <w:r w:rsidRPr="00887584">
        <w:rPr>
          <w:szCs w:val="24"/>
        </w:rPr>
        <w:t xml:space="preserve"> лв. </w:t>
      </w:r>
      <w:r>
        <w:rPr>
          <w:szCs w:val="24"/>
        </w:rPr>
        <w:t>с вкл.</w:t>
      </w:r>
      <w:r w:rsidRPr="00887584">
        <w:rPr>
          <w:szCs w:val="24"/>
        </w:rPr>
        <w:t xml:space="preserve"> ДДС на едно лице за нощувка и храноден (закуска, обяд и вечеря), в т. ч. туристически данък</w:t>
      </w:r>
      <w:r>
        <w:rPr>
          <w:szCs w:val="24"/>
        </w:rPr>
        <w:t xml:space="preserve"> </w:t>
      </w:r>
      <w:r w:rsidRPr="003F0DE5">
        <w:rPr>
          <w:szCs w:val="24"/>
        </w:rPr>
        <w:t>и транспортиране, когато е извършено</w:t>
      </w:r>
      <w:r w:rsidRPr="00887584">
        <w:rPr>
          <w:szCs w:val="24"/>
        </w:rPr>
        <w:t>. Средствата по Програмата се предоставят на три отчетни периода, след като бъде извършена проверка от комисия за съответствие с критериите за изплащане на хуманитарните средства съгласно изискванията на Програмата. Към настоящият момент Програмата обхваща периода от 24 февруари 2022 г. до 31 май 2022 г.</w:t>
      </w:r>
    </w:p>
    <w:p w14:paraId="66A5AA9E" w14:textId="77777777" w:rsidR="00327E64" w:rsidRDefault="00327E64" w:rsidP="00327E64">
      <w:pPr>
        <w:rPr>
          <w:szCs w:val="24"/>
        </w:rPr>
      </w:pPr>
      <w:r w:rsidRPr="00887584">
        <w:rPr>
          <w:szCs w:val="24"/>
        </w:rPr>
        <w:t xml:space="preserve">2. С Решение № 129 на Министерския съвет от 09 март 2022 г., в сила от 24 февруари 2022 г., пътните превозни средства от Република Украйна независимо от тяхната категория и технически характеристики са освободени от заплащане на пътни такси по Закона за пътищата, с цел осъществяване на хуманитарна помощ или съставляващи конвои, предназначени за оказване на хуманитарна или медицинска помощ. </w:t>
      </w:r>
    </w:p>
    <w:p w14:paraId="7C8F6E8C" w14:textId="7C3A1BBC" w:rsidR="00327E64" w:rsidRDefault="00327E64" w:rsidP="00327E64">
      <w:pPr>
        <w:rPr>
          <w:i/>
          <w:iCs/>
          <w:szCs w:val="24"/>
          <w:lang w:eastAsia="en-US"/>
        </w:rPr>
      </w:pPr>
      <w:r>
        <w:rPr>
          <w:i/>
          <w:iCs/>
          <w:szCs w:val="24"/>
        </w:rPr>
        <w:t xml:space="preserve">Индикативният размер на средствата по Програмата е 196 млн. лв., при разчет за предоставяне на хуманитарната помощ в размер на </w:t>
      </w:r>
      <w:r>
        <w:rPr>
          <w:b/>
          <w:bCs/>
          <w:i/>
          <w:iCs/>
          <w:szCs w:val="24"/>
          <w:u w:val="single"/>
        </w:rPr>
        <w:t>43.60 лв. с вкл. ДДС</w:t>
      </w:r>
      <w:r>
        <w:rPr>
          <w:i/>
          <w:iCs/>
          <w:szCs w:val="24"/>
        </w:rPr>
        <w:t xml:space="preserve"> на ден, за приблизително 50 хил. лица, за период от 3 месеца и се предвижда да се финансира от инструменти на Европейския съюз и/или от държавния бюджет по реда на Закона за публичните финанси и Закона за държавния бюджет на Република България за 2022 г.</w:t>
      </w:r>
    </w:p>
    <w:p w14:paraId="4134B2AF" w14:textId="39996704" w:rsidR="0081379D" w:rsidRPr="00887584" w:rsidRDefault="0081379D" w:rsidP="00D661BA">
      <w:pPr>
        <w:pStyle w:val="Heading4"/>
      </w:pPr>
      <w:r w:rsidRPr="00887584">
        <w:t xml:space="preserve">Мерки, в отговор на пандемията </w:t>
      </w:r>
      <w:r w:rsidR="0036793A" w:rsidRPr="00887584">
        <w:t>от</w:t>
      </w:r>
      <w:r w:rsidRPr="00887584">
        <w:t xml:space="preserve"> COVID-19</w:t>
      </w:r>
    </w:p>
    <w:p w14:paraId="1DB7AFEE" w14:textId="734E3CC1" w:rsidR="0081379D" w:rsidRPr="00887584" w:rsidRDefault="0081379D" w:rsidP="00887584">
      <w:pPr>
        <w:pStyle w:val="Default"/>
        <w:rPr>
          <w:rFonts w:cs="Times New Roman"/>
          <w:color w:val="auto"/>
        </w:rPr>
      </w:pPr>
      <w:r w:rsidRPr="00887584">
        <w:rPr>
          <w:rFonts w:cs="Times New Roman"/>
          <w:color w:val="auto"/>
        </w:rPr>
        <w:t>За 2022</w:t>
      </w:r>
      <w:r w:rsidR="00DF07FD">
        <w:rPr>
          <w:rFonts w:cs="Times New Roman"/>
          <w:color w:val="auto"/>
        </w:rPr>
        <w:t> г.</w:t>
      </w:r>
      <w:r w:rsidRPr="00887584">
        <w:rPr>
          <w:rFonts w:cs="Times New Roman"/>
          <w:color w:val="auto"/>
        </w:rPr>
        <w:t xml:space="preserve"> най-високите разходи в борбата с пандемията от COVID-19 са свързани с осигуряване на ваксини, лекарствени продукти и бързи антигенни тестове и са в размер на 416,4 млн. лв., следвани от разходите за подкрепа на персонала на първа линия, пряко ангажиран с дейности по предотвратяване разпространението на COVID-19, вкл. за поставяне на ваксини срещу COVID-19 – 378,0 млн. лв. Значителни средства са осигурени и за подпомагане на бизнеса и програми за заетост – в размер на 400,0 млн. лв. Предвидени са и средства за подпомагане на туристическия бранш в размер на 25 млн. лв.</w:t>
      </w:r>
    </w:p>
    <w:p w14:paraId="2AE4F476" w14:textId="54FE5B5C" w:rsidR="0081379D" w:rsidRDefault="0081379D" w:rsidP="00887584">
      <w:pPr>
        <w:rPr>
          <w:szCs w:val="24"/>
        </w:rPr>
      </w:pPr>
      <w:r w:rsidRPr="00887584">
        <w:rPr>
          <w:szCs w:val="24"/>
        </w:rPr>
        <w:lastRenderedPageBreak/>
        <w:t>За еднократна сума за компенсиране на дохода от пенсии до нивото от декември 2021</w:t>
      </w:r>
      <w:r w:rsidR="00DF07FD">
        <w:rPr>
          <w:szCs w:val="24"/>
        </w:rPr>
        <w:t> г.</w:t>
      </w:r>
      <w:r w:rsidRPr="00887584">
        <w:rPr>
          <w:szCs w:val="24"/>
        </w:rPr>
        <w:t xml:space="preserve"> за периода до юни 2022</w:t>
      </w:r>
      <w:r w:rsidR="00DF07FD">
        <w:rPr>
          <w:szCs w:val="24"/>
        </w:rPr>
        <w:t> г.</w:t>
      </w:r>
      <w:r w:rsidRPr="00887584">
        <w:rPr>
          <w:szCs w:val="24"/>
        </w:rPr>
        <w:t xml:space="preserve"> са предвидени допълнително 102</w:t>
      </w:r>
      <w:r w:rsidR="00F1384F" w:rsidRPr="00887584">
        <w:rPr>
          <w:szCs w:val="24"/>
        </w:rPr>
        <w:t xml:space="preserve"> </w:t>
      </w:r>
      <w:r w:rsidRPr="00887584">
        <w:rPr>
          <w:szCs w:val="24"/>
        </w:rPr>
        <w:t>млн. лв.</w:t>
      </w:r>
    </w:p>
    <w:p w14:paraId="3193304C" w14:textId="7659B108" w:rsidR="00AF3271" w:rsidRPr="00D661BA" w:rsidRDefault="0008700F" w:rsidP="00D661BA">
      <w:pPr>
        <w:pStyle w:val="Heading3"/>
      </w:pPr>
      <w:bookmarkStart w:id="84" w:name="_Toc385006967"/>
      <w:r w:rsidRPr="00D661BA">
        <w:t>Ефекти върху приходната част на бюджета</w:t>
      </w:r>
      <w:bookmarkEnd w:id="84"/>
    </w:p>
    <w:p w14:paraId="6A3C76B5" w14:textId="3C870549" w:rsidR="00364AE5" w:rsidRPr="00887584" w:rsidRDefault="00364AE5" w:rsidP="00887584">
      <w:pPr>
        <w:pStyle w:val="a"/>
        <w:spacing w:before="0" w:after="120"/>
        <w:jc w:val="both"/>
        <w:rPr>
          <w:sz w:val="24"/>
        </w:rPr>
      </w:pPr>
      <w:r w:rsidRPr="00887584">
        <w:rPr>
          <w:sz w:val="24"/>
        </w:rPr>
        <w:t>Оценките за размера на данъчните приходи за периода 2022–2025</w:t>
      </w:r>
      <w:r w:rsidR="00DF07FD">
        <w:rPr>
          <w:sz w:val="24"/>
        </w:rPr>
        <w:t> г.</w:t>
      </w:r>
      <w:r w:rsidRPr="00887584">
        <w:rPr>
          <w:sz w:val="24"/>
        </w:rPr>
        <w:t xml:space="preserve"> са направени въз основа на прогнозите на Министерството на финансите за основните макроикономическа показатели и въздействието на прилаганите от страна на приходните агенции мерки за подобряване на събираемостта и спазване на законодателството. Съобразени са приоритетите в данъчната политика в средносрочен план и се отчитат ефектите от промените в данъчното законодателство, свързани с реализирането на мерки за подобряване на събираемостта, стимулиране на икономическото възстановяване и развитие, намаляване на административната тежест и въвеждане в националното законодателство на разпоредби от европейското право в област-та на данъците. Отчетени са ефектите от продължаващото изпълнение на някои мерки, свързани с пандемията от COVID-19.</w:t>
      </w:r>
    </w:p>
    <w:p w14:paraId="2CA2DC9D" w14:textId="77777777" w:rsidR="00364AE5" w:rsidRPr="00887584" w:rsidRDefault="00364AE5" w:rsidP="00D661BA">
      <w:pPr>
        <w:pStyle w:val="Heading4"/>
      </w:pPr>
      <w:r w:rsidRPr="00887584">
        <w:t xml:space="preserve">Корпоративни данъци </w:t>
      </w:r>
    </w:p>
    <w:p w14:paraId="7EF64B39" w14:textId="654C4B4B" w:rsidR="00364AE5" w:rsidRPr="00887584" w:rsidRDefault="00364AE5" w:rsidP="00887584">
      <w:pPr>
        <w:pStyle w:val="a"/>
        <w:spacing w:before="0" w:after="120"/>
        <w:jc w:val="both"/>
        <w:rPr>
          <w:sz w:val="24"/>
        </w:rPr>
      </w:pPr>
      <w:r w:rsidRPr="00887584">
        <w:rPr>
          <w:sz w:val="24"/>
        </w:rPr>
        <w:t xml:space="preserve">Прогнозата за размера на приходите от корпоративни данъци е базирана на запазването на основната данъчна ставка от 10%. Основно влияние върху приходите от корпоративен данък оказват отчетените финансови резултати (облагаема печалба/загуба) и размера на авансови-те вноски, които правят данъчно задължените по Закона за корпоративното подоходно облагане (ЗКПО) лица, формирали данъчна печалба за предходната година. </w:t>
      </w:r>
    </w:p>
    <w:p w14:paraId="49B0C1E4" w14:textId="6B5D7F5B" w:rsidR="00364AE5" w:rsidRPr="00887584" w:rsidRDefault="00364AE5" w:rsidP="00887584">
      <w:pPr>
        <w:pStyle w:val="a"/>
        <w:spacing w:before="0" w:after="120"/>
        <w:jc w:val="both"/>
        <w:rPr>
          <w:sz w:val="24"/>
        </w:rPr>
      </w:pPr>
      <w:r w:rsidRPr="00887584">
        <w:rPr>
          <w:sz w:val="24"/>
        </w:rPr>
        <w:t>От 2021</w:t>
      </w:r>
      <w:r w:rsidR="00DF07FD">
        <w:rPr>
          <w:sz w:val="24"/>
        </w:rPr>
        <w:t> г.</w:t>
      </w:r>
      <w:r w:rsidRPr="00887584">
        <w:rPr>
          <w:sz w:val="24"/>
        </w:rPr>
        <w:t xml:space="preserve"> са променени разпоредбите на ЗКПО относно срока за деклариране на авансови вноски (съгласно чл. 87а, ал.1 от ЗКПО в срок от 1 март до 15 април на същата година) и за по-даване на декларацията за промени на авансовите вноски за корпоративен данък по чл. 88 от ЗКПО. Сроковете за месечните и тримесечни плащания не са променени, с изключение на срока за внасяне на авансов корпоративен данък за месец декември и за третото тримесечие на текущата година, който се променя от 15 декември на 1 декември на годината. </w:t>
      </w:r>
    </w:p>
    <w:p w14:paraId="1D0B2F28" w14:textId="34575F23" w:rsidR="00364AE5" w:rsidRPr="00887584" w:rsidRDefault="00364AE5" w:rsidP="00887584">
      <w:pPr>
        <w:pStyle w:val="a"/>
        <w:spacing w:before="0" w:after="120"/>
        <w:jc w:val="both"/>
        <w:rPr>
          <w:sz w:val="24"/>
        </w:rPr>
      </w:pPr>
      <w:r w:rsidRPr="00887584">
        <w:rPr>
          <w:sz w:val="24"/>
        </w:rPr>
        <w:t xml:space="preserve">Изместена е датата на подаване на годишните данъчни декларации по ЗКПО и датата за </w:t>
      </w:r>
      <w:r w:rsidR="00FE1BA4">
        <w:rPr>
          <w:sz w:val="24"/>
        </w:rPr>
        <w:t>внасяне на корпоративния данък</w:t>
      </w:r>
      <w:r w:rsidR="00DF07FD">
        <w:rPr>
          <w:sz w:val="24"/>
        </w:rPr>
        <w:t xml:space="preserve"> – </w:t>
      </w:r>
      <w:r w:rsidRPr="00887584">
        <w:rPr>
          <w:sz w:val="24"/>
        </w:rPr>
        <w:t xml:space="preserve">от 1 март до 30 юни на следващата година. </w:t>
      </w:r>
    </w:p>
    <w:p w14:paraId="511CD783" w14:textId="7C8C2539" w:rsidR="00364AE5" w:rsidRPr="00887584" w:rsidRDefault="00364AE5" w:rsidP="00887584">
      <w:pPr>
        <w:pStyle w:val="a"/>
        <w:spacing w:before="0" w:after="120"/>
        <w:jc w:val="both"/>
        <w:rPr>
          <w:sz w:val="24"/>
        </w:rPr>
      </w:pPr>
      <w:r w:rsidRPr="00887584">
        <w:rPr>
          <w:sz w:val="24"/>
        </w:rPr>
        <w:t>При планиране на постъпленията от други данъци по ЗКПО е съобразено намалението на ставката от 10% на 3% на данъка върху разходите в натура по чл. 204, ал. 1, т. 4 от ЗКПО, която се прилага и за 2022</w:t>
      </w:r>
      <w:r w:rsidR="00DF07FD">
        <w:rPr>
          <w:sz w:val="24"/>
        </w:rPr>
        <w:t> г.</w:t>
      </w:r>
      <w:r w:rsidRPr="00887584">
        <w:rPr>
          <w:sz w:val="24"/>
        </w:rPr>
        <w:t>, с отрицателен ефект за бюджета от 11 млн. лева.</w:t>
      </w:r>
    </w:p>
    <w:p w14:paraId="5A84AF74" w14:textId="77777777" w:rsidR="00364AE5" w:rsidRPr="00887584" w:rsidRDefault="00364AE5" w:rsidP="00D661BA">
      <w:pPr>
        <w:pStyle w:val="Heading4"/>
      </w:pPr>
      <w:r w:rsidRPr="00887584">
        <w:t>Данъци върху доходите на физическите лица</w:t>
      </w:r>
    </w:p>
    <w:p w14:paraId="2F4BE070" w14:textId="56201AAA" w:rsidR="00364AE5" w:rsidRPr="00887584" w:rsidRDefault="00FE1BA4" w:rsidP="00887584">
      <w:pPr>
        <w:pStyle w:val="a"/>
        <w:spacing w:before="0" w:after="120"/>
        <w:jc w:val="both"/>
        <w:rPr>
          <w:sz w:val="24"/>
        </w:rPr>
      </w:pPr>
      <w:r>
        <w:rPr>
          <w:sz w:val="24"/>
        </w:rPr>
        <w:t>Планът</w:t>
      </w:r>
      <w:r w:rsidR="00364AE5" w:rsidRPr="00887584">
        <w:rPr>
          <w:sz w:val="24"/>
        </w:rPr>
        <w:t xml:space="preserve"> за постъпленията по ЗДДФЛ за 2022</w:t>
      </w:r>
      <w:r w:rsidR="00DF07FD">
        <w:rPr>
          <w:sz w:val="24"/>
        </w:rPr>
        <w:t> г.</w:t>
      </w:r>
      <w:r w:rsidR="00364AE5" w:rsidRPr="00887584">
        <w:rPr>
          <w:sz w:val="24"/>
        </w:rPr>
        <w:t xml:space="preserve"> и прогнозата за периода 2023–2025</w:t>
      </w:r>
      <w:r w:rsidR="00DF07FD">
        <w:rPr>
          <w:sz w:val="24"/>
        </w:rPr>
        <w:t> г.</w:t>
      </w:r>
      <w:r w:rsidR="00364AE5" w:rsidRPr="00887584">
        <w:rPr>
          <w:sz w:val="24"/>
        </w:rPr>
        <w:t xml:space="preserve"> са изготвени при запазване на единната данъчна ставка от 10</w:t>
      </w:r>
      <w:r w:rsidR="000F033A" w:rsidRPr="00887584">
        <w:rPr>
          <w:sz w:val="24"/>
        </w:rPr>
        <w:t>%</w:t>
      </w:r>
      <w:r w:rsidR="00364AE5" w:rsidRPr="00887584">
        <w:rPr>
          <w:sz w:val="24"/>
        </w:rPr>
        <w:t xml:space="preserve"> (без необлагаем минимум) за всички доходи на данъкоплатците, с изключение на доходите от стопанска дейност на лицата, извършващи стопанска дейност като търговци по смисъла на Търговския закон, включително еднолични търговци или физически лица, регистрирани като земеделски стопани, избрали доходът от стопанската им дейност да се облага с данък върху такава годишна данъчна основа, за които ставката остава в размер на 15%. В размера на приходите от личното подоходно облагане се включват и постъпленията в местните бюджети от патентен данък и от данък върху таксиметров превоз на пътници. </w:t>
      </w:r>
    </w:p>
    <w:p w14:paraId="0CEE06BA" w14:textId="761E9DAA" w:rsidR="00364AE5" w:rsidRPr="00887584" w:rsidRDefault="00364AE5" w:rsidP="00887584">
      <w:pPr>
        <w:pStyle w:val="a"/>
        <w:spacing w:before="0" w:after="120"/>
        <w:jc w:val="both"/>
        <w:rPr>
          <w:sz w:val="24"/>
        </w:rPr>
      </w:pPr>
      <w:r w:rsidRPr="00887584">
        <w:rPr>
          <w:sz w:val="24"/>
        </w:rPr>
        <w:t>Върху размера на данъчните постъпления от ДДФЛ основно влияние имат развитието на</w:t>
      </w:r>
      <w:r w:rsidR="009C0E16" w:rsidRPr="00887584">
        <w:rPr>
          <w:sz w:val="24"/>
        </w:rPr>
        <w:t xml:space="preserve"> </w:t>
      </w:r>
      <w:r w:rsidRPr="00887584">
        <w:rPr>
          <w:sz w:val="24"/>
        </w:rPr>
        <w:t xml:space="preserve">параметрите на пазара на труда и предприетите законодателни и административни мерки в областта на трудовото, социалното и данъчното законодателство. Влияние оказват размерът на средната работна заплата, нивото на безработица в страната, декларираните с </w:t>
      </w:r>
      <w:r w:rsidR="009D5B59" w:rsidRPr="00E1278A">
        <w:rPr>
          <w:sz w:val="24"/>
        </w:rPr>
        <w:lastRenderedPageBreak/>
        <w:t xml:space="preserve">годишната данъчна декларация </w:t>
      </w:r>
      <w:r w:rsidR="009D5B59">
        <w:rPr>
          <w:sz w:val="24"/>
        </w:rPr>
        <w:t>(</w:t>
      </w:r>
      <w:r w:rsidRPr="00887584">
        <w:rPr>
          <w:sz w:val="24"/>
        </w:rPr>
        <w:t>ГДД</w:t>
      </w:r>
      <w:r w:rsidR="009D5B59">
        <w:rPr>
          <w:sz w:val="24"/>
        </w:rPr>
        <w:t>)</w:t>
      </w:r>
      <w:r w:rsidRPr="00887584">
        <w:rPr>
          <w:sz w:val="24"/>
        </w:rPr>
        <w:t xml:space="preserve"> на физическите лица резултати, размер на изплатените суми за дивиденти и ликвидационни дялове, нивото на лихвените проценти по депозити на гражданите и обема на депозитите.</w:t>
      </w:r>
    </w:p>
    <w:p w14:paraId="2284BF7A" w14:textId="0CDFC6DE" w:rsidR="00364AE5" w:rsidRPr="00887584" w:rsidRDefault="00364AE5" w:rsidP="00887584">
      <w:pPr>
        <w:pStyle w:val="a"/>
        <w:spacing w:before="0" w:after="120"/>
        <w:jc w:val="both"/>
        <w:rPr>
          <w:sz w:val="24"/>
        </w:rPr>
      </w:pPr>
      <w:r w:rsidRPr="00887584">
        <w:rPr>
          <w:sz w:val="24"/>
        </w:rPr>
        <w:t xml:space="preserve">Отчетена е наличната информация относно ефектите от постоянните мерки на Националната агенция </w:t>
      </w:r>
      <w:r w:rsidR="009D5B59">
        <w:rPr>
          <w:sz w:val="24"/>
        </w:rPr>
        <w:t>за</w:t>
      </w:r>
      <w:r w:rsidRPr="00887584">
        <w:rPr>
          <w:sz w:val="24"/>
        </w:rPr>
        <w:t xml:space="preserve"> приходите </w:t>
      </w:r>
      <w:r w:rsidR="009D5B59">
        <w:rPr>
          <w:sz w:val="24"/>
        </w:rPr>
        <w:t xml:space="preserve">(НАП) </w:t>
      </w:r>
      <w:r w:rsidRPr="00887584">
        <w:rPr>
          <w:sz w:val="24"/>
        </w:rPr>
        <w:t>за спазване на данъчното законодателство и подобряване събираемостта на приходите, включително провежданите от агенцията тематични кампании (проверка на касови наличности, проверки на собственици на луксозни автомобили, проверка на физически лица, закупили скъпи имоти и др.).</w:t>
      </w:r>
    </w:p>
    <w:p w14:paraId="59B25DBF" w14:textId="451EC83D" w:rsidR="00364AE5" w:rsidRPr="00887584" w:rsidRDefault="00364AE5" w:rsidP="00887584">
      <w:pPr>
        <w:pStyle w:val="a"/>
        <w:spacing w:before="0" w:after="120"/>
        <w:jc w:val="both"/>
        <w:rPr>
          <w:sz w:val="24"/>
        </w:rPr>
      </w:pPr>
      <w:r w:rsidRPr="00887584">
        <w:rPr>
          <w:sz w:val="24"/>
        </w:rPr>
        <w:t>При прогнозиране на постъпленията от ДДФЛ е взет предвид очакваният отрицателен годишен бюджетен ефект от 230 млн. лв. от прилагане на увеличения размер на данъчните облекчения за деца за придобитите през 2021</w:t>
      </w:r>
      <w:r w:rsidR="00DF07FD">
        <w:rPr>
          <w:sz w:val="24"/>
        </w:rPr>
        <w:t> г.</w:t>
      </w:r>
      <w:r w:rsidRPr="00887584">
        <w:rPr>
          <w:sz w:val="24"/>
        </w:rPr>
        <w:t xml:space="preserve"> и през 2022</w:t>
      </w:r>
      <w:r w:rsidR="00DF07FD">
        <w:rPr>
          <w:sz w:val="24"/>
        </w:rPr>
        <w:t> г.</w:t>
      </w:r>
      <w:r w:rsidRPr="00887584">
        <w:rPr>
          <w:sz w:val="24"/>
        </w:rPr>
        <w:t xml:space="preserve"> доходи, ка</w:t>
      </w:r>
      <w:r w:rsidR="009F2955">
        <w:rPr>
          <w:sz w:val="24"/>
        </w:rPr>
        <w:t>кто и ефектът в размер на 2.</w:t>
      </w:r>
      <w:r w:rsidRPr="00887584">
        <w:rPr>
          <w:sz w:val="24"/>
        </w:rPr>
        <w:t>8 млн.</w:t>
      </w:r>
      <w:r w:rsidR="00E74FB4" w:rsidRPr="00887584">
        <w:rPr>
          <w:sz w:val="24"/>
        </w:rPr>
        <w:t xml:space="preserve"> </w:t>
      </w:r>
      <w:r w:rsidRPr="00887584">
        <w:rPr>
          <w:sz w:val="24"/>
        </w:rPr>
        <w:t>лв. загуба за бюджета от отмяната на окончателния данък върху придобитите от местни физически лица доходи от лихви по банкови сметки по чл. 38, ал. 13 от ЗДДФЛ.</w:t>
      </w:r>
    </w:p>
    <w:p w14:paraId="2AC34B98" w14:textId="77777777" w:rsidR="00364AE5" w:rsidRPr="00887584" w:rsidRDefault="00364AE5" w:rsidP="00D661BA">
      <w:pPr>
        <w:pStyle w:val="Heading4"/>
      </w:pPr>
      <w:r w:rsidRPr="00887584">
        <w:t xml:space="preserve">Данък върху добавената стойност </w:t>
      </w:r>
    </w:p>
    <w:p w14:paraId="2137CC94" w14:textId="4B9D4BFC" w:rsidR="00364AE5" w:rsidRPr="00887584" w:rsidRDefault="00364AE5" w:rsidP="00887584">
      <w:pPr>
        <w:pStyle w:val="a"/>
        <w:spacing w:before="0" w:after="120"/>
        <w:jc w:val="both"/>
        <w:rPr>
          <w:sz w:val="24"/>
        </w:rPr>
      </w:pPr>
      <w:r w:rsidRPr="00887584">
        <w:rPr>
          <w:sz w:val="24"/>
        </w:rPr>
        <w:t xml:space="preserve">При прогнозиране на приходите от </w:t>
      </w:r>
      <w:r w:rsidR="009D5B59">
        <w:rPr>
          <w:sz w:val="24"/>
        </w:rPr>
        <w:t>данъка върху добавената стойност (</w:t>
      </w:r>
      <w:r w:rsidRPr="00887584">
        <w:rPr>
          <w:sz w:val="24"/>
        </w:rPr>
        <w:t>ДДС</w:t>
      </w:r>
      <w:r w:rsidR="009D5B59">
        <w:rPr>
          <w:sz w:val="24"/>
        </w:rPr>
        <w:t>)</w:t>
      </w:r>
      <w:r w:rsidRPr="00887584">
        <w:rPr>
          <w:sz w:val="24"/>
        </w:rPr>
        <w:t xml:space="preserve"> за периода 2022</w:t>
      </w:r>
      <w:r w:rsidR="008010F6">
        <w:rPr>
          <w:rFonts w:cstheme="minorHAnsi"/>
          <w:lang w:val="en-US"/>
        </w:rPr>
        <w:t>–</w:t>
      </w:r>
      <w:r w:rsidRPr="00887584">
        <w:rPr>
          <w:sz w:val="24"/>
        </w:rPr>
        <w:t>2025</w:t>
      </w:r>
      <w:r w:rsidR="00DF07FD">
        <w:rPr>
          <w:sz w:val="24"/>
        </w:rPr>
        <w:t> г.</w:t>
      </w:r>
      <w:r w:rsidR="009F2955">
        <w:rPr>
          <w:sz w:val="24"/>
        </w:rPr>
        <w:t xml:space="preserve"> са взети предвид допускания</w:t>
      </w:r>
      <w:r w:rsidRPr="00887584">
        <w:rPr>
          <w:sz w:val="24"/>
        </w:rPr>
        <w:t>та относно промените в икономическата активност в страната, динамиката на потреблението, вноса, износа, влиянието на приетите законодателни изменения и въздействието на фактори, обусловени от промени във външната среда. Отчетени са к</w:t>
      </w:r>
      <w:r w:rsidR="00E74FB4" w:rsidRPr="00887584">
        <w:rPr>
          <w:sz w:val="24"/>
        </w:rPr>
        <w:t>акто прогнозите за макроикономи</w:t>
      </w:r>
      <w:r w:rsidRPr="00887584">
        <w:rPr>
          <w:sz w:val="24"/>
        </w:rPr>
        <w:t xml:space="preserve">ческите показатели, така и ефектите от направените промени в законодателството. </w:t>
      </w:r>
    </w:p>
    <w:p w14:paraId="74B012BE" w14:textId="3BFCAA44" w:rsidR="00364AE5" w:rsidRPr="00887584" w:rsidRDefault="00364AE5" w:rsidP="00887584">
      <w:pPr>
        <w:pStyle w:val="a"/>
        <w:spacing w:before="0" w:after="120"/>
        <w:jc w:val="both"/>
        <w:rPr>
          <w:sz w:val="24"/>
        </w:rPr>
      </w:pPr>
      <w:r w:rsidRPr="00887584">
        <w:rPr>
          <w:sz w:val="24"/>
        </w:rPr>
        <w:t>За срок до 31.12.2022</w:t>
      </w:r>
      <w:r w:rsidR="00DF07FD">
        <w:rPr>
          <w:sz w:val="24"/>
        </w:rPr>
        <w:t> г.</w:t>
      </w:r>
      <w:r w:rsidRPr="00887584">
        <w:rPr>
          <w:sz w:val="24"/>
        </w:rPr>
        <w:t>, е намалена данъчната ставка от 20% на 9%</w:t>
      </w:r>
      <w:r w:rsidR="009C0E16" w:rsidRPr="00887584">
        <w:rPr>
          <w:sz w:val="24"/>
        </w:rPr>
        <w:t xml:space="preserve"> </w:t>
      </w:r>
      <w:r w:rsidRPr="00887584">
        <w:rPr>
          <w:sz w:val="24"/>
        </w:rPr>
        <w:t>за доставките на ресторантьорски и кетъринг услуги, на книги, на храна, подходяща за бебета или за малки деца и на бебешки пелени и подобни хигиенни артикули, както и за консумацията на бира и вино в питейни заведения, за доставките на услуги за използване на спортни съоръжения и за доставка на обща туристическа услуга в случаите по чл. 136 от ЗДДС.</w:t>
      </w:r>
    </w:p>
    <w:p w14:paraId="21CC0015" w14:textId="55AC3001" w:rsidR="00364AE5" w:rsidRPr="00887584" w:rsidRDefault="00364AE5" w:rsidP="00887584">
      <w:pPr>
        <w:pStyle w:val="a"/>
        <w:spacing w:before="0" w:after="120"/>
        <w:jc w:val="both"/>
        <w:rPr>
          <w:sz w:val="24"/>
        </w:rPr>
      </w:pPr>
      <w:r w:rsidRPr="00887584">
        <w:rPr>
          <w:sz w:val="24"/>
        </w:rPr>
        <w:t>Прилага се освобождаване от ДДС и мита върху вноса на някои медицински стоки, необходими за борба с последиците от пандемията на COVID-19, в съответствие с Решение 2020/491 от 03.04.2020</w:t>
      </w:r>
      <w:r w:rsidR="00DF07FD">
        <w:rPr>
          <w:sz w:val="24"/>
        </w:rPr>
        <w:t> г.</w:t>
      </w:r>
      <w:r w:rsidRPr="00887584">
        <w:rPr>
          <w:sz w:val="24"/>
        </w:rPr>
        <w:t xml:space="preserve"> на Европейската комисия. Предвижда се срокът за прилагане на мярката да е до 30.06.2022 година.</w:t>
      </w:r>
    </w:p>
    <w:p w14:paraId="2A2BDF40" w14:textId="7F82F4D9" w:rsidR="00364AE5" w:rsidRPr="00887584" w:rsidRDefault="00364AE5" w:rsidP="00887584">
      <w:pPr>
        <w:pStyle w:val="a"/>
        <w:spacing w:before="0" w:after="120"/>
        <w:jc w:val="both"/>
        <w:rPr>
          <w:sz w:val="24"/>
        </w:rPr>
      </w:pPr>
      <w:r w:rsidRPr="00887584">
        <w:rPr>
          <w:sz w:val="24"/>
        </w:rPr>
        <w:t>В ЗДДС са установени норми за освобождаване с право на приспадане на данъчен кредит (т.е. чрез прилагане на нулева ставка на данъка) на следните доставки, облагаеми на територията на страната: 1. Доставката на ваксини срещу COVID-19 и услуги</w:t>
      </w:r>
      <w:r w:rsidR="00E74FB4" w:rsidRPr="00887584">
        <w:rPr>
          <w:sz w:val="24"/>
        </w:rPr>
        <w:t>те, пряко свързани с тези вакси</w:t>
      </w:r>
      <w:r w:rsidRPr="00887584">
        <w:rPr>
          <w:sz w:val="24"/>
        </w:rPr>
        <w:t>ни; 2. Доставката на медицински изделия за инвитро диагностика на COVID-</w:t>
      </w:r>
      <w:r w:rsidR="00E74FB4" w:rsidRPr="00887584">
        <w:rPr>
          <w:sz w:val="24"/>
        </w:rPr>
        <w:t>19 и услугите, пря</w:t>
      </w:r>
      <w:r w:rsidRPr="00887584">
        <w:rPr>
          <w:sz w:val="24"/>
        </w:rPr>
        <w:t xml:space="preserve">ко свързани с тези изделия. Мярката също е с временен характер и ще се прилага до 31 декември 2022 година. </w:t>
      </w:r>
    </w:p>
    <w:p w14:paraId="702067E0" w14:textId="13354C9F" w:rsidR="00364AE5" w:rsidRPr="00887584" w:rsidRDefault="00364AE5" w:rsidP="00887584">
      <w:pPr>
        <w:pStyle w:val="a"/>
        <w:spacing w:before="0" w:after="120"/>
        <w:jc w:val="both"/>
        <w:rPr>
          <w:sz w:val="24"/>
        </w:rPr>
      </w:pPr>
      <w:r w:rsidRPr="00887584">
        <w:rPr>
          <w:sz w:val="24"/>
        </w:rPr>
        <w:t>При прогнозиране на постъпленията от ДДС е взет предвид очакваният от</w:t>
      </w:r>
      <w:r w:rsidR="000F1E36">
        <w:rPr>
          <w:sz w:val="24"/>
        </w:rPr>
        <w:t>рицателен бюджетен ефект от 265.</w:t>
      </w:r>
      <w:r w:rsidRPr="00887584">
        <w:rPr>
          <w:sz w:val="24"/>
        </w:rPr>
        <w:t>3 млн. лв. за 2022</w:t>
      </w:r>
      <w:r w:rsidR="00DF07FD">
        <w:rPr>
          <w:sz w:val="24"/>
        </w:rPr>
        <w:t> г.</w:t>
      </w:r>
      <w:r w:rsidRPr="00887584">
        <w:rPr>
          <w:sz w:val="24"/>
        </w:rPr>
        <w:t xml:space="preserve"> от предприетите в отговор на COVID-19 временни мерки. </w:t>
      </w:r>
    </w:p>
    <w:p w14:paraId="263DDD1C" w14:textId="77777777" w:rsidR="00364AE5" w:rsidRPr="00887584" w:rsidRDefault="00364AE5" w:rsidP="00D661BA">
      <w:pPr>
        <w:pStyle w:val="Heading4"/>
      </w:pPr>
      <w:r w:rsidRPr="00887584">
        <w:t>Акцизи</w:t>
      </w:r>
    </w:p>
    <w:p w14:paraId="2E5841D5" w14:textId="6066555B" w:rsidR="00364AE5" w:rsidRPr="00887584" w:rsidRDefault="00364AE5" w:rsidP="00887584">
      <w:pPr>
        <w:pStyle w:val="a"/>
        <w:spacing w:before="0" w:after="120"/>
        <w:jc w:val="both"/>
        <w:rPr>
          <w:sz w:val="24"/>
        </w:rPr>
      </w:pPr>
      <w:r w:rsidRPr="00887584">
        <w:rPr>
          <w:sz w:val="24"/>
        </w:rPr>
        <w:t xml:space="preserve">При изготвянето на прогнозите за приходите от акцизи освен макроикономическите показа-тели е отчетен и положителният ефект от мерките за подобряване на контрола върху </w:t>
      </w:r>
      <w:r w:rsidR="00E74FB4" w:rsidRPr="00887584">
        <w:rPr>
          <w:sz w:val="24"/>
        </w:rPr>
        <w:t>търговията</w:t>
      </w:r>
      <w:r w:rsidRPr="00887584">
        <w:rPr>
          <w:sz w:val="24"/>
        </w:rPr>
        <w:t xml:space="preserve"> с акцизни стоки, като са взети предвид и направените законодателни промени. Прието е допускане за запазване през целия период на акцизните ставки за облагане на различните групи акцизни стоки и относителна устойчивост на структурата на потреблението на акцизни-те продукти в рамките на различните групи акцизни стоки.</w:t>
      </w:r>
    </w:p>
    <w:p w14:paraId="0AE246DF" w14:textId="7218D019" w:rsidR="00364AE5" w:rsidRPr="00887584" w:rsidRDefault="00364AE5" w:rsidP="00887584">
      <w:pPr>
        <w:pStyle w:val="a"/>
        <w:spacing w:before="0" w:after="120"/>
        <w:jc w:val="both"/>
        <w:rPr>
          <w:sz w:val="24"/>
        </w:rPr>
      </w:pPr>
      <w:r w:rsidRPr="00887584">
        <w:rPr>
          <w:sz w:val="24"/>
        </w:rPr>
        <w:lastRenderedPageBreak/>
        <w:t xml:space="preserve">В Закона за акцизите и данъчните складове (ЗАДС) са направени някои промени с цел </w:t>
      </w:r>
      <w:r w:rsidR="00E74FB4" w:rsidRPr="00887584">
        <w:rPr>
          <w:sz w:val="24"/>
        </w:rPr>
        <w:t>отстраняването</w:t>
      </w:r>
      <w:r w:rsidRPr="00887584">
        <w:rPr>
          <w:sz w:val="24"/>
        </w:rPr>
        <w:t xml:space="preserve"> на възникнали при прилагане на закона проблеми, за продължаване хармонизира-нето на българското данъчно законодателство с изискванията на европейските директиви и решения на Съда на Европейския съюз, както и с оглед намаляването на административната тежест при спазване разпоредбите на закона.</w:t>
      </w:r>
    </w:p>
    <w:p w14:paraId="6B3CE366" w14:textId="07F76EB4" w:rsidR="00CD15E6" w:rsidRPr="005B2032" w:rsidRDefault="00364AE5" w:rsidP="00CD15E6">
      <w:pPr>
        <w:pStyle w:val="a"/>
        <w:spacing w:before="0" w:after="120"/>
        <w:jc w:val="both"/>
        <w:rPr>
          <w:rFonts w:asciiTheme="minorHAnsi" w:hAnsiTheme="minorHAnsi" w:cstheme="minorHAnsi"/>
          <w:sz w:val="24"/>
        </w:rPr>
      </w:pPr>
      <w:r w:rsidRPr="00887584">
        <w:rPr>
          <w:sz w:val="24"/>
        </w:rPr>
        <w:t>За прогнозния период не са планирани приходни дискреционни мерки в областта на акцизно-то данъчно облагане. За 2022</w:t>
      </w:r>
      <w:r w:rsidR="00DF07FD">
        <w:rPr>
          <w:sz w:val="24"/>
        </w:rPr>
        <w:t> г.</w:t>
      </w:r>
      <w:r w:rsidRPr="00887584">
        <w:rPr>
          <w:sz w:val="24"/>
        </w:rPr>
        <w:t xml:space="preserve"> е непроменен</w:t>
      </w:r>
      <w:r w:rsidR="009C0E16" w:rsidRPr="00887584">
        <w:rPr>
          <w:sz w:val="24"/>
        </w:rPr>
        <w:t xml:space="preserve"> </w:t>
      </w:r>
      <w:r w:rsidRPr="00887584">
        <w:rPr>
          <w:sz w:val="24"/>
        </w:rPr>
        <w:t>размерът на сумата по схемата за държавна помощ „Помощ под формата на отстъпка от стойността на акциза върху газьола, използван в първичното селскостопанско производство“ от 100 млн. лева.</w:t>
      </w:r>
    </w:p>
    <w:p w14:paraId="5E4C0980" w14:textId="4143345B" w:rsidR="00CD15E6" w:rsidRPr="00887584" w:rsidRDefault="00CD15E6" w:rsidP="00646E11">
      <w:pPr>
        <w:pStyle w:val="Caption"/>
        <w:rPr>
          <w:szCs w:val="24"/>
        </w:rPr>
      </w:pPr>
      <w:r w:rsidRPr="00887584">
        <w:rPr>
          <w:szCs w:val="24"/>
        </w:rPr>
        <w:t>Табл.</w:t>
      </w:r>
      <w:r w:rsidR="00887584" w:rsidRPr="00887584">
        <w:rPr>
          <w:szCs w:val="24"/>
        </w:rPr>
        <w:t xml:space="preserve"> 3-4</w:t>
      </w:r>
      <w:r w:rsidRPr="00887584">
        <w:rPr>
          <w:szCs w:val="24"/>
        </w:rPr>
        <w:t xml:space="preserve">: </w:t>
      </w:r>
      <w:r w:rsidR="00646E11">
        <w:rPr>
          <w:szCs w:val="24"/>
        </w:rPr>
        <w:tab/>
      </w:r>
      <w:r w:rsidR="00063F12" w:rsidRPr="00682446">
        <w:t>Очаквани ефекти върху бюджета от дискреционните мерки и мерките във връзка с пандемията от Covid-19 в областта на приходите на начислена основа</w:t>
      </w:r>
      <w:r w:rsidR="00063F12" w:rsidRPr="00682446">
        <w:rPr>
          <w:lang w:val="en-US"/>
        </w:rPr>
        <w:t xml:space="preserve"> </w:t>
      </w:r>
      <w:r w:rsidR="00063F12" w:rsidRPr="00682446">
        <w:t xml:space="preserve">за периода </w:t>
      </w:r>
      <w:r w:rsidR="00646E11">
        <w:br/>
      </w:r>
      <w:r w:rsidR="00063F12" w:rsidRPr="00682446">
        <w:t>2022</w:t>
      </w:r>
      <w:r w:rsidR="00646E11">
        <w:t>–</w:t>
      </w:r>
      <w:r w:rsidR="00063F12" w:rsidRPr="00682446">
        <w:t>2025</w:t>
      </w:r>
      <w:r w:rsidR="00DF07FD">
        <w:t> г.</w:t>
      </w:r>
      <w:r w:rsidR="00063F12" w:rsidRPr="00682446">
        <w:t>, млн. лв.</w:t>
      </w:r>
    </w:p>
    <w:tbl>
      <w:tblPr>
        <w:tblW w:w="5000" w:type="pct"/>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70" w:type="dxa"/>
          <w:right w:w="70" w:type="dxa"/>
        </w:tblCellMar>
        <w:tblLook w:val="04A0" w:firstRow="1" w:lastRow="0" w:firstColumn="1" w:lastColumn="0" w:noHBand="0" w:noVBand="1"/>
      </w:tblPr>
      <w:tblGrid>
        <w:gridCol w:w="5245"/>
        <w:gridCol w:w="955"/>
        <w:gridCol w:w="955"/>
        <w:gridCol w:w="955"/>
        <w:gridCol w:w="954"/>
      </w:tblGrid>
      <w:tr w:rsidR="00807278" w:rsidRPr="00431DE1" w14:paraId="0BAF423E" w14:textId="77777777" w:rsidTr="00A13F59">
        <w:trPr>
          <w:trHeight w:val="270"/>
        </w:trPr>
        <w:tc>
          <w:tcPr>
            <w:tcW w:w="2893" w:type="pct"/>
            <w:vMerge w:val="restart"/>
            <w:shd w:val="clear" w:color="000000" w:fill="D9D9D9"/>
            <w:vAlign w:val="center"/>
            <w:hideMark/>
          </w:tcPr>
          <w:p w14:paraId="0641E351" w14:textId="17C58D82" w:rsidR="00063F12" w:rsidRPr="00431DE1" w:rsidRDefault="00063F12" w:rsidP="00A13F59">
            <w:pPr>
              <w:spacing w:before="40" w:after="40"/>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Приходни мерки</w:t>
            </w:r>
            <w:r w:rsidR="00DF07FD" w:rsidRPr="00431DE1">
              <w:rPr>
                <w:rFonts w:asciiTheme="minorHAnsi" w:eastAsia="Times New Roman" w:hAnsiTheme="minorHAnsi" w:cstheme="minorHAnsi"/>
                <w:b/>
                <w:bCs/>
                <w:color w:val="000000"/>
                <w:sz w:val="20"/>
                <w:szCs w:val="20"/>
              </w:rPr>
              <w:t xml:space="preserve"> – </w:t>
            </w:r>
            <w:r w:rsidRPr="00431DE1">
              <w:rPr>
                <w:rFonts w:asciiTheme="minorHAnsi" w:eastAsia="Times New Roman" w:hAnsiTheme="minorHAnsi" w:cstheme="minorHAnsi"/>
                <w:b/>
                <w:bCs/>
                <w:color w:val="000000"/>
                <w:sz w:val="20"/>
                <w:szCs w:val="20"/>
              </w:rPr>
              <w:t>изменение спрямо предходна година</w:t>
            </w:r>
          </w:p>
        </w:tc>
        <w:tc>
          <w:tcPr>
            <w:tcW w:w="527" w:type="pct"/>
            <w:vMerge w:val="restart"/>
            <w:shd w:val="clear" w:color="000000" w:fill="D9D9D9"/>
            <w:noWrap/>
            <w:vAlign w:val="center"/>
            <w:hideMark/>
          </w:tcPr>
          <w:p w14:paraId="28BA407E"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2022</w:t>
            </w:r>
          </w:p>
        </w:tc>
        <w:tc>
          <w:tcPr>
            <w:tcW w:w="527" w:type="pct"/>
            <w:vMerge w:val="restart"/>
            <w:shd w:val="clear" w:color="000000" w:fill="D9D9D9"/>
            <w:noWrap/>
            <w:vAlign w:val="center"/>
            <w:hideMark/>
          </w:tcPr>
          <w:p w14:paraId="0C48DFBE"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2023</w:t>
            </w:r>
          </w:p>
        </w:tc>
        <w:tc>
          <w:tcPr>
            <w:tcW w:w="527" w:type="pct"/>
            <w:vMerge w:val="restart"/>
            <w:shd w:val="clear" w:color="000000" w:fill="D9D9D9"/>
            <w:noWrap/>
            <w:vAlign w:val="center"/>
            <w:hideMark/>
          </w:tcPr>
          <w:p w14:paraId="62BC37D0"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2024</w:t>
            </w:r>
          </w:p>
        </w:tc>
        <w:tc>
          <w:tcPr>
            <w:tcW w:w="527" w:type="pct"/>
            <w:vMerge w:val="restart"/>
            <w:shd w:val="clear" w:color="000000" w:fill="D9D9D9"/>
            <w:noWrap/>
            <w:vAlign w:val="center"/>
            <w:hideMark/>
          </w:tcPr>
          <w:p w14:paraId="69B624D0"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2025</w:t>
            </w:r>
          </w:p>
        </w:tc>
      </w:tr>
      <w:tr w:rsidR="00807278" w:rsidRPr="00431DE1" w14:paraId="65B2BFC7" w14:textId="77777777" w:rsidTr="00A13F59">
        <w:trPr>
          <w:trHeight w:val="310"/>
        </w:trPr>
        <w:tc>
          <w:tcPr>
            <w:tcW w:w="2893" w:type="pct"/>
            <w:vMerge/>
            <w:vAlign w:val="center"/>
            <w:hideMark/>
          </w:tcPr>
          <w:p w14:paraId="5D8CEF9B" w14:textId="77777777" w:rsidR="00063F12" w:rsidRPr="00431DE1" w:rsidRDefault="00063F12" w:rsidP="00A13F59">
            <w:pPr>
              <w:spacing w:before="40" w:after="40"/>
              <w:rPr>
                <w:rFonts w:asciiTheme="minorHAnsi" w:eastAsia="Times New Roman" w:hAnsiTheme="minorHAnsi" w:cstheme="minorHAnsi"/>
                <w:b/>
                <w:bCs/>
                <w:color w:val="000000"/>
                <w:sz w:val="20"/>
                <w:szCs w:val="20"/>
              </w:rPr>
            </w:pPr>
          </w:p>
        </w:tc>
        <w:tc>
          <w:tcPr>
            <w:tcW w:w="527" w:type="pct"/>
            <w:vMerge/>
            <w:vAlign w:val="center"/>
            <w:hideMark/>
          </w:tcPr>
          <w:p w14:paraId="02D0F829" w14:textId="77777777" w:rsidR="00063F12" w:rsidRPr="00431DE1" w:rsidRDefault="00063F12" w:rsidP="00A13F59">
            <w:pPr>
              <w:spacing w:before="40" w:after="40"/>
              <w:rPr>
                <w:rFonts w:asciiTheme="minorHAnsi" w:eastAsia="Times New Roman" w:hAnsiTheme="minorHAnsi" w:cstheme="minorHAnsi"/>
                <w:b/>
                <w:bCs/>
                <w:color w:val="000000"/>
                <w:sz w:val="20"/>
                <w:szCs w:val="20"/>
              </w:rPr>
            </w:pPr>
          </w:p>
        </w:tc>
        <w:tc>
          <w:tcPr>
            <w:tcW w:w="527" w:type="pct"/>
            <w:vMerge/>
            <w:vAlign w:val="center"/>
            <w:hideMark/>
          </w:tcPr>
          <w:p w14:paraId="25CCF11F" w14:textId="77777777" w:rsidR="00063F12" w:rsidRPr="00431DE1" w:rsidRDefault="00063F12" w:rsidP="00A13F59">
            <w:pPr>
              <w:spacing w:before="40" w:after="40"/>
              <w:rPr>
                <w:rFonts w:asciiTheme="minorHAnsi" w:eastAsia="Times New Roman" w:hAnsiTheme="minorHAnsi" w:cstheme="minorHAnsi"/>
                <w:b/>
                <w:bCs/>
                <w:color w:val="000000"/>
                <w:sz w:val="20"/>
                <w:szCs w:val="20"/>
              </w:rPr>
            </w:pPr>
          </w:p>
        </w:tc>
        <w:tc>
          <w:tcPr>
            <w:tcW w:w="527" w:type="pct"/>
            <w:vMerge/>
            <w:vAlign w:val="center"/>
            <w:hideMark/>
          </w:tcPr>
          <w:p w14:paraId="424AFCE5" w14:textId="77777777" w:rsidR="00063F12" w:rsidRPr="00431DE1" w:rsidRDefault="00063F12" w:rsidP="00A13F59">
            <w:pPr>
              <w:spacing w:before="40" w:after="40"/>
              <w:rPr>
                <w:rFonts w:asciiTheme="minorHAnsi" w:eastAsia="Times New Roman" w:hAnsiTheme="minorHAnsi" w:cstheme="minorHAnsi"/>
                <w:b/>
                <w:bCs/>
                <w:color w:val="000000"/>
                <w:sz w:val="20"/>
                <w:szCs w:val="20"/>
              </w:rPr>
            </w:pPr>
          </w:p>
        </w:tc>
        <w:tc>
          <w:tcPr>
            <w:tcW w:w="527" w:type="pct"/>
            <w:vMerge/>
            <w:vAlign w:val="center"/>
            <w:hideMark/>
          </w:tcPr>
          <w:p w14:paraId="51D4A45F" w14:textId="77777777" w:rsidR="00063F12" w:rsidRPr="00431DE1" w:rsidRDefault="00063F12" w:rsidP="00A13F59">
            <w:pPr>
              <w:spacing w:before="40" w:after="40"/>
              <w:rPr>
                <w:rFonts w:asciiTheme="minorHAnsi" w:eastAsia="Times New Roman" w:hAnsiTheme="minorHAnsi" w:cstheme="minorHAnsi"/>
                <w:b/>
                <w:bCs/>
                <w:color w:val="000000"/>
                <w:sz w:val="20"/>
                <w:szCs w:val="20"/>
              </w:rPr>
            </w:pPr>
          </w:p>
        </w:tc>
      </w:tr>
      <w:tr w:rsidR="00807278" w:rsidRPr="00431DE1" w14:paraId="7E9F7735" w14:textId="77777777" w:rsidTr="00A13F59">
        <w:trPr>
          <w:trHeight w:val="20"/>
        </w:trPr>
        <w:tc>
          <w:tcPr>
            <w:tcW w:w="2893" w:type="pct"/>
            <w:shd w:val="clear" w:color="auto" w:fill="auto"/>
            <w:vAlign w:val="center"/>
            <w:hideMark/>
          </w:tcPr>
          <w:p w14:paraId="15742B62" w14:textId="4F7A8A66"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Увеличение на данъчното облекчение за деца по чл. 22в и данъчното облекчение за деца с увреждания по чл. 22г от Закона за данъците върху доходите на физическите лица за 2021</w:t>
            </w:r>
            <w:r w:rsidR="00DF07FD" w:rsidRPr="00431DE1">
              <w:rPr>
                <w:rFonts w:asciiTheme="minorHAnsi" w:eastAsia="Times New Roman" w:hAnsiTheme="minorHAnsi" w:cstheme="minorHAnsi"/>
                <w:color w:val="000000"/>
                <w:sz w:val="20"/>
                <w:szCs w:val="20"/>
              </w:rPr>
              <w:t> г.</w:t>
            </w:r>
            <w:r w:rsidRPr="00431DE1">
              <w:rPr>
                <w:rFonts w:asciiTheme="minorHAnsi" w:eastAsia="Times New Roman" w:hAnsiTheme="minorHAnsi" w:cstheme="minorHAnsi"/>
                <w:color w:val="000000"/>
                <w:sz w:val="20"/>
                <w:szCs w:val="20"/>
              </w:rPr>
              <w:t xml:space="preserve"> и 2022</w:t>
            </w:r>
            <w:r w:rsidR="00DF07FD" w:rsidRPr="00431DE1">
              <w:rPr>
                <w:rFonts w:asciiTheme="minorHAnsi" w:eastAsia="Times New Roman" w:hAnsiTheme="minorHAnsi" w:cstheme="minorHAnsi"/>
                <w:color w:val="000000"/>
                <w:sz w:val="20"/>
                <w:szCs w:val="20"/>
              </w:rPr>
              <w:t> г.</w:t>
            </w:r>
          </w:p>
        </w:tc>
        <w:tc>
          <w:tcPr>
            <w:tcW w:w="527" w:type="pct"/>
            <w:shd w:val="clear" w:color="auto" w:fill="auto"/>
            <w:noWrap/>
            <w:hideMark/>
          </w:tcPr>
          <w:p w14:paraId="24B10C45"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230.0</w:t>
            </w:r>
          </w:p>
        </w:tc>
        <w:tc>
          <w:tcPr>
            <w:tcW w:w="527" w:type="pct"/>
            <w:shd w:val="clear" w:color="auto" w:fill="auto"/>
            <w:hideMark/>
          </w:tcPr>
          <w:p w14:paraId="3730795A"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c>
          <w:tcPr>
            <w:tcW w:w="527" w:type="pct"/>
            <w:shd w:val="clear" w:color="auto" w:fill="auto"/>
            <w:hideMark/>
          </w:tcPr>
          <w:p w14:paraId="59AC33B5"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c>
          <w:tcPr>
            <w:tcW w:w="527" w:type="pct"/>
            <w:shd w:val="clear" w:color="auto" w:fill="auto"/>
            <w:hideMark/>
          </w:tcPr>
          <w:p w14:paraId="3E488191"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r>
      <w:tr w:rsidR="00807278" w:rsidRPr="00431DE1" w14:paraId="332BEC65" w14:textId="77777777" w:rsidTr="00A13F59">
        <w:trPr>
          <w:trHeight w:val="20"/>
        </w:trPr>
        <w:tc>
          <w:tcPr>
            <w:tcW w:w="2893" w:type="pct"/>
            <w:shd w:val="clear" w:color="auto" w:fill="auto"/>
            <w:vAlign w:val="center"/>
            <w:hideMark/>
          </w:tcPr>
          <w:p w14:paraId="46AD1CCC"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Намаляване на ставката по ЗДДС на 9% за доставки на определени стоки и услуги; освобождаване от ДДС и мита върху вноса на някои медицински стоки за борба с последиците от COVID-19; прилагане на нулева ставка за ДДС на доставките и вътреобщностните придобивания на диагностични комплекти и ваксини срещу COVID-19, и услугите, пряко свързани с тези изделия</w:t>
            </w:r>
          </w:p>
        </w:tc>
        <w:tc>
          <w:tcPr>
            <w:tcW w:w="527" w:type="pct"/>
            <w:shd w:val="clear" w:color="auto" w:fill="auto"/>
            <w:noWrap/>
            <w:hideMark/>
          </w:tcPr>
          <w:p w14:paraId="7A36915A"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265.3</w:t>
            </w:r>
          </w:p>
        </w:tc>
        <w:tc>
          <w:tcPr>
            <w:tcW w:w="527" w:type="pct"/>
            <w:shd w:val="clear" w:color="auto" w:fill="auto"/>
            <w:hideMark/>
          </w:tcPr>
          <w:p w14:paraId="1A732255"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c>
          <w:tcPr>
            <w:tcW w:w="527" w:type="pct"/>
            <w:shd w:val="clear" w:color="auto" w:fill="auto"/>
            <w:hideMark/>
          </w:tcPr>
          <w:p w14:paraId="4DF8DB70"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c>
          <w:tcPr>
            <w:tcW w:w="527" w:type="pct"/>
            <w:shd w:val="clear" w:color="auto" w:fill="auto"/>
            <w:hideMark/>
          </w:tcPr>
          <w:p w14:paraId="5F07393E"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r>
      <w:tr w:rsidR="00807278" w:rsidRPr="00431DE1" w14:paraId="739E798F" w14:textId="77777777" w:rsidTr="00A13F59">
        <w:trPr>
          <w:trHeight w:val="20"/>
        </w:trPr>
        <w:tc>
          <w:tcPr>
            <w:tcW w:w="2893" w:type="pct"/>
            <w:shd w:val="clear" w:color="auto" w:fill="auto"/>
            <w:vAlign w:val="center"/>
            <w:hideMark/>
          </w:tcPr>
          <w:p w14:paraId="3718B59C"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 xml:space="preserve">Приходи от пенсионно-осигурителни вноски от промяната в политиката по доходите (вкл. увеличение на МРЗ, минималните осигурителни прагове и на минималните осигурителни доходи на самоосигуряващите се лица и минималния осигурителен доход на земеделските стопани и тютюнопроизводители, увеличение на максималния осигурителен доход) </w:t>
            </w:r>
          </w:p>
        </w:tc>
        <w:tc>
          <w:tcPr>
            <w:tcW w:w="527" w:type="pct"/>
            <w:shd w:val="clear" w:color="auto" w:fill="auto"/>
            <w:noWrap/>
            <w:hideMark/>
          </w:tcPr>
          <w:p w14:paraId="49FBF01F"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267.4</w:t>
            </w:r>
          </w:p>
        </w:tc>
        <w:tc>
          <w:tcPr>
            <w:tcW w:w="527" w:type="pct"/>
            <w:shd w:val="clear" w:color="auto" w:fill="auto"/>
            <w:noWrap/>
            <w:hideMark/>
          </w:tcPr>
          <w:p w14:paraId="6137B5EB"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129.0</w:t>
            </w:r>
          </w:p>
        </w:tc>
        <w:tc>
          <w:tcPr>
            <w:tcW w:w="527" w:type="pct"/>
            <w:shd w:val="clear" w:color="auto" w:fill="auto"/>
            <w:noWrap/>
            <w:hideMark/>
          </w:tcPr>
          <w:p w14:paraId="314ADE5A"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57.8</w:t>
            </w:r>
          </w:p>
        </w:tc>
        <w:tc>
          <w:tcPr>
            <w:tcW w:w="527" w:type="pct"/>
            <w:shd w:val="clear" w:color="auto" w:fill="auto"/>
            <w:noWrap/>
            <w:hideMark/>
          </w:tcPr>
          <w:p w14:paraId="2040DE57"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56.0</w:t>
            </w:r>
          </w:p>
        </w:tc>
      </w:tr>
      <w:tr w:rsidR="00807278" w:rsidRPr="00431DE1" w14:paraId="2647A260" w14:textId="77777777" w:rsidTr="00A13F59">
        <w:trPr>
          <w:trHeight w:val="20"/>
        </w:trPr>
        <w:tc>
          <w:tcPr>
            <w:tcW w:w="2893" w:type="pct"/>
            <w:shd w:val="clear" w:color="auto" w:fill="auto"/>
            <w:vAlign w:val="center"/>
            <w:hideMark/>
          </w:tcPr>
          <w:p w14:paraId="21AA4781"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 xml:space="preserve">Приходи от здравноосигурителни вноски от промяната в политиката по доходите (вкл. увеличение на МРЗ, минималните осигурителни прагове и на минималните осигурителни доходи на самоосигуряващите се лица и минималния осигурителен доход на земеделските стопани и тютюнопроизводители, увеличение на максималния осигурителен доход) </w:t>
            </w:r>
          </w:p>
        </w:tc>
        <w:tc>
          <w:tcPr>
            <w:tcW w:w="527" w:type="pct"/>
            <w:shd w:val="clear" w:color="auto" w:fill="auto"/>
            <w:noWrap/>
            <w:hideMark/>
          </w:tcPr>
          <w:p w14:paraId="1C85F0B7"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102.6</w:t>
            </w:r>
          </w:p>
        </w:tc>
        <w:tc>
          <w:tcPr>
            <w:tcW w:w="527" w:type="pct"/>
            <w:shd w:val="clear" w:color="auto" w:fill="auto"/>
            <w:noWrap/>
            <w:hideMark/>
          </w:tcPr>
          <w:p w14:paraId="59704F95"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47.7</w:t>
            </w:r>
          </w:p>
        </w:tc>
        <w:tc>
          <w:tcPr>
            <w:tcW w:w="527" w:type="pct"/>
            <w:shd w:val="clear" w:color="auto" w:fill="auto"/>
            <w:noWrap/>
            <w:hideMark/>
          </w:tcPr>
          <w:p w14:paraId="44A9DC53"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18.8</w:t>
            </w:r>
          </w:p>
        </w:tc>
        <w:tc>
          <w:tcPr>
            <w:tcW w:w="527" w:type="pct"/>
            <w:shd w:val="clear" w:color="auto" w:fill="auto"/>
            <w:noWrap/>
            <w:hideMark/>
          </w:tcPr>
          <w:p w14:paraId="437623C9"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18.2</w:t>
            </w:r>
          </w:p>
        </w:tc>
      </w:tr>
      <w:tr w:rsidR="00807278" w:rsidRPr="00431DE1" w14:paraId="4A6AD8ED" w14:textId="77777777" w:rsidTr="00A13F59">
        <w:trPr>
          <w:trHeight w:val="20"/>
        </w:trPr>
        <w:tc>
          <w:tcPr>
            <w:tcW w:w="2893" w:type="pct"/>
            <w:shd w:val="clear" w:color="auto" w:fill="auto"/>
            <w:vAlign w:val="center"/>
            <w:hideMark/>
          </w:tcPr>
          <w:p w14:paraId="252CF3E0"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Приходи от оперирането на ТОЛ системата</w:t>
            </w:r>
          </w:p>
        </w:tc>
        <w:tc>
          <w:tcPr>
            <w:tcW w:w="527" w:type="pct"/>
            <w:shd w:val="clear" w:color="auto" w:fill="auto"/>
            <w:noWrap/>
            <w:hideMark/>
          </w:tcPr>
          <w:p w14:paraId="4894984A"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290.0</w:t>
            </w:r>
          </w:p>
        </w:tc>
        <w:tc>
          <w:tcPr>
            <w:tcW w:w="527" w:type="pct"/>
            <w:shd w:val="clear" w:color="auto" w:fill="auto"/>
            <w:noWrap/>
            <w:hideMark/>
          </w:tcPr>
          <w:p w14:paraId="07A32667"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40.0</w:t>
            </w:r>
          </w:p>
        </w:tc>
        <w:tc>
          <w:tcPr>
            <w:tcW w:w="527" w:type="pct"/>
            <w:shd w:val="clear" w:color="auto" w:fill="auto"/>
            <w:noWrap/>
            <w:hideMark/>
          </w:tcPr>
          <w:p w14:paraId="1904F6E4"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c>
          <w:tcPr>
            <w:tcW w:w="527" w:type="pct"/>
            <w:shd w:val="clear" w:color="auto" w:fill="auto"/>
            <w:noWrap/>
            <w:hideMark/>
          </w:tcPr>
          <w:p w14:paraId="6E804884"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r>
      <w:tr w:rsidR="00807278" w:rsidRPr="00431DE1" w14:paraId="1B81D748" w14:textId="77777777" w:rsidTr="00A13F59">
        <w:trPr>
          <w:trHeight w:val="20"/>
        </w:trPr>
        <w:tc>
          <w:tcPr>
            <w:tcW w:w="2893" w:type="pct"/>
            <w:shd w:val="clear" w:color="auto" w:fill="auto"/>
            <w:vAlign w:val="center"/>
            <w:hideMark/>
          </w:tcPr>
          <w:p w14:paraId="0010E860"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Приходи от избор на осигуряване</w:t>
            </w:r>
          </w:p>
        </w:tc>
        <w:tc>
          <w:tcPr>
            <w:tcW w:w="527" w:type="pct"/>
            <w:shd w:val="clear" w:color="auto" w:fill="auto"/>
            <w:noWrap/>
            <w:hideMark/>
          </w:tcPr>
          <w:p w14:paraId="23AF4A0C"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27.8</w:t>
            </w:r>
          </w:p>
        </w:tc>
        <w:tc>
          <w:tcPr>
            <w:tcW w:w="527" w:type="pct"/>
            <w:shd w:val="clear" w:color="auto" w:fill="auto"/>
            <w:noWrap/>
            <w:hideMark/>
          </w:tcPr>
          <w:p w14:paraId="16B8776B"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7.0</w:t>
            </w:r>
          </w:p>
        </w:tc>
        <w:tc>
          <w:tcPr>
            <w:tcW w:w="527" w:type="pct"/>
            <w:shd w:val="clear" w:color="auto" w:fill="auto"/>
            <w:noWrap/>
            <w:hideMark/>
          </w:tcPr>
          <w:p w14:paraId="3DCA08CE"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7.7</w:t>
            </w:r>
          </w:p>
        </w:tc>
        <w:tc>
          <w:tcPr>
            <w:tcW w:w="527" w:type="pct"/>
            <w:shd w:val="clear" w:color="auto" w:fill="auto"/>
            <w:noWrap/>
            <w:hideMark/>
          </w:tcPr>
          <w:p w14:paraId="0AC0A4E0"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7.4</w:t>
            </w:r>
          </w:p>
        </w:tc>
      </w:tr>
      <w:tr w:rsidR="00771C45" w:rsidRPr="00431DE1" w14:paraId="18F7B7E8" w14:textId="77777777" w:rsidTr="00A13F59">
        <w:trPr>
          <w:trHeight w:val="20"/>
        </w:trPr>
        <w:tc>
          <w:tcPr>
            <w:tcW w:w="2893" w:type="pct"/>
            <w:shd w:val="clear" w:color="auto" w:fill="auto"/>
            <w:vAlign w:val="center"/>
          </w:tcPr>
          <w:p w14:paraId="27A49AAE" w14:textId="229B28BD" w:rsidR="00771C45" w:rsidRPr="00431DE1" w:rsidRDefault="00771C45" w:rsidP="00A13F59">
            <w:pPr>
              <w:spacing w:before="40" w:after="40"/>
              <w:rPr>
                <w:rFonts w:asciiTheme="minorHAnsi" w:eastAsia="Times New Roman" w:hAnsiTheme="minorHAnsi" w:cstheme="minorHAnsi"/>
                <w:color w:val="000000"/>
                <w:sz w:val="20"/>
                <w:szCs w:val="20"/>
              </w:rPr>
            </w:pPr>
            <w:r>
              <w:rPr>
                <w:rFonts w:eastAsia="Times New Roman" w:cstheme="minorHAnsi"/>
                <w:color w:val="000000"/>
                <w:sz w:val="20"/>
                <w:szCs w:val="20"/>
              </w:rPr>
              <w:t>Приходи от ДДФЛ</w:t>
            </w:r>
            <w:r w:rsidRPr="00ED32D2">
              <w:rPr>
                <w:rFonts w:eastAsia="Times New Roman" w:cstheme="minorHAnsi"/>
                <w:color w:val="000000"/>
                <w:sz w:val="20"/>
                <w:szCs w:val="20"/>
              </w:rPr>
              <w:t xml:space="preserve"> от промяна в политиката по доходите и от отмяната на данъка върху придобити от местни физически лица доходи от лихви по банкови сметки</w:t>
            </w:r>
          </w:p>
        </w:tc>
        <w:tc>
          <w:tcPr>
            <w:tcW w:w="527" w:type="pct"/>
            <w:shd w:val="clear" w:color="auto" w:fill="auto"/>
            <w:noWrap/>
            <w:vAlign w:val="center"/>
          </w:tcPr>
          <w:p w14:paraId="70CEDB27" w14:textId="35768DD6" w:rsidR="00771C45" w:rsidRPr="00431DE1" w:rsidRDefault="00771C45" w:rsidP="00A13F59">
            <w:pPr>
              <w:spacing w:before="40" w:after="40"/>
              <w:jc w:val="center"/>
              <w:rPr>
                <w:rFonts w:asciiTheme="minorHAnsi" w:eastAsia="Times New Roman" w:hAnsiTheme="minorHAnsi" w:cstheme="minorHAnsi"/>
                <w:sz w:val="20"/>
                <w:szCs w:val="20"/>
              </w:rPr>
            </w:pPr>
            <w:r>
              <w:rPr>
                <w:rFonts w:eastAsia="Times New Roman" w:cstheme="minorHAnsi"/>
                <w:sz w:val="20"/>
                <w:szCs w:val="20"/>
              </w:rPr>
              <w:t>4.8</w:t>
            </w:r>
          </w:p>
        </w:tc>
        <w:tc>
          <w:tcPr>
            <w:tcW w:w="527" w:type="pct"/>
            <w:shd w:val="clear" w:color="auto" w:fill="auto"/>
            <w:noWrap/>
            <w:vAlign w:val="center"/>
          </w:tcPr>
          <w:p w14:paraId="4ABA4E1E" w14:textId="77777777" w:rsidR="00771C45" w:rsidRPr="00431DE1" w:rsidRDefault="00771C45" w:rsidP="00A13F59">
            <w:pPr>
              <w:spacing w:before="40" w:after="40"/>
              <w:jc w:val="center"/>
              <w:rPr>
                <w:rFonts w:asciiTheme="minorHAnsi" w:eastAsia="Times New Roman" w:hAnsiTheme="minorHAnsi" w:cstheme="minorHAnsi"/>
                <w:sz w:val="20"/>
                <w:szCs w:val="20"/>
              </w:rPr>
            </w:pPr>
          </w:p>
        </w:tc>
        <w:tc>
          <w:tcPr>
            <w:tcW w:w="527" w:type="pct"/>
            <w:shd w:val="clear" w:color="auto" w:fill="auto"/>
            <w:noWrap/>
            <w:vAlign w:val="center"/>
          </w:tcPr>
          <w:p w14:paraId="6853C4EA" w14:textId="77777777" w:rsidR="00771C45" w:rsidRPr="00431DE1" w:rsidRDefault="00771C45" w:rsidP="00A13F59">
            <w:pPr>
              <w:spacing w:before="40" w:after="40"/>
              <w:jc w:val="center"/>
              <w:rPr>
                <w:rFonts w:asciiTheme="minorHAnsi" w:eastAsia="Times New Roman" w:hAnsiTheme="minorHAnsi" w:cstheme="minorHAnsi"/>
                <w:sz w:val="20"/>
                <w:szCs w:val="20"/>
              </w:rPr>
            </w:pPr>
          </w:p>
        </w:tc>
        <w:tc>
          <w:tcPr>
            <w:tcW w:w="527" w:type="pct"/>
            <w:shd w:val="clear" w:color="auto" w:fill="auto"/>
            <w:noWrap/>
            <w:vAlign w:val="center"/>
          </w:tcPr>
          <w:p w14:paraId="70B6340D" w14:textId="77777777" w:rsidR="00771C45" w:rsidRPr="00431DE1" w:rsidRDefault="00771C45" w:rsidP="00A13F59">
            <w:pPr>
              <w:spacing w:before="40" w:after="40"/>
              <w:jc w:val="center"/>
              <w:rPr>
                <w:rFonts w:asciiTheme="minorHAnsi" w:eastAsia="Times New Roman" w:hAnsiTheme="minorHAnsi" w:cstheme="minorHAnsi"/>
                <w:sz w:val="20"/>
                <w:szCs w:val="20"/>
              </w:rPr>
            </w:pPr>
          </w:p>
        </w:tc>
      </w:tr>
      <w:tr w:rsidR="00771C45" w:rsidRPr="00431DE1" w14:paraId="65F9E531" w14:textId="77777777" w:rsidTr="00A13F59">
        <w:trPr>
          <w:trHeight w:val="20"/>
        </w:trPr>
        <w:tc>
          <w:tcPr>
            <w:tcW w:w="2893" w:type="pct"/>
            <w:shd w:val="clear" w:color="auto" w:fill="auto"/>
            <w:vAlign w:val="center"/>
          </w:tcPr>
          <w:p w14:paraId="7053AEAA" w14:textId="58DD55CA" w:rsidR="00771C45" w:rsidRPr="00431DE1" w:rsidRDefault="00771C45" w:rsidP="00A13F59">
            <w:pPr>
              <w:spacing w:before="40" w:after="40"/>
              <w:rPr>
                <w:rFonts w:asciiTheme="minorHAnsi" w:eastAsia="Times New Roman" w:hAnsiTheme="minorHAnsi" w:cstheme="minorHAnsi"/>
                <w:color w:val="000000"/>
                <w:sz w:val="20"/>
                <w:szCs w:val="20"/>
              </w:rPr>
            </w:pPr>
            <w:r>
              <w:rPr>
                <w:rFonts w:eastAsia="Times New Roman" w:cstheme="minorHAnsi"/>
                <w:color w:val="000000"/>
                <w:sz w:val="20"/>
                <w:szCs w:val="20"/>
              </w:rPr>
              <w:t xml:space="preserve">Приходи от други данъци по ЗКПО – ефект от </w:t>
            </w:r>
            <w:r w:rsidRPr="00016025">
              <w:rPr>
                <w:rFonts w:eastAsia="Times New Roman" w:cstheme="minorHAnsi"/>
                <w:color w:val="000000"/>
                <w:sz w:val="20"/>
                <w:szCs w:val="20"/>
              </w:rPr>
              <w:t>намаление на ставката на данъка върху разходите в натура</w:t>
            </w:r>
          </w:p>
        </w:tc>
        <w:tc>
          <w:tcPr>
            <w:tcW w:w="527" w:type="pct"/>
            <w:shd w:val="clear" w:color="auto" w:fill="auto"/>
            <w:noWrap/>
            <w:vAlign w:val="center"/>
          </w:tcPr>
          <w:p w14:paraId="5560B055" w14:textId="7CAB10CB" w:rsidR="00771C45" w:rsidRPr="00431DE1" w:rsidRDefault="00771C45" w:rsidP="00A13F59">
            <w:pPr>
              <w:spacing w:before="40" w:after="40"/>
              <w:jc w:val="center"/>
              <w:rPr>
                <w:rFonts w:asciiTheme="minorHAnsi" w:eastAsia="Times New Roman" w:hAnsiTheme="minorHAnsi" w:cstheme="minorHAnsi"/>
                <w:sz w:val="20"/>
                <w:szCs w:val="20"/>
              </w:rPr>
            </w:pPr>
            <w:r>
              <w:rPr>
                <w:rFonts w:eastAsia="Times New Roman" w:cstheme="minorHAnsi"/>
                <w:sz w:val="20"/>
                <w:szCs w:val="20"/>
              </w:rPr>
              <w:t>-11.0</w:t>
            </w:r>
          </w:p>
        </w:tc>
        <w:tc>
          <w:tcPr>
            <w:tcW w:w="527" w:type="pct"/>
            <w:shd w:val="clear" w:color="auto" w:fill="auto"/>
            <w:noWrap/>
            <w:vAlign w:val="center"/>
          </w:tcPr>
          <w:p w14:paraId="7959A164" w14:textId="77777777" w:rsidR="00771C45" w:rsidRPr="00431DE1" w:rsidRDefault="00771C45" w:rsidP="00A13F59">
            <w:pPr>
              <w:spacing w:before="40" w:after="40"/>
              <w:jc w:val="center"/>
              <w:rPr>
                <w:rFonts w:asciiTheme="minorHAnsi" w:eastAsia="Times New Roman" w:hAnsiTheme="minorHAnsi" w:cstheme="minorHAnsi"/>
                <w:sz w:val="20"/>
                <w:szCs w:val="20"/>
              </w:rPr>
            </w:pPr>
          </w:p>
        </w:tc>
        <w:tc>
          <w:tcPr>
            <w:tcW w:w="527" w:type="pct"/>
            <w:shd w:val="clear" w:color="auto" w:fill="auto"/>
            <w:noWrap/>
            <w:vAlign w:val="center"/>
          </w:tcPr>
          <w:p w14:paraId="7E916479" w14:textId="77777777" w:rsidR="00771C45" w:rsidRPr="00431DE1" w:rsidRDefault="00771C45" w:rsidP="00A13F59">
            <w:pPr>
              <w:spacing w:before="40" w:after="40"/>
              <w:jc w:val="center"/>
              <w:rPr>
                <w:rFonts w:asciiTheme="minorHAnsi" w:eastAsia="Times New Roman" w:hAnsiTheme="minorHAnsi" w:cstheme="minorHAnsi"/>
                <w:sz w:val="20"/>
                <w:szCs w:val="20"/>
              </w:rPr>
            </w:pPr>
          </w:p>
        </w:tc>
        <w:tc>
          <w:tcPr>
            <w:tcW w:w="527" w:type="pct"/>
            <w:shd w:val="clear" w:color="auto" w:fill="auto"/>
            <w:noWrap/>
            <w:vAlign w:val="center"/>
          </w:tcPr>
          <w:p w14:paraId="2AC86C92" w14:textId="77777777" w:rsidR="00771C45" w:rsidRPr="00431DE1" w:rsidRDefault="00771C45" w:rsidP="00A13F59">
            <w:pPr>
              <w:spacing w:before="40" w:after="40"/>
              <w:jc w:val="center"/>
              <w:rPr>
                <w:rFonts w:asciiTheme="minorHAnsi" w:eastAsia="Times New Roman" w:hAnsiTheme="minorHAnsi" w:cstheme="minorHAnsi"/>
                <w:sz w:val="20"/>
                <w:szCs w:val="20"/>
              </w:rPr>
            </w:pPr>
          </w:p>
        </w:tc>
      </w:tr>
      <w:tr w:rsidR="00807278" w:rsidRPr="00431DE1" w14:paraId="24465209" w14:textId="77777777" w:rsidTr="00A13F59">
        <w:trPr>
          <w:trHeight w:val="20"/>
        </w:trPr>
        <w:tc>
          <w:tcPr>
            <w:tcW w:w="2893" w:type="pct"/>
            <w:shd w:val="clear" w:color="auto" w:fill="auto"/>
            <w:vAlign w:val="center"/>
            <w:hideMark/>
          </w:tcPr>
          <w:p w14:paraId="5F2C9795"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Приходи от осигурителни вноски от увеличение на осигурителния стаж и възрастта при пенсиониране</w:t>
            </w:r>
          </w:p>
        </w:tc>
        <w:tc>
          <w:tcPr>
            <w:tcW w:w="527" w:type="pct"/>
            <w:shd w:val="clear" w:color="auto" w:fill="auto"/>
            <w:noWrap/>
            <w:hideMark/>
          </w:tcPr>
          <w:p w14:paraId="4CC01255"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0.5</w:t>
            </w:r>
          </w:p>
        </w:tc>
        <w:tc>
          <w:tcPr>
            <w:tcW w:w="527" w:type="pct"/>
            <w:shd w:val="clear" w:color="auto" w:fill="auto"/>
            <w:noWrap/>
            <w:hideMark/>
          </w:tcPr>
          <w:p w14:paraId="7F8C3399"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0.5</w:t>
            </w:r>
          </w:p>
        </w:tc>
        <w:tc>
          <w:tcPr>
            <w:tcW w:w="527" w:type="pct"/>
            <w:shd w:val="clear" w:color="auto" w:fill="auto"/>
            <w:noWrap/>
            <w:hideMark/>
          </w:tcPr>
          <w:p w14:paraId="40A463ED"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0.5</w:t>
            </w:r>
          </w:p>
        </w:tc>
        <w:tc>
          <w:tcPr>
            <w:tcW w:w="527" w:type="pct"/>
            <w:shd w:val="clear" w:color="auto" w:fill="auto"/>
            <w:noWrap/>
            <w:hideMark/>
          </w:tcPr>
          <w:p w14:paraId="7D9A51F0"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0.5</w:t>
            </w:r>
          </w:p>
        </w:tc>
      </w:tr>
      <w:tr w:rsidR="00807278" w:rsidRPr="00431DE1" w14:paraId="0628B5FC" w14:textId="77777777" w:rsidTr="00A13F59">
        <w:trPr>
          <w:trHeight w:val="20"/>
        </w:trPr>
        <w:tc>
          <w:tcPr>
            <w:tcW w:w="2893" w:type="pct"/>
            <w:shd w:val="clear" w:color="auto" w:fill="auto"/>
            <w:vAlign w:val="center"/>
            <w:hideMark/>
          </w:tcPr>
          <w:p w14:paraId="38C5E1D6" w14:textId="77777777" w:rsidR="00063F12" w:rsidRPr="00431DE1" w:rsidRDefault="00063F12" w:rsidP="00A13F59">
            <w:pPr>
              <w:spacing w:before="40" w:after="40"/>
              <w:rPr>
                <w:rFonts w:asciiTheme="minorHAnsi" w:eastAsia="Times New Roman" w:hAnsiTheme="minorHAnsi" w:cstheme="minorHAnsi"/>
                <w:color w:val="000000"/>
                <w:sz w:val="20"/>
                <w:szCs w:val="20"/>
              </w:rPr>
            </w:pPr>
            <w:r w:rsidRPr="00431DE1">
              <w:rPr>
                <w:rFonts w:asciiTheme="minorHAnsi" w:eastAsia="Times New Roman" w:hAnsiTheme="minorHAnsi" w:cstheme="minorHAnsi"/>
                <w:color w:val="000000"/>
                <w:sz w:val="20"/>
                <w:szCs w:val="20"/>
              </w:rPr>
              <w:t xml:space="preserve">Отпадане на таксите за ползване на детски градини и на детски ясли </w:t>
            </w:r>
          </w:p>
        </w:tc>
        <w:tc>
          <w:tcPr>
            <w:tcW w:w="527" w:type="pct"/>
            <w:shd w:val="clear" w:color="auto" w:fill="auto"/>
            <w:noWrap/>
            <w:hideMark/>
          </w:tcPr>
          <w:p w14:paraId="1A759BEC"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-35.6</w:t>
            </w:r>
          </w:p>
        </w:tc>
        <w:tc>
          <w:tcPr>
            <w:tcW w:w="527" w:type="pct"/>
            <w:shd w:val="clear" w:color="auto" w:fill="auto"/>
            <w:noWrap/>
            <w:hideMark/>
          </w:tcPr>
          <w:p w14:paraId="2CEB63A9" w14:textId="77777777" w:rsidR="00063F12" w:rsidRPr="00431DE1" w:rsidRDefault="00063F12" w:rsidP="00A13F59">
            <w:pPr>
              <w:spacing w:before="40" w:after="40"/>
              <w:jc w:val="center"/>
              <w:rPr>
                <w:rFonts w:asciiTheme="minorHAnsi" w:eastAsia="Times New Roman" w:hAnsiTheme="minorHAnsi" w:cstheme="minorHAnsi"/>
                <w:sz w:val="20"/>
                <w:szCs w:val="20"/>
              </w:rPr>
            </w:pPr>
            <w:r w:rsidRPr="00431DE1">
              <w:rPr>
                <w:rFonts w:asciiTheme="minorHAnsi" w:eastAsia="Times New Roman" w:hAnsiTheme="minorHAnsi" w:cstheme="minorHAnsi"/>
                <w:sz w:val="20"/>
                <w:szCs w:val="20"/>
              </w:rPr>
              <w:t>-11.5</w:t>
            </w:r>
          </w:p>
        </w:tc>
        <w:tc>
          <w:tcPr>
            <w:tcW w:w="527" w:type="pct"/>
            <w:shd w:val="clear" w:color="auto" w:fill="auto"/>
            <w:noWrap/>
            <w:hideMark/>
          </w:tcPr>
          <w:p w14:paraId="5D5B0357"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c>
          <w:tcPr>
            <w:tcW w:w="527" w:type="pct"/>
            <w:shd w:val="clear" w:color="auto" w:fill="auto"/>
            <w:noWrap/>
            <w:hideMark/>
          </w:tcPr>
          <w:p w14:paraId="079BFC3F" w14:textId="77777777" w:rsidR="00063F12" w:rsidRPr="00431DE1" w:rsidRDefault="00063F12" w:rsidP="00A13F59">
            <w:pPr>
              <w:spacing w:before="40" w:after="40"/>
              <w:jc w:val="center"/>
              <w:rPr>
                <w:rFonts w:asciiTheme="minorHAnsi" w:eastAsia="Times New Roman" w:hAnsiTheme="minorHAnsi" w:cstheme="minorHAnsi"/>
                <w:sz w:val="20"/>
                <w:szCs w:val="20"/>
              </w:rPr>
            </w:pPr>
          </w:p>
        </w:tc>
      </w:tr>
      <w:tr w:rsidR="00807278" w:rsidRPr="00431DE1" w14:paraId="0EC666AD" w14:textId="77777777" w:rsidTr="00A13F59">
        <w:trPr>
          <w:trHeight w:val="20"/>
        </w:trPr>
        <w:tc>
          <w:tcPr>
            <w:tcW w:w="2893" w:type="pct"/>
            <w:shd w:val="clear" w:color="auto" w:fill="auto"/>
            <w:vAlign w:val="center"/>
            <w:hideMark/>
          </w:tcPr>
          <w:p w14:paraId="62DA47C1" w14:textId="77777777" w:rsidR="00063F12" w:rsidRPr="00431DE1" w:rsidRDefault="00063F12" w:rsidP="00A13F59">
            <w:pPr>
              <w:spacing w:before="40" w:after="40"/>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Общо:</w:t>
            </w:r>
          </w:p>
        </w:tc>
        <w:tc>
          <w:tcPr>
            <w:tcW w:w="527" w:type="pct"/>
            <w:shd w:val="clear" w:color="auto" w:fill="auto"/>
            <w:noWrap/>
            <w:hideMark/>
          </w:tcPr>
          <w:p w14:paraId="6AFFB4B1" w14:textId="6427A4C1" w:rsidR="00063F12" w:rsidRPr="00431DE1" w:rsidRDefault="00771C45" w:rsidP="00A13F59">
            <w:pPr>
              <w:spacing w:before="40" w:after="40"/>
              <w:jc w:val="center"/>
              <w:rPr>
                <w:rFonts w:asciiTheme="minorHAnsi" w:eastAsia="Times New Roman" w:hAnsiTheme="minorHAnsi" w:cstheme="minorHAnsi"/>
                <w:b/>
                <w:bCs/>
                <w:color w:val="000000"/>
                <w:sz w:val="20"/>
                <w:szCs w:val="20"/>
              </w:rPr>
            </w:pPr>
            <w:r>
              <w:rPr>
                <w:rFonts w:asciiTheme="minorHAnsi" w:eastAsia="Times New Roman" w:hAnsiTheme="minorHAnsi" w:cstheme="minorHAnsi"/>
                <w:b/>
                <w:bCs/>
                <w:color w:val="000000"/>
                <w:sz w:val="20"/>
                <w:szCs w:val="20"/>
              </w:rPr>
              <w:t>1 141.8</w:t>
            </w:r>
          </w:p>
        </w:tc>
        <w:tc>
          <w:tcPr>
            <w:tcW w:w="527" w:type="pct"/>
            <w:shd w:val="clear" w:color="auto" w:fill="auto"/>
            <w:noWrap/>
            <w:hideMark/>
          </w:tcPr>
          <w:p w14:paraId="6EC3D49F"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212.7</w:t>
            </w:r>
          </w:p>
        </w:tc>
        <w:tc>
          <w:tcPr>
            <w:tcW w:w="527" w:type="pct"/>
            <w:shd w:val="clear" w:color="auto" w:fill="auto"/>
            <w:noWrap/>
            <w:hideMark/>
          </w:tcPr>
          <w:p w14:paraId="69C0CE5F"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84.8</w:t>
            </w:r>
          </w:p>
        </w:tc>
        <w:tc>
          <w:tcPr>
            <w:tcW w:w="527" w:type="pct"/>
            <w:shd w:val="clear" w:color="auto" w:fill="auto"/>
            <w:noWrap/>
            <w:hideMark/>
          </w:tcPr>
          <w:p w14:paraId="24BA0108" w14:textId="77777777" w:rsidR="00063F12" w:rsidRPr="00431DE1" w:rsidRDefault="00063F12" w:rsidP="00A13F59">
            <w:pPr>
              <w:spacing w:before="40" w:after="40"/>
              <w:jc w:val="center"/>
              <w:rPr>
                <w:rFonts w:asciiTheme="minorHAnsi" w:eastAsia="Times New Roman" w:hAnsiTheme="minorHAnsi" w:cstheme="minorHAnsi"/>
                <w:b/>
                <w:bCs/>
                <w:color w:val="000000"/>
                <w:sz w:val="20"/>
                <w:szCs w:val="20"/>
              </w:rPr>
            </w:pPr>
            <w:r w:rsidRPr="00431DE1">
              <w:rPr>
                <w:rFonts w:asciiTheme="minorHAnsi" w:eastAsia="Times New Roman" w:hAnsiTheme="minorHAnsi" w:cstheme="minorHAnsi"/>
                <w:b/>
                <w:bCs/>
                <w:color w:val="000000"/>
                <w:sz w:val="20"/>
                <w:szCs w:val="20"/>
              </w:rPr>
              <w:t>82.1</w:t>
            </w:r>
          </w:p>
        </w:tc>
      </w:tr>
    </w:tbl>
    <w:p w14:paraId="52E501FC" w14:textId="2B8F90E0" w:rsidR="00CD15E6" w:rsidRPr="00807278" w:rsidRDefault="00887584" w:rsidP="00807278">
      <w:pPr>
        <w:pStyle w:val="a"/>
        <w:sectPr w:rsidR="00CD15E6" w:rsidRPr="00807278" w:rsidSect="00202EFA">
          <w:headerReference w:type="default" r:id="rId54"/>
          <w:type w:val="continuous"/>
          <w:pgSz w:w="11906" w:h="16838" w:code="9"/>
          <w:pgMar w:top="1418" w:right="1418" w:bottom="851" w:left="1418" w:header="680" w:footer="680" w:gutter="0"/>
          <w:cols w:space="708"/>
          <w:docGrid w:linePitch="360"/>
        </w:sectPr>
      </w:pPr>
      <w:r w:rsidRPr="00807278">
        <w:t>Източник: МФ</w:t>
      </w:r>
    </w:p>
    <w:p w14:paraId="78233B9F" w14:textId="77777777" w:rsidR="00D359FF" w:rsidRPr="00D661BA" w:rsidRDefault="00D359FF" w:rsidP="00D661BA">
      <w:pPr>
        <w:pStyle w:val="Heading1"/>
      </w:pPr>
      <w:bookmarkStart w:id="85" w:name="_Toc352851602"/>
      <w:bookmarkStart w:id="86" w:name="_Toc448227290"/>
      <w:bookmarkStart w:id="87" w:name="_Toc479332438"/>
      <w:bookmarkStart w:id="88" w:name="_Toc100906074"/>
      <w:r w:rsidRPr="00D661BA">
        <w:lastRenderedPageBreak/>
        <w:t xml:space="preserve">Анализ на чувствителността и сравнение с предходната </w:t>
      </w:r>
      <w:r w:rsidR="005C2559" w:rsidRPr="00D661BA">
        <w:br/>
      </w:r>
      <w:r w:rsidRPr="00D661BA">
        <w:t>актуализация</w:t>
      </w:r>
      <w:bookmarkEnd w:id="85"/>
      <w:bookmarkEnd w:id="86"/>
      <w:bookmarkEnd w:id="87"/>
      <w:bookmarkEnd w:id="88"/>
    </w:p>
    <w:p w14:paraId="69DBFC41" w14:textId="73EAA4DD" w:rsidR="001C65FE" w:rsidRPr="00D661BA" w:rsidRDefault="001C65FE" w:rsidP="00D661BA">
      <w:pPr>
        <w:pStyle w:val="Heading2"/>
      </w:pPr>
      <w:bookmarkStart w:id="89" w:name="_Toc69812285"/>
      <w:bookmarkStart w:id="90" w:name="_Toc100906075"/>
      <w:bookmarkStart w:id="91" w:name="_Toc352851605"/>
      <w:bookmarkStart w:id="92" w:name="_Toc448227295"/>
      <w:bookmarkStart w:id="93" w:name="_Toc479332444"/>
      <w:r w:rsidRPr="00D661BA">
        <w:t>Алтернативен сценарий</w:t>
      </w:r>
      <w:bookmarkEnd w:id="89"/>
      <w:bookmarkEnd w:id="90"/>
    </w:p>
    <w:p w14:paraId="46F02F6A" w14:textId="26B7A66A" w:rsidR="001C65FE" w:rsidRPr="005B2032" w:rsidRDefault="001C65FE" w:rsidP="00D661BA">
      <w:r w:rsidRPr="005B2032">
        <w:t>Един от основните рискове от военния конфликт в Украйна е свързан с изостряне на геополитическото напрежение и по-съществено нарушаване на международната търговия, вкл. появата на сериозни затруднения по веригите на доставка. За страните</w:t>
      </w:r>
      <w:r w:rsidR="005561C4">
        <w:t>,</w:t>
      </w:r>
      <w:r w:rsidRPr="005B2032">
        <w:t xml:space="preserve"> разположени в по-голяма близост до конфликта, този риск е по-ясно изразен. Затова в алтернативния сценарий е разгледан пряк шок върху външния сектор на икономиката от нарушаване на търговията в региона. Той е представен чрез допускане за невъзможност за осъществяване на част от вноса, по-ниско производство и по-нисък износ.</w:t>
      </w:r>
    </w:p>
    <w:p w14:paraId="0757D100" w14:textId="20101F5A" w:rsidR="001C65FE" w:rsidRPr="005B2032" w:rsidRDefault="001C65FE" w:rsidP="00D72B5F">
      <w:pPr>
        <w:rPr>
          <w:szCs w:val="24"/>
        </w:rPr>
      </w:pPr>
      <w:r w:rsidRPr="005B2032">
        <w:rPr>
          <w:szCs w:val="24"/>
        </w:rPr>
        <w:t>В допълнение</w:t>
      </w:r>
      <w:r w:rsidR="005561C4">
        <w:rPr>
          <w:szCs w:val="24"/>
        </w:rPr>
        <w:t>,</w:t>
      </w:r>
      <w:r w:rsidRPr="005B2032">
        <w:rPr>
          <w:szCs w:val="24"/>
        </w:rPr>
        <w:t xml:space="preserve"> е направено допускане, че усложнената геополитическа обстановка, затрудненото обезпечаване със суровини и нарастването на цените на храните ще доведе до по-голям брой поток на бежанци към страната (около 400 хил.</w:t>
      </w:r>
      <w:r w:rsidR="005561C4">
        <w:rPr>
          <w:szCs w:val="24"/>
        </w:rPr>
        <w:t xml:space="preserve"> </w:t>
      </w:r>
      <w:r w:rsidRPr="005B2032">
        <w:rPr>
          <w:szCs w:val="24"/>
        </w:rPr>
        <w:t>души).</w:t>
      </w:r>
      <w:r w:rsidR="00BD2C3E">
        <w:rPr>
          <w:szCs w:val="24"/>
        </w:rPr>
        <w:t xml:space="preserve"> </w:t>
      </w:r>
    </w:p>
    <w:p w14:paraId="4EF99828" w14:textId="2C7E520C" w:rsidR="001C65FE" w:rsidRPr="005B2032" w:rsidRDefault="001C65FE" w:rsidP="00D72B5F">
      <w:pPr>
        <w:rPr>
          <w:szCs w:val="24"/>
        </w:rPr>
      </w:pPr>
      <w:r w:rsidRPr="005B2032">
        <w:rPr>
          <w:szCs w:val="24"/>
        </w:rPr>
        <w:t>Руската инвазия в Украйна оказа значителен натиск за повишаване на международните цени на суровините. В алтернативния сценарий шокът върху цените на суровините е засилен. Направено е допускане, че те ще нараснат с по-висок темп през 2022</w:t>
      </w:r>
      <w:r w:rsidR="00DF07FD">
        <w:rPr>
          <w:szCs w:val="24"/>
        </w:rPr>
        <w:t> г.</w:t>
      </w:r>
      <w:r w:rsidRPr="005B2032">
        <w:rPr>
          <w:szCs w:val="24"/>
        </w:rPr>
        <w:t>, но също, че поскъпването ще продължи и в периода 2023–2025</w:t>
      </w:r>
      <w:r w:rsidR="00DF07FD">
        <w:rPr>
          <w:szCs w:val="24"/>
        </w:rPr>
        <w:t> г.</w:t>
      </w:r>
    </w:p>
    <w:p w14:paraId="584F2859" w14:textId="0F2D1D5E" w:rsidR="001C65FE" w:rsidRPr="00EF1895" w:rsidRDefault="001C65FE" w:rsidP="00EF1895">
      <w:pPr>
        <w:pStyle w:val="Caption"/>
      </w:pPr>
      <w:r w:rsidRPr="00EF1895">
        <w:t>Табл. 4-</w:t>
      </w:r>
      <w:fldSimple w:instr=" SEQ Таблица \* ARABIC ">
        <w:r w:rsidR="004C3B04">
          <w:rPr>
            <w:noProof/>
          </w:rPr>
          <w:t>1</w:t>
        </w:r>
      </w:fldSimple>
      <w:r w:rsidRPr="00EF1895">
        <w:t xml:space="preserve">: Допускания за повишението на цените на основни суровини в алтернативния сценарий* </w:t>
      </w:r>
    </w:p>
    <w:tbl>
      <w:tblPr>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Look w:val="04A0" w:firstRow="1" w:lastRow="0" w:firstColumn="1" w:lastColumn="0" w:noHBand="0" w:noVBand="1"/>
      </w:tblPr>
      <w:tblGrid>
        <w:gridCol w:w="4604"/>
        <w:gridCol w:w="1115"/>
        <w:gridCol w:w="1115"/>
        <w:gridCol w:w="1115"/>
        <w:gridCol w:w="1115"/>
      </w:tblGrid>
      <w:tr w:rsidR="005B2032" w:rsidRPr="005B2032" w14:paraId="09B6BD0C" w14:textId="77777777" w:rsidTr="00A45498">
        <w:trPr>
          <w:trHeight w:val="454"/>
          <w:jc w:val="center"/>
        </w:trPr>
        <w:tc>
          <w:tcPr>
            <w:tcW w:w="4606" w:type="dxa"/>
            <w:shd w:val="clear" w:color="auto" w:fill="D7D4F1"/>
            <w:vAlign w:val="center"/>
            <w:hideMark/>
          </w:tcPr>
          <w:p w14:paraId="6FCBB4CC" w14:textId="77777777" w:rsidR="001C65FE" w:rsidRPr="005B2032" w:rsidRDefault="001C65FE">
            <w:pPr>
              <w:rPr>
                <w:noProof/>
              </w:rPr>
            </w:pPr>
          </w:p>
        </w:tc>
        <w:tc>
          <w:tcPr>
            <w:tcW w:w="1116" w:type="dxa"/>
            <w:shd w:val="clear" w:color="auto" w:fill="D7D4F1"/>
            <w:noWrap/>
            <w:vAlign w:val="center"/>
            <w:hideMark/>
          </w:tcPr>
          <w:p w14:paraId="74E3E779" w14:textId="77777777" w:rsidR="001C65FE" w:rsidRPr="005B2032" w:rsidRDefault="001C65FE">
            <w:pPr>
              <w:pStyle w:val="a6"/>
              <w:jc w:val="right"/>
              <w:rPr>
                <w:rFonts w:ascii="Times New Roman" w:hAnsi="Times New Roman"/>
                <w:b/>
                <w:bCs/>
                <w:color w:val="auto"/>
                <w:sz w:val="20"/>
                <w:szCs w:val="20"/>
                <w:lang w:val="en-US"/>
              </w:rPr>
            </w:pPr>
            <w:r w:rsidRPr="005B2032">
              <w:rPr>
                <w:rFonts w:ascii="Times New Roman" w:hAnsi="Times New Roman"/>
                <w:b/>
                <w:bCs/>
                <w:color w:val="auto"/>
                <w:sz w:val="20"/>
                <w:szCs w:val="20"/>
                <w:lang w:val="bg-BG"/>
              </w:rPr>
              <w:t>202</w:t>
            </w:r>
            <w:r w:rsidRPr="005B2032">
              <w:rPr>
                <w:rFonts w:ascii="Times New Roman" w:hAnsi="Times New Roman"/>
                <w:b/>
                <w:bCs/>
                <w:color w:val="auto"/>
                <w:sz w:val="20"/>
                <w:szCs w:val="20"/>
                <w:lang w:val="en-US"/>
              </w:rPr>
              <w:t>2</w:t>
            </w:r>
          </w:p>
        </w:tc>
        <w:tc>
          <w:tcPr>
            <w:tcW w:w="1116" w:type="dxa"/>
            <w:shd w:val="clear" w:color="auto" w:fill="D7D4F1"/>
            <w:noWrap/>
            <w:vAlign w:val="center"/>
            <w:hideMark/>
          </w:tcPr>
          <w:p w14:paraId="6634066A" w14:textId="77777777" w:rsidR="001C65FE" w:rsidRPr="005B2032" w:rsidRDefault="001C65FE">
            <w:pPr>
              <w:pStyle w:val="a6"/>
              <w:jc w:val="right"/>
              <w:rPr>
                <w:rFonts w:ascii="Times New Roman" w:hAnsi="Times New Roman"/>
                <w:b/>
                <w:bCs/>
                <w:color w:val="auto"/>
                <w:sz w:val="20"/>
                <w:szCs w:val="20"/>
                <w:lang w:val="en-US"/>
              </w:rPr>
            </w:pPr>
            <w:r w:rsidRPr="005B2032">
              <w:rPr>
                <w:rFonts w:ascii="Times New Roman" w:hAnsi="Times New Roman"/>
                <w:b/>
                <w:bCs/>
                <w:color w:val="auto"/>
                <w:sz w:val="20"/>
                <w:szCs w:val="20"/>
                <w:lang w:val="bg-BG"/>
              </w:rPr>
              <w:t>202</w:t>
            </w:r>
            <w:r w:rsidRPr="005B2032">
              <w:rPr>
                <w:rFonts w:ascii="Times New Roman" w:hAnsi="Times New Roman"/>
                <w:b/>
                <w:bCs/>
                <w:color w:val="auto"/>
                <w:sz w:val="20"/>
                <w:szCs w:val="20"/>
                <w:lang w:val="en-US"/>
              </w:rPr>
              <w:t>3</w:t>
            </w:r>
          </w:p>
        </w:tc>
        <w:tc>
          <w:tcPr>
            <w:tcW w:w="1116" w:type="dxa"/>
            <w:shd w:val="clear" w:color="auto" w:fill="D7D4F1"/>
            <w:noWrap/>
            <w:vAlign w:val="center"/>
            <w:hideMark/>
          </w:tcPr>
          <w:p w14:paraId="74E6FB47" w14:textId="77777777" w:rsidR="001C65FE" w:rsidRPr="005B2032" w:rsidRDefault="001C65FE">
            <w:pPr>
              <w:pStyle w:val="a6"/>
              <w:jc w:val="right"/>
              <w:rPr>
                <w:rFonts w:ascii="Times New Roman" w:hAnsi="Times New Roman"/>
                <w:b/>
                <w:bCs/>
                <w:color w:val="auto"/>
                <w:sz w:val="20"/>
                <w:szCs w:val="20"/>
                <w:lang w:val="en-US"/>
              </w:rPr>
            </w:pPr>
            <w:r w:rsidRPr="005B2032">
              <w:rPr>
                <w:rFonts w:ascii="Times New Roman" w:hAnsi="Times New Roman"/>
                <w:b/>
                <w:bCs/>
                <w:color w:val="auto"/>
                <w:sz w:val="20"/>
                <w:szCs w:val="20"/>
                <w:lang w:val="bg-BG"/>
              </w:rPr>
              <w:t>202</w:t>
            </w:r>
            <w:r w:rsidRPr="005B2032">
              <w:rPr>
                <w:rFonts w:ascii="Times New Roman" w:hAnsi="Times New Roman"/>
                <w:b/>
                <w:bCs/>
                <w:color w:val="auto"/>
                <w:sz w:val="20"/>
                <w:szCs w:val="20"/>
                <w:lang w:val="en-US"/>
              </w:rPr>
              <w:t>4</w:t>
            </w:r>
          </w:p>
        </w:tc>
        <w:tc>
          <w:tcPr>
            <w:tcW w:w="1116" w:type="dxa"/>
            <w:shd w:val="clear" w:color="auto" w:fill="D7D4F1"/>
            <w:noWrap/>
            <w:vAlign w:val="center"/>
            <w:hideMark/>
          </w:tcPr>
          <w:p w14:paraId="5C42CCC6" w14:textId="77777777" w:rsidR="001C65FE" w:rsidRPr="005B2032" w:rsidRDefault="001C65FE">
            <w:pPr>
              <w:pStyle w:val="a6"/>
              <w:jc w:val="right"/>
              <w:rPr>
                <w:rFonts w:ascii="Times New Roman" w:hAnsi="Times New Roman"/>
                <w:b/>
                <w:bCs/>
                <w:color w:val="auto"/>
                <w:sz w:val="20"/>
                <w:szCs w:val="20"/>
                <w:lang w:val="bg-BG"/>
              </w:rPr>
            </w:pPr>
            <w:r w:rsidRPr="005B2032">
              <w:rPr>
                <w:rFonts w:ascii="Times New Roman" w:hAnsi="Times New Roman"/>
                <w:b/>
                <w:bCs/>
                <w:color w:val="auto"/>
                <w:sz w:val="20"/>
                <w:szCs w:val="20"/>
                <w:lang w:val="bg-BG"/>
              </w:rPr>
              <w:t>2025</w:t>
            </w:r>
          </w:p>
        </w:tc>
      </w:tr>
      <w:tr w:rsidR="005B2032" w:rsidRPr="005B2032" w14:paraId="0AF5FC95" w14:textId="77777777" w:rsidTr="00A45498">
        <w:trPr>
          <w:trHeight w:val="454"/>
          <w:jc w:val="center"/>
        </w:trPr>
        <w:tc>
          <w:tcPr>
            <w:tcW w:w="4606" w:type="dxa"/>
            <w:noWrap/>
            <w:vAlign w:val="center"/>
            <w:hideMark/>
          </w:tcPr>
          <w:p w14:paraId="427F252A" w14:textId="77777777" w:rsidR="001C65FE" w:rsidRPr="005B2032" w:rsidRDefault="001C65FE">
            <w:pPr>
              <w:pStyle w:val="a6"/>
              <w:spacing w:before="20" w:after="20"/>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Цена на петрол, щ.д./барел </w:t>
            </w:r>
          </w:p>
        </w:tc>
        <w:tc>
          <w:tcPr>
            <w:tcW w:w="1116" w:type="dxa"/>
            <w:noWrap/>
            <w:vAlign w:val="center"/>
            <w:hideMark/>
          </w:tcPr>
          <w:p w14:paraId="22C191C1"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130</w:t>
            </w:r>
          </w:p>
        </w:tc>
        <w:tc>
          <w:tcPr>
            <w:tcW w:w="1116" w:type="dxa"/>
            <w:noWrap/>
            <w:vAlign w:val="center"/>
            <w:hideMark/>
          </w:tcPr>
          <w:p w14:paraId="77015640"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130</w:t>
            </w:r>
          </w:p>
        </w:tc>
        <w:tc>
          <w:tcPr>
            <w:tcW w:w="1116" w:type="dxa"/>
            <w:noWrap/>
            <w:vAlign w:val="center"/>
            <w:hideMark/>
          </w:tcPr>
          <w:p w14:paraId="0956DDD9"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115</w:t>
            </w:r>
          </w:p>
        </w:tc>
        <w:tc>
          <w:tcPr>
            <w:tcW w:w="1116" w:type="dxa"/>
            <w:noWrap/>
            <w:vAlign w:val="center"/>
            <w:hideMark/>
          </w:tcPr>
          <w:p w14:paraId="64898667"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100</w:t>
            </w:r>
          </w:p>
        </w:tc>
      </w:tr>
      <w:tr w:rsidR="005B2032" w:rsidRPr="005B2032" w14:paraId="46C918A8" w14:textId="77777777" w:rsidTr="00A45498">
        <w:trPr>
          <w:trHeight w:val="454"/>
          <w:jc w:val="center"/>
        </w:trPr>
        <w:tc>
          <w:tcPr>
            <w:tcW w:w="4606" w:type="dxa"/>
            <w:noWrap/>
            <w:vAlign w:val="center"/>
            <w:hideMark/>
          </w:tcPr>
          <w:p w14:paraId="19E78778" w14:textId="77777777" w:rsidR="001C65FE" w:rsidRPr="005B2032" w:rsidRDefault="001C65FE">
            <w:pPr>
              <w:pStyle w:val="a6"/>
              <w:spacing w:before="20" w:after="20"/>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Цени неенергийни </w:t>
            </w:r>
            <w:r w:rsidRPr="005B2032">
              <w:rPr>
                <w:rFonts w:ascii="Times New Roman" w:hAnsi="Times New Roman"/>
                <w:color w:val="auto"/>
                <w:sz w:val="20"/>
                <w:szCs w:val="20"/>
                <w:lang w:val="bg-BG"/>
              </w:rPr>
              <w:br/>
              <w:t>суровини, в щ.д. [%]</w:t>
            </w:r>
          </w:p>
        </w:tc>
        <w:tc>
          <w:tcPr>
            <w:tcW w:w="1116" w:type="dxa"/>
            <w:noWrap/>
            <w:vAlign w:val="center"/>
            <w:hideMark/>
          </w:tcPr>
          <w:p w14:paraId="6244C7EE"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25.4</w:t>
            </w:r>
          </w:p>
        </w:tc>
        <w:tc>
          <w:tcPr>
            <w:tcW w:w="1116" w:type="dxa"/>
            <w:noWrap/>
            <w:vAlign w:val="center"/>
            <w:hideMark/>
          </w:tcPr>
          <w:p w14:paraId="03B6DE4A"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18.1</w:t>
            </w:r>
          </w:p>
        </w:tc>
        <w:tc>
          <w:tcPr>
            <w:tcW w:w="1116" w:type="dxa"/>
            <w:noWrap/>
            <w:vAlign w:val="center"/>
            <w:hideMark/>
          </w:tcPr>
          <w:p w14:paraId="197A74C8"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17.0</w:t>
            </w:r>
          </w:p>
        </w:tc>
        <w:tc>
          <w:tcPr>
            <w:tcW w:w="1116" w:type="dxa"/>
            <w:noWrap/>
            <w:vAlign w:val="center"/>
            <w:hideMark/>
          </w:tcPr>
          <w:p w14:paraId="09DEE378"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14.9</w:t>
            </w:r>
          </w:p>
        </w:tc>
      </w:tr>
      <w:tr w:rsidR="005B2032" w:rsidRPr="005B2032" w14:paraId="143E045C" w14:textId="77777777" w:rsidTr="00A45498">
        <w:trPr>
          <w:trHeight w:val="454"/>
          <w:jc w:val="center"/>
        </w:trPr>
        <w:tc>
          <w:tcPr>
            <w:tcW w:w="4606" w:type="dxa"/>
            <w:noWrap/>
            <w:vAlign w:val="center"/>
            <w:hideMark/>
          </w:tcPr>
          <w:p w14:paraId="2BC3C95D" w14:textId="77777777" w:rsidR="001C65FE" w:rsidRPr="005B2032" w:rsidRDefault="001C65FE">
            <w:pPr>
              <w:pStyle w:val="a6"/>
              <w:spacing w:before="20" w:after="20"/>
              <w:jc w:val="left"/>
              <w:rPr>
                <w:rFonts w:ascii="Times New Roman" w:hAnsi="Times New Roman"/>
                <w:color w:val="auto"/>
                <w:sz w:val="20"/>
                <w:szCs w:val="20"/>
                <w:lang w:val="bg-BG"/>
              </w:rPr>
            </w:pPr>
            <w:r w:rsidRPr="005B2032">
              <w:rPr>
                <w:rFonts w:ascii="Times New Roman" w:hAnsi="Times New Roman"/>
                <w:color w:val="auto"/>
                <w:sz w:val="20"/>
                <w:szCs w:val="20"/>
                <w:lang w:val="bg-BG"/>
              </w:rPr>
              <w:t>Храни [%]</w:t>
            </w:r>
          </w:p>
        </w:tc>
        <w:tc>
          <w:tcPr>
            <w:tcW w:w="1116" w:type="dxa"/>
            <w:noWrap/>
            <w:vAlign w:val="center"/>
          </w:tcPr>
          <w:p w14:paraId="1110B095" w14:textId="77777777" w:rsidR="001C65FE" w:rsidRPr="005B2032" w:rsidRDefault="001C65FE">
            <w:pPr>
              <w:pStyle w:val="a6"/>
              <w:spacing w:before="20" w:after="20"/>
              <w:jc w:val="right"/>
              <w:rPr>
                <w:rFonts w:ascii="Times New Roman" w:hAnsi="Times New Roman"/>
                <w:color w:val="auto"/>
                <w:sz w:val="20"/>
                <w:szCs w:val="20"/>
                <w:lang w:val="bg-BG"/>
              </w:rPr>
            </w:pPr>
          </w:p>
        </w:tc>
        <w:tc>
          <w:tcPr>
            <w:tcW w:w="1116" w:type="dxa"/>
            <w:noWrap/>
            <w:vAlign w:val="center"/>
          </w:tcPr>
          <w:p w14:paraId="4852F5A8" w14:textId="77777777" w:rsidR="001C65FE" w:rsidRPr="005B2032" w:rsidRDefault="001C65FE">
            <w:pPr>
              <w:pStyle w:val="a6"/>
              <w:spacing w:before="20" w:after="20"/>
              <w:jc w:val="right"/>
              <w:rPr>
                <w:rFonts w:ascii="Times New Roman" w:hAnsi="Times New Roman"/>
                <w:color w:val="auto"/>
                <w:sz w:val="20"/>
                <w:szCs w:val="20"/>
                <w:lang w:val="bg-BG"/>
              </w:rPr>
            </w:pPr>
          </w:p>
        </w:tc>
        <w:tc>
          <w:tcPr>
            <w:tcW w:w="1116" w:type="dxa"/>
            <w:noWrap/>
            <w:vAlign w:val="center"/>
          </w:tcPr>
          <w:p w14:paraId="31A70A58" w14:textId="77777777" w:rsidR="001C65FE" w:rsidRPr="005B2032" w:rsidRDefault="001C65FE">
            <w:pPr>
              <w:pStyle w:val="a6"/>
              <w:spacing w:before="20" w:after="20"/>
              <w:jc w:val="right"/>
              <w:rPr>
                <w:rFonts w:ascii="Times New Roman" w:hAnsi="Times New Roman"/>
                <w:color w:val="auto"/>
                <w:sz w:val="20"/>
                <w:szCs w:val="20"/>
                <w:lang w:val="bg-BG"/>
              </w:rPr>
            </w:pPr>
          </w:p>
        </w:tc>
        <w:tc>
          <w:tcPr>
            <w:tcW w:w="1116" w:type="dxa"/>
            <w:noWrap/>
            <w:vAlign w:val="center"/>
          </w:tcPr>
          <w:p w14:paraId="7044A36A" w14:textId="77777777" w:rsidR="001C65FE" w:rsidRPr="005B2032" w:rsidRDefault="001C65FE">
            <w:pPr>
              <w:pStyle w:val="a6"/>
              <w:spacing w:before="20" w:after="20"/>
              <w:jc w:val="right"/>
              <w:rPr>
                <w:rFonts w:ascii="Times New Roman" w:hAnsi="Times New Roman"/>
                <w:color w:val="auto"/>
                <w:sz w:val="20"/>
                <w:szCs w:val="20"/>
                <w:lang w:val="bg-BG"/>
              </w:rPr>
            </w:pPr>
          </w:p>
        </w:tc>
      </w:tr>
      <w:tr w:rsidR="005B2032" w:rsidRPr="005B2032" w14:paraId="090804D1" w14:textId="77777777" w:rsidTr="00A45498">
        <w:trPr>
          <w:trHeight w:val="454"/>
          <w:jc w:val="center"/>
        </w:trPr>
        <w:tc>
          <w:tcPr>
            <w:tcW w:w="4606" w:type="dxa"/>
            <w:noWrap/>
            <w:vAlign w:val="center"/>
            <w:hideMark/>
          </w:tcPr>
          <w:p w14:paraId="2A39F1CC" w14:textId="77777777" w:rsidR="001C65FE" w:rsidRPr="00EA63A6" w:rsidRDefault="001C65FE">
            <w:pPr>
              <w:pStyle w:val="a6"/>
              <w:spacing w:before="20" w:after="20"/>
              <w:ind w:left="170"/>
              <w:jc w:val="left"/>
              <w:rPr>
                <w:rFonts w:ascii="Times New Roman" w:hAnsi="Times New Roman"/>
                <w:color w:val="auto"/>
                <w:sz w:val="20"/>
                <w:szCs w:val="20"/>
                <w:lang w:val="bg-BG"/>
              </w:rPr>
            </w:pPr>
            <w:r w:rsidRPr="00EA63A6">
              <w:rPr>
                <w:rFonts w:ascii="Times New Roman" w:eastAsia="Batang" w:hAnsi="Times New Roman"/>
                <w:color w:val="auto"/>
                <w:sz w:val="20"/>
                <w:szCs w:val="20"/>
                <w:lang w:val="bg-BG"/>
              </w:rPr>
              <w:t>– Зърнени</w:t>
            </w:r>
          </w:p>
        </w:tc>
        <w:tc>
          <w:tcPr>
            <w:tcW w:w="1116" w:type="dxa"/>
            <w:noWrap/>
            <w:vAlign w:val="center"/>
            <w:hideMark/>
          </w:tcPr>
          <w:p w14:paraId="0BFDF7AE"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14.2</w:t>
            </w:r>
          </w:p>
        </w:tc>
        <w:tc>
          <w:tcPr>
            <w:tcW w:w="1116" w:type="dxa"/>
            <w:noWrap/>
            <w:vAlign w:val="center"/>
            <w:hideMark/>
          </w:tcPr>
          <w:p w14:paraId="29137626"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14.2</w:t>
            </w:r>
          </w:p>
        </w:tc>
        <w:tc>
          <w:tcPr>
            <w:tcW w:w="1116" w:type="dxa"/>
            <w:noWrap/>
            <w:vAlign w:val="center"/>
            <w:hideMark/>
          </w:tcPr>
          <w:p w14:paraId="6AA86286"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14.2</w:t>
            </w:r>
          </w:p>
        </w:tc>
        <w:tc>
          <w:tcPr>
            <w:tcW w:w="1116" w:type="dxa"/>
            <w:noWrap/>
            <w:vAlign w:val="center"/>
            <w:hideMark/>
          </w:tcPr>
          <w:p w14:paraId="58D89CE6"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12.8</w:t>
            </w:r>
          </w:p>
        </w:tc>
      </w:tr>
      <w:tr w:rsidR="005B2032" w:rsidRPr="005B2032" w14:paraId="3442904B" w14:textId="77777777" w:rsidTr="00A45498">
        <w:trPr>
          <w:trHeight w:val="454"/>
          <w:jc w:val="center"/>
        </w:trPr>
        <w:tc>
          <w:tcPr>
            <w:tcW w:w="4606" w:type="dxa"/>
            <w:noWrap/>
            <w:vAlign w:val="center"/>
            <w:hideMark/>
          </w:tcPr>
          <w:p w14:paraId="13AD7090" w14:textId="77777777" w:rsidR="001C65FE" w:rsidRPr="00EA63A6" w:rsidRDefault="001C65FE">
            <w:pPr>
              <w:pStyle w:val="a6"/>
              <w:spacing w:before="20" w:after="20"/>
              <w:ind w:left="170"/>
              <w:jc w:val="left"/>
              <w:rPr>
                <w:rFonts w:ascii="Times New Roman" w:hAnsi="Times New Roman"/>
                <w:color w:val="auto"/>
                <w:sz w:val="20"/>
                <w:szCs w:val="20"/>
                <w:lang w:val="bg-BG"/>
              </w:rPr>
            </w:pPr>
            <w:r w:rsidRPr="00EA63A6">
              <w:rPr>
                <w:rFonts w:ascii="Times New Roman" w:eastAsia="Batang" w:hAnsi="Times New Roman"/>
                <w:color w:val="auto"/>
                <w:sz w:val="20"/>
                <w:szCs w:val="20"/>
                <w:lang w:val="bg-BG"/>
              </w:rPr>
              <w:t>– Маслодайни</w:t>
            </w:r>
          </w:p>
        </w:tc>
        <w:tc>
          <w:tcPr>
            <w:tcW w:w="1116" w:type="dxa"/>
            <w:noWrap/>
            <w:vAlign w:val="center"/>
            <w:hideMark/>
          </w:tcPr>
          <w:p w14:paraId="7FC40559"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17.9</w:t>
            </w:r>
          </w:p>
        </w:tc>
        <w:tc>
          <w:tcPr>
            <w:tcW w:w="1116" w:type="dxa"/>
            <w:noWrap/>
            <w:vAlign w:val="center"/>
            <w:hideMark/>
          </w:tcPr>
          <w:p w14:paraId="1E0E1AA6"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13.0</w:t>
            </w:r>
          </w:p>
        </w:tc>
        <w:tc>
          <w:tcPr>
            <w:tcW w:w="1116" w:type="dxa"/>
            <w:noWrap/>
            <w:vAlign w:val="center"/>
            <w:hideMark/>
          </w:tcPr>
          <w:p w14:paraId="1E211AC3"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16.0</w:t>
            </w:r>
          </w:p>
        </w:tc>
        <w:tc>
          <w:tcPr>
            <w:tcW w:w="1116" w:type="dxa"/>
            <w:noWrap/>
            <w:vAlign w:val="center"/>
            <w:hideMark/>
          </w:tcPr>
          <w:p w14:paraId="770C771D"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13.5</w:t>
            </w:r>
          </w:p>
        </w:tc>
      </w:tr>
      <w:tr w:rsidR="005B2032" w:rsidRPr="005B2032" w14:paraId="6639C194" w14:textId="77777777" w:rsidTr="00A45498">
        <w:trPr>
          <w:trHeight w:val="454"/>
          <w:jc w:val="center"/>
        </w:trPr>
        <w:tc>
          <w:tcPr>
            <w:tcW w:w="4606" w:type="dxa"/>
            <w:noWrap/>
            <w:vAlign w:val="center"/>
            <w:hideMark/>
          </w:tcPr>
          <w:p w14:paraId="78A6515A" w14:textId="77777777" w:rsidR="001C65FE" w:rsidRPr="00EA63A6" w:rsidRDefault="001C65FE">
            <w:pPr>
              <w:pStyle w:val="a6"/>
              <w:spacing w:before="20" w:after="20"/>
              <w:jc w:val="left"/>
              <w:rPr>
                <w:rFonts w:ascii="Times New Roman" w:hAnsi="Times New Roman"/>
                <w:color w:val="auto"/>
                <w:sz w:val="20"/>
                <w:szCs w:val="20"/>
                <w:lang w:val="bg-BG"/>
              </w:rPr>
            </w:pPr>
            <w:r w:rsidRPr="00EA63A6">
              <w:rPr>
                <w:rFonts w:ascii="Times New Roman" w:eastAsia="Batang" w:hAnsi="Times New Roman"/>
                <w:color w:val="auto"/>
                <w:sz w:val="20"/>
                <w:szCs w:val="20"/>
                <w:lang w:val="bg-BG"/>
              </w:rPr>
              <w:t xml:space="preserve">Метали </w:t>
            </w:r>
            <w:r w:rsidRPr="00EA63A6">
              <w:rPr>
                <w:rFonts w:ascii="Times New Roman" w:hAnsi="Times New Roman"/>
                <w:color w:val="auto"/>
                <w:sz w:val="20"/>
                <w:szCs w:val="20"/>
                <w:lang w:val="bg-BG"/>
              </w:rPr>
              <w:t>[%]</w:t>
            </w:r>
          </w:p>
        </w:tc>
        <w:tc>
          <w:tcPr>
            <w:tcW w:w="1116" w:type="dxa"/>
            <w:noWrap/>
            <w:vAlign w:val="center"/>
            <w:hideMark/>
          </w:tcPr>
          <w:p w14:paraId="1F8BEE2C"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60.0</w:t>
            </w:r>
          </w:p>
        </w:tc>
        <w:tc>
          <w:tcPr>
            <w:tcW w:w="1116" w:type="dxa"/>
            <w:noWrap/>
            <w:vAlign w:val="center"/>
            <w:hideMark/>
          </w:tcPr>
          <w:p w14:paraId="563CC6DB"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40.0</w:t>
            </w:r>
          </w:p>
        </w:tc>
        <w:tc>
          <w:tcPr>
            <w:tcW w:w="1116" w:type="dxa"/>
            <w:noWrap/>
            <w:vAlign w:val="center"/>
            <w:hideMark/>
          </w:tcPr>
          <w:p w14:paraId="74A5943A"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w:t>
            </w:r>
          </w:p>
        </w:tc>
        <w:tc>
          <w:tcPr>
            <w:tcW w:w="1116" w:type="dxa"/>
            <w:noWrap/>
            <w:vAlign w:val="center"/>
            <w:hideMark/>
          </w:tcPr>
          <w:p w14:paraId="0F3458A7" w14:textId="77777777" w:rsidR="001C65FE" w:rsidRPr="005B2032" w:rsidRDefault="001C65FE">
            <w:pPr>
              <w:pStyle w:val="a6"/>
              <w:spacing w:before="20" w:after="20"/>
              <w:jc w:val="right"/>
              <w:rPr>
                <w:rFonts w:ascii="Times New Roman" w:hAnsi="Times New Roman"/>
                <w:color w:val="auto"/>
                <w:sz w:val="20"/>
                <w:szCs w:val="20"/>
                <w:lang w:val="bg-BG"/>
              </w:rPr>
            </w:pPr>
            <w:r w:rsidRPr="005B2032">
              <w:rPr>
                <w:rFonts w:ascii="Times New Roman" w:hAnsi="Times New Roman"/>
                <w:color w:val="auto"/>
                <w:sz w:val="20"/>
                <w:szCs w:val="20"/>
                <w:lang w:val="bg-BG"/>
              </w:rPr>
              <w:t>-</w:t>
            </w:r>
          </w:p>
        </w:tc>
      </w:tr>
    </w:tbl>
    <w:p w14:paraId="4E71E301" w14:textId="69142959" w:rsidR="00EF1895" w:rsidRPr="00EA63A6" w:rsidRDefault="00EF1895" w:rsidP="00A45498">
      <w:pPr>
        <w:pStyle w:val="a"/>
        <w:spacing w:after="0"/>
        <w:jc w:val="left"/>
      </w:pPr>
      <w:r w:rsidRPr="00EA63A6">
        <w:t>*</w:t>
      </w:r>
      <w:r>
        <w:rPr>
          <w:lang w:val="en-US"/>
        </w:rPr>
        <w:t xml:space="preserve"> </w:t>
      </w:r>
      <w:r w:rsidRPr="00EA63A6">
        <w:t xml:space="preserve">Изменение в % спрямо предходната година с изключение на цената на петрола. При храните и торовете са използвани симулации на ФАО. </w:t>
      </w:r>
    </w:p>
    <w:p w14:paraId="50C42C79" w14:textId="75FE2471" w:rsidR="001C65FE" w:rsidRPr="00EF1895" w:rsidRDefault="001C65FE" w:rsidP="00EF1895">
      <w:pPr>
        <w:pStyle w:val="a"/>
        <w:spacing w:before="0"/>
      </w:pPr>
      <w:r w:rsidRPr="00EF1895">
        <w:t>Източник: МФ</w:t>
      </w:r>
    </w:p>
    <w:p w14:paraId="20622818" w14:textId="708E9A88" w:rsidR="001C65FE" w:rsidRPr="005B2032" w:rsidRDefault="001C65FE" w:rsidP="00EF1895">
      <w:r w:rsidRPr="005B2032">
        <w:t>При суровия петрол се допуска допълнително повишение на цените над представеното в базовия сценарий и задържането им на по-високо ниво в средносрочен план. При природния газ също е заложен допълнителен шок от 30% повишение през 2022</w:t>
      </w:r>
      <w:r w:rsidR="00DF07FD">
        <w:t> г.</w:t>
      </w:r>
      <w:r w:rsidRPr="005B2032">
        <w:t xml:space="preserve"> При храните, ограниченото предлагане от страна на Русия и Украйна най-вече на зърнени и маслодайни култури ще се отрази в повишение на техните цени, тъй като то само частично </w:t>
      </w:r>
      <w:r w:rsidRPr="005B2032">
        <w:lastRenderedPageBreak/>
        <w:t>би могло да бъде компенсирано от страна на други производители от ЕС, САЩ, Канада и други държави. Капацитетът на много от тези алтернативни източници за увеличаване на продукцията и доставките може да бъде допълнително ограничен от високите производствени разходи, свързани с покачването на цените на енергията и торовете. Те биха могли също да доведат до по-ограничено използване на торове, което ще понижи добивите и ще доведе до по-голям риск за реколтата през следващите години. Това, от своя страна, би запазило високи международните цени на храните за по-дълъг период от време. По отношение на металите също се допуска продължаващо съществено повишение на цените им през 2022 и 2023</w:t>
      </w:r>
      <w:r w:rsidR="00DF07FD">
        <w:t> г.</w:t>
      </w:r>
      <w:r w:rsidRPr="005B2032">
        <w:t>, предвид съществения дял на рудите и металите в износа на Русия и Украйна и очакваните прекъсванията в добива и производството им.</w:t>
      </w:r>
    </w:p>
    <w:p w14:paraId="70A8EFEA" w14:textId="74E980BB" w:rsidR="001C65FE" w:rsidRPr="005B2032" w:rsidRDefault="001C65FE" w:rsidP="00D72B5F">
      <w:pPr>
        <w:pStyle w:val="Caption"/>
        <w:spacing w:before="0" w:after="120"/>
        <w:ind w:left="0" w:firstLine="0"/>
        <w:jc w:val="both"/>
        <w:rPr>
          <w:b w:val="0"/>
          <w:bCs w:val="0"/>
          <w:color w:val="auto"/>
          <w:sz w:val="24"/>
          <w:szCs w:val="24"/>
        </w:rPr>
      </w:pPr>
      <w:r w:rsidRPr="005B2032">
        <w:rPr>
          <w:b w:val="0"/>
          <w:bCs w:val="0"/>
          <w:color w:val="auto"/>
          <w:sz w:val="24"/>
          <w:szCs w:val="24"/>
        </w:rPr>
        <w:t>Алтернативните допускания се отразяват в по-висока инфлация най-вече през 2022 и 2023</w:t>
      </w:r>
      <w:r w:rsidR="00DF07FD">
        <w:rPr>
          <w:b w:val="0"/>
          <w:bCs w:val="0"/>
          <w:color w:val="auto"/>
          <w:sz w:val="24"/>
          <w:szCs w:val="24"/>
        </w:rPr>
        <w:t> г.</w:t>
      </w:r>
      <w:r w:rsidRPr="005B2032">
        <w:rPr>
          <w:b w:val="0"/>
          <w:bCs w:val="0"/>
          <w:color w:val="auto"/>
          <w:sz w:val="24"/>
          <w:szCs w:val="24"/>
        </w:rPr>
        <w:t>, съответно с 2.9 и 2.2 пр.п. над темпа в основния сценарий.</w:t>
      </w:r>
    </w:p>
    <w:p w14:paraId="1C08E3FD" w14:textId="03C1C9F5" w:rsidR="001C65FE" w:rsidRPr="005B2032" w:rsidRDefault="001C65FE" w:rsidP="00D72B5F">
      <w:pPr>
        <w:rPr>
          <w:szCs w:val="24"/>
        </w:rPr>
      </w:pPr>
      <w:r w:rsidRPr="005B2032">
        <w:rPr>
          <w:szCs w:val="24"/>
        </w:rPr>
        <w:t>В алтернативния сценарий се очаква спад на вноса на стоки през 2022</w:t>
      </w:r>
      <w:r w:rsidR="00DF07FD">
        <w:rPr>
          <w:szCs w:val="24"/>
        </w:rPr>
        <w:t> г.</w:t>
      </w:r>
      <w:r w:rsidRPr="005B2032">
        <w:rPr>
          <w:szCs w:val="24"/>
        </w:rPr>
        <w:t>, което представлява отклонение с 8.7 пр.п. спрямо базисния сценарий. Нарушенията по веригите на доставка ще се отразят негативно на производството в страната, на изпълнението на поръчки и инвестиционни планове. В резултат се очаква спад на инвестициите в основен капитал, подсилен и от по-голямата несигурност. По-сериозните затруднения</w:t>
      </w:r>
      <w:r w:rsidR="005561C4">
        <w:rPr>
          <w:szCs w:val="24"/>
        </w:rPr>
        <w:t>,</w:t>
      </w:r>
      <w:r w:rsidRPr="005B2032">
        <w:rPr>
          <w:szCs w:val="24"/>
        </w:rPr>
        <w:t xml:space="preserve"> свързани с логистиката и ограничения в производството на отделни продукти</w:t>
      </w:r>
      <w:r w:rsidR="005561C4">
        <w:rPr>
          <w:szCs w:val="24"/>
        </w:rPr>
        <w:t>,</w:t>
      </w:r>
      <w:r w:rsidRPr="005B2032">
        <w:rPr>
          <w:szCs w:val="24"/>
        </w:rPr>
        <w:t xml:space="preserve"> ще доведат до спад в износа на стоки и годишният темп ще се влоши с 5.3 пр.п.</w:t>
      </w:r>
      <w:r w:rsidRPr="005B2032">
        <w:rPr>
          <w:szCs w:val="24"/>
          <w:lang w:val="en-US"/>
        </w:rPr>
        <w:t xml:space="preserve"> </w:t>
      </w:r>
      <w:r w:rsidRPr="005B2032">
        <w:rPr>
          <w:szCs w:val="24"/>
        </w:rPr>
        <w:t>В същото време, по аналогия с основния сценарий, увеличеният брой бежанци ще се отрази в еднократно увеличение на износа на услуги през 2022</w:t>
      </w:r>
      <w:r w:rsidR="00DF07FD">
        <w:rPr>
          <w:szCs w:val="24"/>
        </w:rPr>
        <w:t> г.</w:t>
      </w:r>
      <w:r w:rsidRPr="005B2032">
        <w:rPr>
          <w:szCs w:val="24"/>
        </w:rPr>
        <w:t xml:space="preserve"> Растежът на потреблението на домакинствата ще бъде ограничен по линия на по-слабо нарастване на реалния разполагаем доход</w:t>
      </w:r>
      <w:r w:rsidRPr="005B2032">
        <w:rPr>
          <w:szCs w:val="24"/>
          <w:lang w:val="en-US"/>
        </w:rPr>
        <w:t xml:space="preserve"> </w:t>
      </w:r>
      <w:r w:rsidRPr="005B2032">
        <w:rPr>
          <w:szCs w:val="24"/>
        </w:rPr>
        <w:t>и заетостта. При този сценарий се очаква негативните ефекти да продължат да се проявяват и през първо</w:t>
      </w:r>
      <w:r w:rsidR="005561C4">
        <w:rPr>
          <w:szCs w:val="24"/>
        </w:rPr>
        <w:t>то</w:t>
      </w:r>
      <w:r w:rsidRPr="005B2032">
        <w:rPr>
          <w:szCs w:val="24"/>
        </w:rPr>
        <w:t xml:space="preserve"> тримесечие на 2023</w:t>
      </w:r>
      <w:r w:rsidR="00DF07FD">
        <w:rPr>
          <w:szCs w:val="24"/>
        </w:rPr>
        <w:t> г.</w:t>
      </w:r>
      <w:r w:rsidRPr="005B2032">
        <w:rPr>
          <w:szCs w:val="24"/>
        </w:rPr>
        <w:t xml:space="preserve"> и постепенно да отшумят. В резултат на описаните ефекти реалният растеж на БВП ще бъде с 2 пр.п. по-нисък през 2022</w:t>
      </w:r>
      <w:r w:rsidR="00DF07FD">
        <w:rPr>
          <w:szCs w:val="24"/>
        </w:rPr>
        <w:t> г.</w:t>
      </w:r>
      <w:r w:rsidRPr="005B2032">
        <w:rPr>
          <w:szCs w:val="24"/>
        </w:rPr>
        <w:t xml:space="preserve"> и с 1.5 пр.п. през 2023</w:t>
      </w:r>
      <w:r w:rsidR="00DF07FD">
        <w:rPr>
          <w:szCs w:val="24"/>
        </w:rPr>
        <w:t> г.</w:t>
      </w:r>
      <w:r w:rsidRPr="005B2032">
        <w:rPr>
          <w:szCs w:val="24"/>
        </w:rPr>
        <w:t xml:space="preserve"> През първите две години се очаква по-високо нарастване на цените в страната, изразено чрез дефлатора на БВП, което няма да компенсира загубата в реалния обем. В резултат на това нивото на БВП по текущи цени ще бъде по-ниско спрямо базовия сценарий, като това ще се запази до края на прогнозния период.</w:t>
      </w:r>
    </w:p>
    <w:p w14:paraId="1C1F1DAE" w14:textId="2B1C3073" w:rsidR="001C65FE" w:rsidRPr="005B2032" w:rsidRDefault="001C65FE" w:rsidP="00D72B5F">
      <w:pPr>
        <w:rPr>
          <w:szCs w:val="24"/>
        </w:rPr>
      </w:pPr>
      <w:r w:rsidRPr="005B2032">
        <w:rPr>
          <w:szCs w:val="24"/>
        </w:rPr>
        <w:t>В алтернативния сценарий се допуска в страната да навлезе по-голям поток от бежанци, но се очаква по-малък брой от тях да намерят реализация на трудовия пазар в сравнение с базовия сценарий. В основния сценарий допускането е, че около 35 хиляди бежанци средногодишно ще започнат работа през 2022</w:t>
      </w:r>
      <w:r w:rsidR="00DF07FD">
        <w:rPr>
          <w:szCs w:val="24"/>
        </w:rPr>
        <w:t> г.</w:t>
      </w:r>
      <w:r w:rsidRPr="005B2032">
        <w:rPr>
          <w:szCs w:val="24"/>
        </w:rPr>
        <w:t>, а в алтернативния – техният брой да е около 10 хиляди. Вследствие на по-ниския растеж на българската икономика се очаква и общата заетост в страната да е по-ниска спрямо тази в базовия сценарий,</w:t>
      </w:r>
      <w:r w:rsidRPr="005B2032">
        <w:rPr>
          <w:szCs w:val="24"/>
          <w:lang w:val="en-US"/>
        </w:rPr>
        <w:t xml:space="preserve"> </w:t>
      </w:r>
      <w:r w:rsidRPr="005B2032">
        <w:rPr>
          <w:szCs w:val="24"/>
        </w:rPr>
        <w:t>като най-голямата разлика в стойностите на показателя се очаква през 2023</w:t>
      </w:r>
      <w:r w:rsidR="00DF07FD">
        <w:rPr>
          <w:szCs w:val="24"/>
        </w:rPr>
        <w:t> г.</w:t>
      </w:r>
      <w:r w:rsidRPr="005B2032">
        <w:rPr>
          <w:szCs w:val="24"/>
        </w:rPr>
        <w:t xml:space="preserve"> (с 1.6% по-ниска заетост в алтернативния сценарий спрямо основния). През следващите години тези разлики намаляват и заетостта в двата сценария постепенно конвергира.</w:t>
      </w:r>
    </w:p>
    <w:p w14:paraId="70C25B99" w14:textId="74D0C04D" w:rsidR="001C65FE" w:rsidRDefault="001C65FE" w:rsidP="00D72B5F">
      <w:pPr>
        <w:rPr>
          <w:szCs w:val="24"/>
        </w:rPr>
      </w:pPr>
      <w:r w:rsidRPr="005B2032">
        <w:rPr>
          <w:szCs w:val="24"/>
        </w:rPr>
        <w:t>В алтернативния сценарий, основните изменения в платежния баланс са при търговията със стоки. Нарастването на международните цени ще се прояви в съществено увеличение на номиналните темпове на растеж на вноса и износа на стоки, въпреки намалението на търгуваните количества. Оценките показват близки дефлатори, при изпреварващ реален спад на вноса през 2022</w:t>
      </w:r>
      <w:r w:rsidR="00DF07FD">
        <w:rPr>
          <w:szCs w:val="24"/>
        </w:rPr>
        <w:t> г.</w:t>
      </w:r>
      <w:r w:rsidRPr="005B2032">
        <w:rPr>
          <w:szCs w:val="24"/>
        </w:rPr>
        <w:t>, което ще доведе до подобрение на търговския дефицит. В периода 2023–2024</w:t>
      </w:r>
      <w:r w:rsidR="00DF07FD">
        <w:rPr>
          <w:szCs w:val="24"/>
        </w:rPr>
        <w:t> г.</w:t>
      </w:r>
      <w:r w:rsidRPr="005B2032">
        <w:rPr>
          <w:szCs w:val="24"/>
        </w:rPr>
        <w:t xml:space="preserve"> тенденцията на положително отклонение спрямо базисния сценарий се запазва, основно движена от положителните условия на търговия, при изпреварващо нарастване на вноса.</w:t>
      </w:r>
    </w:p>
    <w:p w14:paraId="076E3FEA" w14:textId="74D997E3" w:rsidR="00EF1895" w:rsidRDefault="00EF1895" w:rsidP="00D72B5F">
      <w:pPr>
        <w:rPr>
          <w:szCs w:val="24"/>
        </w:rPr>
      </w:pPr>
    </w:p>
    <w:p w14:paraId="5AA4CE95" w14:textId="77777777" w:rsidR="00EF1895" w:rsidRPr="005B2032" w:rsidRDefault="00EF1895" w:rsidP="00D72B5F">
      <w:pPr>
        <w:rPr>
          <w:szCs w:val="24"/>
        </w:rPr>
      </w:pPr>
    </w:p>
    <w:p w14:paraId="6B40F00B" w14:textId="6F158F7B" w:rsidR="001C65FE" w:rsidRPr="00EF1895" w:rsidRDefault="001C65FE" w:rsidP="00EF1895">
      <w:pPr>
        <w:pStyle w:val="Caption"/>
      </w:pPr>
      <w:r w:rsidRPr="00EF1895">
        <w:lastRenderedPageBreak/>
        <w:t xml:space="preserve">Табл. 4-2: </w:t>
      </w:r>
      <w:r w:rsidR="00EF1895">
        <w:tab/>
      </w:r>
      <w:r w:rsidRPr="00EF1895">
        <w:t>Промени в основните макроикономически показатели (отклонение спрямо базовия сценарий)</w:t>
      </w:r>
    </w:p>
    <w:tbl>
      <w:tblPr>
        <w:tblStyle w:val="TableGrid"/>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4A0" w:firstRow="1" w:lastRow="0" w:firstColumn="1" w:lastColumn="0" w:noHBand="0" w:noVBand="1"/>
      </w:tblPr>
      <w:tblGrid>
        <w:gridCol w:w="4254"/>
        <w:gridCol w:w="1184"/>
        <w:gridCol w:w="1262"/>
        <w:gridCol w:w="1182"/>
        <w:gridCol w:w="1182"/>
      </w:tblGrid>
      <w:tr w:rsidR="005B2032" w:rsidRPr="005B2032" w14:paraId="063B87E5" w14:textId="77777777" w:rsidTr="00A45498">
        <w:trPr>
          <w:trHeight w:val="397"/>
          <w:tblHeader/>
          <w:jc w:val="center"/>
        </w:trPr>
        <w:tc>
          <w:tcPr>
            <w:tcW w:w="2346" w:type="pct"/>
            <w:shd w:val="clear" w:color="auto" w:fill="D7D4F1"/>
            <w:vAlign w:val="center"/>
            <w:hideMark/>
          </w:tcPr>
          <w:p w14:paraId="3545D2C1" w14:textId="77777777" w:rsidR="001C65FE" w:rsidRPr="005B2032" w:rsidRDefault="001C65FE" w:rsidP="00D84327">
            <w:pPr>
              <w:jc w:val="left"/>
              <w:rPr>
                <w:b/>
                <w:sz w:val="20"/>
                <w:szCs w:val="20"/>
              </w:rPr>
            </w:pPr>
            <w:r w:rsidRPr="005B2032">
              <w:rPr>
                <w:b/>
                <w:sz w:val="20"/>
                <w:szCs w:val="20"/>
                <w:lang w:eastAsia="en-GB"/>
              </w:rPr>
              <w:t>Основни макроикономически показатели</w:t>
            </w:r>
          </w:p>
        </w:tc>
        <w:tc>
          <w:tcPr>
            <w:tcW w:w="653" w:type="pct"/>
            <w:shd w:val="clear" w:color="auto" w:fill="D7D4F1"/>
            <w:vAlign w:val="center"/>
            <w:hideMark/>
          </w:tcPr>
          <w:p w14:paraId="52B2FA39" w14:textId="77777777" w:rsidR="001C65FE" w:rsidRPr="005B2032" w:rsidRDefault="001C65FE" w:rsidP="00D84327">
            <w:pPr>
              <w:pStyle w:val="a6"/>
              <w:jc w:val="right"/>
              <w:rPr>
                <w:rFonts w:ascii="Times New Roman" w:hAnsi="Times New Roman"/>
                <w:b/>
                <w:bCs/>
                <w:color w:val="auto"/>
                <w:sz w:val="20"/>
                <w:szCs w:val="20"/>
                <w:lang w:val="bg-BG"/>
              </w:rPr>
            </w:pPr>
            <w:r w:rsidRPr="005B2032">
              <w:rPr>
                <w:rFonts w:ascii="Times New Roman" w:hAnsi="Times New Roman"/>
                <w:b/>
                <w:bCs/>
                <w:color w:val="auto"/>
                <w:sz w:val="20"/>
                <w:szCs w:val="20"/>
                <w:lang w:val="bg-BG"/>
              </w:rPr>
              <w:t>2022</w:t>
            </w:r>
          </w:p>
        </w:tc>
        <w:tc>
          <w:tcPr>
            <w:tcW w:w="696" w:type="pct"/>
            <w:shd w:val="clear" w:color="auto" w:fill="D7D4F1"/>
            <w:vAlign w:val="center"/>
            <w:hideMark/>
          </w:tcPr>
          <w:p w14:paraId="37363AD1" w14:textId="77777777" w:rsidR="001C65FE" w:rsidRPr="005B2032" w:rsidRDefault="001C65FE" w:rsidP="00D84327">
            <w:pPr>
              <w:pStyle w:val="a6"/>
              <w:jc w:val="right"/>
              <w:rPr>
                <w:rFonts w:ascii="Times New Roman" w:hAnsi="Times New Roman"/>
                <w:b/>
                <w:bCs/>
                <w:color w:val="auto"/>
                <w:sz w:val="20"/>
                <w:szCs w:val="20"/>
                <w:lang w:val="bg-BG"/>
              </w:rPr>
            </w:pPr>
            <w:r w:rsidRPr="005B2032">
              <w:rPr>
                <w:rFonts w:ascii="Times New Roman" w:hAnsi="Times New Roman"/>
                <w:b/>
                <w:bCs/>
                <w:color w:val="auto"/>
                <w:sz w:val="20"/>
                <w:szCs w:val="20"/>
                <w:lang w:val="bg-BG"/>
              </w:rPr>
              <w:t>2023</w:t>
            </w:r>
          </w:p>
        </w:tc>
        <w:tc>
          <w:tcPr>
            <w:tcW w:w="652" w:type="pct"/>
            <w:shd w:val="clear" w:color="auto" w:fill="D7D4F1"/>
            <w:vAlign w:val="center"/>
            <w:hideMark/>
          </w:tcPr>
          <w:p w14:paraId="367B4329" w14:textId="77777777" w:rsidR="001C65FE" w:rsidRPr="005B2032" w:rsidRDefault="001C65FE" w:rsidP="00D84327">
            <w:pPr>
              <w:pStyle w:val="a6"/>
              <w:jc w:val="right"/>
              <w:rPr>
                <w:rFonts w:ascii="Times New Roman" w:hAnsi="Times New Roman"/>
                <w:b/>
                <w:bCs/>
                <w:color w:val="auto"/>
                <w:sz w:val="20"/>
                <w:szCs w:val="20"/>
                <w:lang w:val="bg-BG"/>
              </w:rPr>
            </w:pPr>
            <w:r w:rsidRPr="005B2032">
              <w:rPr>
                <w:rFonts w:ascii="Times New Roman" w:hAnsi="Times New Roman"/>
                <w:b/>
                <w:bCs/>
                <w:color w:val="auto"/>
                <w:sz w:val="20"/>
                <w:szCs w:val="20"/>
                <w:lang w:val="bg-BG"/>
              </w:rPr>
              <w:t>2024</w:t>
            </w:r>
          </w:p>
        </w:tc>
        <w:tc>
          <w:tcPr>
            <w:tcW w:w="652" w:type="pct"/>
            <w:shd w:val="clear" w:color="auto" w:fill="D7D4F1"/>
            <w:vAlign w:val="center"/>
            <w:hideMark/>
          </w:tcPr>
          <w:p w14:paraId="31CC5091" w14:textId="77777777" w:rsidR="001C65FE" w:rsidRPr="005B2032" w:rsidRDefault="001C65FE" w:rsidP="00D84327">
            <w:pPr>
              <w:pStyle w:val="a6"/>
              <w:jc w:val="right"/>
              <w:rPr>
                <w:rFonts w:ascii="Times New Roman" w:hAnsi="Times New Roman"/>
                <w:b/>
                <w:bCs/>
                <w:color w:val="auto"/>
                <w:sz w:val="20"/>
                <w:szCs w:val="20"/>
                <w:lang w:val="en-US"/>
              </w:rPr>
            </w:pPr>
            <w:r w:rsidRPr="005B2032">
              <w:rPr>
                <w:rFonts w:ascii="Times New Roman" w:hAnsi="Times New Roman"/>
                <w:b/>
                <w:bCs/>
                <w:color w:val="auto"/>
                <w:sz w:val="20"/>
                <w:szCs w:val="20"/>
                <w:lang w:val="en-US"/>
              </w:rPr>
              <w:t>2025</w:t>
            </w:r>
          </w:p>
        </w:tc>
      </w:tr>
      <w:tr w:rsidR="005B2032" w:rsidRPr="005B2032" w14:paraId="3CF17E01" w14:textId="77777777" w:rsidTr="00A45498">
        <w:trPr>
          <w:trHeight w:val="397"/>
          <w:jc w:val="center"/>
        </w:trPr>
        <w:tc>
          <w:tcPr>
            <w:tcW w:w="2346" w:type="pct"/>
            <w:vAlign w:val="center"/>
            <w:hideMark/>
          </w:tcPr>
          <w:p w14:paraId="34D91F07" w14:textId="77777777" w:rsidR="001C65FE" w:rsidRPr="005B2032" w:rsidRDefault="001C65FE" w:rsidP="00D84327">
            <w:pPr>
              <w:pStyle w:val="a6"/>
              <w:jc w:val="left"/>
              <w:rPr>
                <w:rFonts w:ascii="Times New Roman" w:hAnsi="Times New Roman"/>
                <w:b/>
                <w:color w:val="auto"/>
                <w:sz w:val="20"/>
                <w:szCs w:val="20"/>
                <w:lang w:val="bg-BG"/>
              </w:rPr>
            </w:pPr>
            <w:r w:rsidRPr="005B2032">
              <w:rPr>
                <w:rFonts w:ascii="Times New Roman" w:hAnsi="Times New Roman"/>
                <w:b/>
                <w:bCs/>
                <w:color w:val="auto"/>
                <w:sz w:val="20"/>
                <w:szCs w:val="20"/>
                <w:lang w:val="bg-BG"/>
              </w:rPr>
              <w:t>БРУТЕН ВЪТРЕШЕН ПРОДУКТ</w:t>
            </w:r>
          </w:p>
        </w:tc>
        <w:tc>
          <w:tcPr>
            <w:tcW w:w="653" w:type="pct"/>
            <w:vAlign w:val="center"/>
          </w:tcPr>
          <w:p w14:paraId="08882A49" w14:textId="77777777" w:rsidR="001C65FE" w:rsidRPr="005B2032" w:rsidRDefault="001C65FE" w:rsidP="00D84327">
            <w:pPr>
              <w:pStyle w:val="a6"/>
              <w:jc w:val="right"/>
              <w:rPr>
                <w:rFonts w:ascii="Times New Roman" w:hAnsi="Times New Roman"/>
                <w:color w:val="auto"/>
                <w:sz w:val="20"/>
                <w:szCs w:val="20"/>
                <w:lang w:val="bg-BG"/>
              </w:rPr>
            </w:pPr>
          </w:p>
        </w:tc>
        <w:tc>
          <w:tcPr>
            <w:tcW w:w="696" w:type="pct"/>
            <w:vAlign w:val="center"/>
          </w:tcPr>
          <w:p w14:paraId="6ACAE4B8" w14:textId="77777777" w:rsidR="001C65FE" w:rsidRPr="005B2032" w:rsidRDefault="001C65FE" w:rsidP="00D84327">
            <w:pPr>
              <w:pStyle w:val="a6"/>
              <w:jc w:val="right"/>
              <w:rPr>
                <w:rFonts w:ascii="Times New Roman" w:hAnsi="Times New Roman"/>
                <w:color w:val="auto"/>
                <w:sz w:val="20"/>
                <w:szCs w:val="20"/>
                <w:lang w:val="bg-BG"/>
              </w:rPr>
            </w:pPr>
          </w:p>
        </w:tc>
        <w:tc>
          <w:tcPr>
            <w:tcW w:w="652" w:type="pct"/>
            <w:vAlign w:val="center"/>
          </w:tcPr>
          <w:p w14:paraId="04B55B83" w14:textId="77777777" w:rsidR="001C65FE" w:rsidRPr="005B2032" w:rsidRDefault="001C65FE" w:rsidP="00D84327">
            <w:pPr>
              <w:pStyle w:val="a6"/>
              <w:jc w:val="right"/>
              <w:rPr>
                <w:rFonts w:ascii="Times New Roman" w:hAnsi="Times New Roman"/>
                <w:color w:val="auto"/>
                <w:sz w:val="20"/>
                <w:szCs w:val="20"/>
                <w:lang w:val="bg-BG"/>
              </w:rPr>
            </w:pPr>
          </w:p>
        </w:tc>
        <w:tc>
          <w:tcPr>
            <w:tcW w:w="652" w:type="pct"/>
            <w:vAlign w:val="center"/>
          </w:tcPr>
          <w:p w14:paraId="3C845D06" w14:textId="77777777" w:rsidR="001C65FE" w:rsidRPr="005B2032" w:rsidRDefault="001C65FE" w:rsidP="00D84327">
            <w:pPr>
              <w:pStyle w:val="a6"/>
              <w:jc w:val="right"/>
              <w:rPr>
                <w:rFonts w:ascii="Times New Roman" w:hAnsi="Times New Roman"/>
                <w:color w:val="auto"/>
                <w:sz w:val="20"/>
                <w:szCs w:val="20"/>
                <w:lang w:val="bg-BG"/>
              </w:rPr>
            </w:pPr>
          </w:p>
        </w:tc>
      </w:tr>
      <w:tr w:rsidR="005B2032" w:rsidRPr="005B2032" w14:paraId="60DE64B4" w14:textId="77777777" w:rsidTr="00A45498">
        <w:trPr>
          <w:trHeight w:val="397"/>
          <w:jc w:val="center"/>
        </w:trPr>
        <w:tc>
          <w:tcPr>
            <w:tcW w:w="2346" w:type="pct"/>
            <w:vAlign w:val="center"/>
            <w:hideMark/>
          </w:tcPr>
          <w:p w14:paraId="177BC980"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БВП ниво по текущи цени [%]</w:t>
            </w:r>
          </w:p>
        </w:tc>
        <w:tc>
          <w:tcPr>
            <w:tcW w:w="653" w:type="pct"/>
            <w:vAlign w:val="center"/>
            <w:hideMark/>
          </w:tcPr>
          <w:p w14:paraId="02EE04E0"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w:t>
            </w:r>
            <w:r w:rsidRPr="005B2032">
              <w:rPr>
                <w:rFonts w:ascii="Times New Roman" w:hAnsi="Times New Roman"/>
                <w:color w:val="auto"/>
                <w:sz w:val="20"/>
                <w:szCs w:val="20"/>
                <w:lang w:val="bg-BG"/>
              </w:rPr>
              <w:t>.</w:t>
            </w:r>
            <w:r w:rsidRPr="005B2032">
              <w:rPr>
                <w:rFonts w:ascii="Times New Roman" w:hAnsi="Times New Roman"/>
                <w:color w:val="auto"/>
                <w:sz w:val="20"/>
                <w:szCs w:val="20"/>
              </w:rPr>
              <w:t>7%</w:t>
            </w:r>
          </w:p>
        </w:tc>
        <w:tc>
          <w:tcPr>
            <w:tcW w:w="696" w:type="pct"/>
            <w:vAlign w:val="center"/>
            <w:hideMark/>
          </w:tcPr>
          <w:p w14:paraId="003DC2E5"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-1.2%</w:t>
            </w:r>
          </w:p>
        </w:tc>
        <w:tc>
          <w:tcPr>
            <w:tcW w:w="652" w:type="pct"/>
            <w:vAlign w:val="center"/>
            <w:hideMark/>
          </w:tcPr>
          <w:p w14:paraId="5C6A838A"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-2.0%</w:t>
            </w:r>
          </w:p>
        </w:tc>
        <w:tc>
          <w:tcPr>
            <w:tcW w:w="652" w:type="pct"/>
            <w:vAlign w:val="center"/>
            <w:hideMark/>
          </w:tcPr>
          <w:p w14:paraId="7D452661"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-1.9%</w:t>
            </w:r>
          </w:p>
        </w:tc>
      </w:tr>
      <w:tr w:rsidR="005B2032" w:rsidRPr="005B2032" w14:paraId="5BA33DB1" w14:textId="77777777" w:rsidTr="00A45498">
        <w:trPr>
          <w:trHeight w:val="397"/>
          <w:jc w:val="center"/>
        </w:trPr>
        <w:tc>
          <w:tcPr>
            <w:tcW w:w="2346" w:type="pct"/>
            <w:vAlign w:val="center"/>
            <w:hideMark/>
          </w:tcPr>
          <w:p w14:paraId="4ECA24D5"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БВП [реален растеж, пр.п.]</w:t>
            </w:r>
          </w:p>
        </w:tc>
        <w:tc>
          <w:tcPr>
            <w:tcW w:w="653" w:type="pct"/>
            <w:vAlign w:val="center"/>
            <w:hideMark/>
          </w:tcPr>
          <w:p w14:paraId="3BF3D83F"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w:t>
            </w:r>
            <w:r w:rsidRPr="005B2032">
              <w:rPr>
                <w:rFonts w:ascii="Times New Roman" w:hAnsi="Times New Roman"/>
                <w:color w:val="auto"/>
                <w:sz w:val="20"/>
                <w:szCs w:val="20"/>
                <w:lang w:val="bg-BG"/>
              </w:rPr>
              <w:t>.</w:t>
            </w:r>
            <w:r w:rsidRPr="005B2032">
              <w:rPr>
                <w:rFonts w:ascii="Times New Roman" w:hAnsi="Times New Roman"/>
                <w:color w:val="auto"/>
                <w:sz w:val="20"/>
                <w:szCs w:val="20"/>
              </w:rPr>
              <w:t>0</w:t>
            </w:r>
          </w:p>
        </w:tc>
        <w:tc>
          <w:tcPr>
            <w:tcW w:w="696" w:type="pct"/>
            <w:vAlign w:val="center"/>
            <w:hideMark/>
          </w:tcPr>
          <w:p w14:paraId="14BBACB3"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-1.5</w:t>
            </w:r>
          </w:p>
        </w:tc>
        <w:tc>
          <w:tcPr>
            <w:tcW w:w="652" w:type="pct"/>
            <w:vAlign w:val="center"/>
            <w:hideMark/>
          </w:tcPr>
          <w:p w14:paraId="7EDD1143"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c>
          <w:tcPr>
            <w:tcW w:w="652" w:type="pct"/>
            <w:vAlign w:val="center"/>
            <w:hideMark/>
          </w:tcPr>
          <w:p w14:paraId="01EC2710"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r>
      <w:tr w:rsidR="005B2032" w:rsidRPr="005B2032" w14:paraId="5C730C29" w14:textId="77777777" w:rsidTr="00A45498">
        <w:trPr>
          <w:trHeight w:val="397"/>
          <w:jc w:val="center"/>
        </w:trPr>
        <w:tc>
          <w:tcPr>
            <w:tcW w:w="2346" w:type="pct"/>
            <w:vAlign w:val="center"/>
            <w:hideMark/>
          </w:tcPr>
          <w:p w14:paraId="2082A7F1"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Потребление</w:t>
            </w:r>
          </w:p>
        </w:tc>
        <w:tc>
          <w:tcPr>
            <w:tcW w:w="653" w:type="pct"/>
            <w:vAlign w:val="center"/>
            <w:hideMark/>
          </w:tcPr>
          <w:p w14:paraId="4F717D99"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w:t>
            </w:r>
            <w:r w:rsidRPr="005B2032">
              <w:rPr>
                <w:rFonts w:ascii="Times New Roman" w:hAnsi="Times New Roman"/>
                <w:color w:val="auto"/>
                <w:sz w:val="20"/>
                <w:szCs w:val="20"/>
                <w:lang w:val="bg-BG"/>
              </w:rPr>
              <w:t>.</w:t>
            </w:r>
            <w:r w:rsidRPr="005B2032">
              <w:rPr>
                <w:rFonts w:ascii="Times New Roman" w:hAnsi="Times New Roman"/>
                <w:color w:val="auto"/>
                <w:sz w:val="20"/>
                <w:szCs w:val="20"/>
              </w:rPr>
              <w:t>9</w:t>
            </w:r>
          </w:p>
        </w:tc>
        <w:tc>
          <w:tcPr>
            <w:tcW w:w="696" w:type="pct"/>
            <w:vAlign w:val="center"/>
            <w:hideMark/>
          </w:tcPr>
          <w:p w14:paraId="4FEC4780"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-0.6</w:t>
            </w:r>
          </w:p>
        </w:tc>
        <w:tc>
          <w:tcPr>
            <w:tcW w:w="652" w:type="pct"/>
            <w:vAlign w:val="center"/>
            <w:hideMark/>
          </w:tcPr>
          <w:p w14:paraId="367FC913"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0.2</w:t>
            </w:r>
          </w:p>
        </w:tc>
        <w:tc>
          <w:tcPr>
            <w:tcW w:w="652" w:type="pct"/>
            <w:vAlign w:val="center"/>
            <w:hideMark/>
          </w:tcPr>
          <w:p w14:paraId="5F51B3FE"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r>
      <w:tr w:rsidR="005B2032" w:rsidRPr="005B2032" w14:paraId="07481BD7" w14:textId="77777777" w:rsidTr="00A45498">
        <w:trPr>
          <w:trHeight w:val="397"/>
          <w:jc w:val="center"/>
        </w:trPr>
        <w:tc>
          <w:tcPr>
            <w:tcW w:w="2346" w:type="pct"/>
            <w:vAlign w:val="center"/>
            <w:hideMark/>
          </w:tcPr>
          <w:p w14:paraId="44A66885"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Брутообразуване на основен капитал</w:t>
            </w:r>
          </w:p>
        </w:tc>
        <w:tc>
          <w:tcPr>
            <w:tcW w:w="653" w:type="pct"/>
            <w:vAlign w:val="center"/>
            <w:hideMark/>
          </w:tcPr>
          <w:p w14:paraId="3F04982C"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-18</w:t>
            </w:r>
            <w:r w:rsidRPr="005B2032">
              <w:rPr>
                <w:rFonts w:ascii="Times New Roman" w:hAnsi="Times New Roman"/>
                <w:color w:val="auto"/>
                <w:sz w:val="20"/>
                <w:szCs w:val="20"/>
                <w:lang w:val="bg-BG"/>
              </w:rPr>
              <w:t>.</w:t>
            </w:r>
            <w:r w:rsidRPr="005B2032">
              <w:rPr>
                <w:rFonts w:ascii="Times New Roman" w:hAnsi="Times New Roman"/>
                <w:color w:val="auto"/>
                <w:sz w:val="20"/>
                <w:szCs w:val="20"/>
              </w:rPr>
              <w:t>2</w:t>
            </w:r>
          </w:p>
        </w:tc>
        <w:tc>
          <w:tcPr>
            <w:tcW w:w="696" w:type="pct"/>
            <w:vAlign w:val="center"/>
            <w:hideMark/>
          </w:tcPr>
          <w:p w14:paraId="2E4EB25E"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-2.4</w:t>
            </w:r>
          </w:p>
        </w:tc>
        <w:tc>
          <w:tcPr>
            <w:tcW w:w="652" w:type="pct"/>
            <w:vAlign w:val="center"/>
            <w:hideMark/>
          </w:tcPr>
          <w:p w14:paraId="1C1D8695"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-0.6</w:t>
            </w:r>
          </w:p>
        </w:tc>
        <w:tc>
          <w:tcPr>
            <w:tcW w:w="652" w:type="pct"/>
            <w:vAlign w:val="center"/>
            <w:hideMark/>
          </w:tcPr>
          <w:p w14:paraId="33C0D214"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2.4</w:t>
            </w:r>
          </w:p>
        </w:tc>
      </w:tr>
      <w:tr w:rsidR="005B2032" w:rsidRPr="005B2032" w14:paraId="1C8E96E7" w14:textId="77777777" w:rsidTr="00A45498">
        <w:trPr>
          <w:trHeight w:val="397"/>
          <w:jc w:val="center"/>
        </w:trPr>
        <w:tc>
          <w:tcPr>
            <w:tcW w:w="2346" w:type="pct"/>
            <w:vAlign w:val="center"/>
            <w:hideMark/>
          </w:tcPr>
          <w:p w14:paraId="7460C106"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Износ на стоки и услуги</w:t>
            </w:r>
          </w:p>
        </w:tc>
        <w:tc>
          <w:tcPr>
            <w:tcW w:w="653" w:type="pct"/>
            <w:vAlign w:val="center"/>
            <w:hideMark/>
          </w:tcPr>
          <w:p w14:paraId="3ED9ECAE"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-3</w:t>
            </w:r>
            <w:r w:rsidRPr="005B2032">
              <w:rPr>
                <w:rFonts w:ascii="Times New Roman" w:hAnsi="Times New Roman"/>
                <w:color w:val="auto"/>
                <w:sz w:val="20"/>
                <w:szCs w:val="20"/>
                <w:lang w:val="bg-BG"/>
              </w:rPr>
              <w:t>.</w:t>
            </w:r>
            <w:r w:rsidRPr="005B2032">
              <w:rPr>
                <w:rFonts w:ascii="Times New Roman" w:hAnsi="Times New Roman"/>
                <w:color w:val="auto"/>
                <w:sz w:val="20"/>
                <w:szCs w:val="20"/>
              </w:rPr>
              <w:t>8</w:t>
            </w:r>
          </w:p>
        </w:tc>
        <w:tc>
          <w:tcPr>
            <w:tcW w:w="696" w:type="pct"/>
            <w:vAlign w:val="center"/>
            <w:hideMark/>
          </w:tcPr>
          <w:p w14:paraId="49599F75"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-2.8</w:t>
            </w:r>
          </w:p>
        </w:tc>
        <w:tc>
          <w:tcPr>
            <w:tcW w:w="652" w:type="pct"/>
            <w:vAlign w:val="center"/>
            <w:hideMark/>
          </w:tcPr>
          <w:p w14:paraId="0E4739F4"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-0.4</w:t>
            </w:r>
          </w:p>
        </w:tc>
        <w:tc>
          <w:tcPr>
            <w:tcW w:w="652" w:type="pct"/>
            <w:vAlign w:val="center"/>
            <w:hideMark/>
          </w:tcPr>
          <w:p w14:paraId="5D86EF13"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0.2</w:t>
            </w:r>
          </w:p>
        </w:tc>
      </w:tr>
      <w:tr w:rsidR="005B2032" w:rsidRPr="005B2032" w14:paraId="3FAE5B2C" w14:textId="77777777" w:rsidTr="00A45498">
        <w:trPr>
          <w:trHeight w:val="397"/>
          <w:jc w:val="center"/>
        </w:trPr>
        <w:tc>
          <w:tcPr>
            <w:tcW w:w="2346" w:type="pct"/>
            <w:vAlign w:val="center"/>
            <w:hideMark/>
          </w:tcPr>
          <w:p w14:paraId="253FDE15"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Внос на стоки и услуги</w:t>
            </w:r>
          </w:p>
        </w:tc>
        <w:tc>
          <w:tcPr>
            <w:tcW w:w="653" w:type="pct"/>
            <w:vAlign w:val="center"/>
            <w:hideMark/>
          </w:tcPr>
          <w:p w14:paraId="1E378E05"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-8</w:t>
            </w:r>
            <w:r w:rsidRPr="005B2032">
              <w:rPr>
                <w:rFonts w:ascii="Times New Roman" w:hAnsi="Times New Roman"/>
                <w:color w:val="auto"/>
                <w:sz w:val="20"/>
                <w:szCs w:val="20"/>
                <w:lang w:val="bg-BG"/>
              </w:rPr>
              <w:t>.</w:t>
            </w:r>
            <w:r w:rsidRPr="005B2032">
              <w:rPr>
                <w:rFonts w:ascii="Times New Roman" w:hAnsi="Times New Roman"/>
                <w:color w:val="auto"/>
                <w:sz w:val="20"/>
                <w:szCs w:val="20"/>
              </w:rPr>
              <w:t>0</w:t>
            </w:r>
          </w:p>
        </w:tc>
        <w:tc>
          <w:tcPr>
            <w:tcW w:w="696" w:type="pct"/>
            <w:vAlign w:val="center"/>
            <w:hideMark/>
          </w:tcPr>
          <w:p w14:paraId="545006BE"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-2.4</w:t>
            </w:r>
          </w:p>
        </w:tc>
        <w:tc>
          <w:tcPr>
            <w:tcW w:w="652" w:type="pct"/>
            <w:vAlign w:val="center"/>
            <w:hideMark/>
          </w:tcPr>
          <w:p w14:paraId="1D1F9851"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-0.3</w:t>
            </w:r>
          </w:p>
        </w:tc>
        <w:tc>
          <w:tcPr>
            <w:tcW w:w="652" w:type="pct"/>
            <w:vAlign w:val="center"/>
            <w:hideMark/>
          </w:tcPr>
          <w:p w14:paraId="6023277A"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0.3</w:t>
            </w:r>
          </w:p>
        </w:tc>
      </w:tr>
      <w:tr w:rsidR="005B2032" w:rsidRPr="005B2032" w14:paraId="1B45A807" w14:textId="77777777" w:rsidTr="00A45498">
        <w:trPr>
          <w:trHeight w:val="397"/>
          <w:jc w:val="center"/>
        </w:trPr>
        <w:tc>
          <w:tcPr>
            <w:tcW w:w="2346" w:type="pct"/>
            <w:vAlign w:val="center"/>
            <w:hideMark/>
          </w:tcPr>
          <w:p w14:paraId="1EEC7763" w14:textId="77777777" w:rsidR="001C65FE" w:rsidRPr="005B2032" w:rsidRDefault="001C65FE" w:rsidP="00D84327">
            <w:pPr>
              <w:pStyle w:val="a6"/>
              <w:jc w:val="left"/>
              <w:rPr>
                <w:rFonts w:ascii="Times New Roman" w:hAnsi="Times New Roman"/>
                <w:b/>
                <w:bCs/>
                <w:color w:val="auto"/>
                <w:sz w:val="20"/>
                <w:szCs w:val="20"/>
                <w:lang w:val="bg-BG"/>
              </w:rPr>
            </w:pPr>
            <w:r w:rsidRPr="005B2032">
              <w:rPr>
                <w:rFonts w:ascii="Times New Roman" w:hAnsi="Times New Roman"/>
                <w:b/>
                <w:bCs/>
                <w:color w:val="auto"/>
                <w:sz w:val="20"/>
                <w:szCs w:val="20"/>
                <w:lang w:val="bg-BG"/>
              </w:rPr>
              <w:t>ПАЗАР НА ТРУДА И ЦЕНИ</w:t>
            </w:r>
          </w:p>
        </w:tc>
        <w:tc>
          <w:tcPr>
            <w:tcW w:w="653" w:type="pct"/>
            <w:vAlign w:val="center"/>
          </w:tcPr>
          <w:p w14:paraId="70ACC09E" w14:textId="77777777" w:rsidR="001C65FE" w:rsidRPr="005B2032" w:rsidRDefault="001C65FE" w:rsidP="00D84327">
            <w:pPr>
              <w:pStyle w:val="a6"/>
              <w:jc w:val="right"/>
              <w:rPr>
                <w:rFonts w:ascii="Times New Roman" w:hAnsi="Times New Roman"/>
                <w:color w:val="auto"/>
                <w:sz w:val="20"/>
                <w:szCs w:val="20"/>
                <w:lang w:val="bg-BG"/>
              </w:rPr>
            </w:pPr>
          </w:p>
        </w:tc>
        <w:tc>
          <w:tcPr>
            <w:tcW w:w="696" w:type="pct"/>
            <w:vAlign w:val="center"/>
          </w:tcPr>
          <w:p w14:paraId="2E665B52" w14:textId="77777777" w:rsidR="001C65FE" w:rsidRPr="005B2032" w:rsidRDefault="001C65FE" w:rsidP="00D84327">
            <w:pPr>
              <w:pStyle w:val="a6"/>
              <w:jc w:val="right"/>
              <w:rPr>
                <w:rFonts w:ascii="Times New Roman" w:hAnsi="Times New Roman"/>
                <w:color w:val="auto"/>
                <w:sz w:val="20"/>
                <w:szCs w:val="20"/>
                <w:lang w:val="bg-BG"/>
              </w:rPr>
            </w:pPr>
          </w:p>
        </w:tc>
        <w:tc>
          <w:tcPr>
            <w:tcW w:w="652" w:type="pct"/>
            <w:vAlign w:val="center"/>
          </w:tcPr>
          <w:p w14:paraId="27CA1E40" w14:textId="77777777" w:rsidR="001C65FE" w:rsidRPr="005B2032" w:rsidRDefault="001C65FE" w:rsidP="00D84327">
            <w:pPr>
              <w:pStyle w:val="a6"/>
              <w:jc w:val="right"/>
              <w:rPr>
                <w:rFonts w:ascii="Times New Roman" w:hAnsi="Times New Roman"/>
                <w:color w:val="auto"/>
                <w:sz w:val="20"/>
                <w:szCs w:val="20"/>
                <w:lang w:val="bg-BG"/>
              </w:rPr>
            </w:pPr>
          </w:p>
        </w:tc>
        <w:tc>
          <w:tcPr>
            <w:tcW w:w="652" w:type="pct"/>
            <w:vAlign w:val="center"/>
          </w:tcPr>
          <w:p w14:paraId="0FF73F57" w14:textId="77777777" w:rsidR="001C65FE" w:rsidRPr="005B2032" w:rsidRDefault="001C65FE" w:rsidP="00D84327">
            <w:pPr>
              <w:pStyle w:val="a6"/>
              <w:jc w:val="right"/>
              <w:rPr>
                <w:rFonts w:ascii="Times New Roman" w:hAnsi="Times New Roman"/>
                <w:color w:val="auto"/>
                <w:sz w:val="20"/>
                <w:szCs w:val="20"/>
                <w:lang w:val="bg-BG"/>
              </w:rPr>
            </w:pPr>
          </w:p>
        </w:tc>
      </w:tr>
      <w:tr w:rsidR="005B2032" w:rsidRPr="005B2032" w14:paraId="45314AAB" w14:textId="77777777" w:rsidTr="00A45498">
        <w:trPr>
          <w:trHeight w:val="397"/>
          <w:jc w:val="center"/>
        </w:trPr>
        <w:tc>
          <w:tcPr>
            <w:tcW w:w="2346" w:type="pct"/>
            <w:vAlign w:val="center"/>
            <w:hideMark/>
          </w:tcPr>
          <w:p w14:paraId="5A4BC997"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Заетост (СНС) [</w:t>
            </w:r>
            <w:r w:rsidRPr="005B2032">
              <w:rPr>
                <w:rFonts w:ascii="Times New Roman" w:hAnsi="Times New Roman"/>
                <w:color w:val="auto"/>
                <w:sz w:val="20"/>
                <w:szCs w:val="20"/>
                <w:lang w:val="en-US"/>
              </w:rPr>
              <w:t>%</w:t>
            </w:r>
            <w:r w:rsidRPr="005B2032">
              <w:rPr>
                <w:rFonts w:ascii="Times New Roman" w:hAnsi="Times New Roman"/>
                <w:color w:val="auto"/>
                <w:sz w:val="20"/>
                <w:szCs w:val="20"/>
                <w:lang w:val="bg-BG"/>
              </w:rPr>
              <w:t>]</w:t>
            </w:r>
          </w:p>
        </w:tc>
        <w:tc>
          <w:tcPr>
            <w:tcW w:w="653" w:type="pct"/>
            <w:vAlign w:val="center"/>
            <w:hideMark/>
          </w:tcPr>
          <w:p w14:paraId="288196C6"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-1.3%</w:t>
            </w:r>
          </w:p>
        </w:tc>
        <w:tc>
          <w:tcPr>
            <w:tcW w:w="696" w:type="pct"/>
            <w:vAlign w:val="center"/>
            <w:hideMark/>
          </w:tcPr>
          <w:p w14:paraId="0E81F982"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-1.6%</w:t>
            </w:r>
          </w:p>
        </w:tc>
        <w:tc>
          <w:tcPr>
            <w:tcW w:w="652" w:type="pct"/>
            <w:vAlign w:val="center"/>
            <w:hideMark/>
          </w:tcPr>
          <w:p w14:paraId="2B4D9FF5"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-1.4%</w:t>
            </w:r>
          </w:p>
        </w:tc>
        <w:tc>
          <w:tcPr>
            <w:tcW w:w="652" w:type="pct"/>
            <w:vAlign w:val="center"/>
            <w:hideMark/>
          </w:tcPr>
          <w:p w14:paraId="5BFE4887"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-0.9%</w:t>
            </w:r>
          </w:p>
        </w:tc>
      </w:tr>
      <w:tr w:rsidR="005B2032" w:rsidRPr="005B2032" w14:paraId="1F6DB6E3" w14:textId="77777777" w:rsidTr="00A45498">
        <w:trPr>
          <w:trHeight w:val="397"/>
          <w:jc w:val="center"/>
        </w:trPr>
        <w:tc>
          <w:tcPr>
            <w:tcW w:w="2346" w:type="pct"/>
            <w:vAlign w:val="center"/>
            <w:hideMark/>
          </w:tcPr>
          <w:p w14:paraId="0F0A63FB"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Коефициент на безработица (НРС) [пр.п.]</w:t>
            </w:r>
          </w:p>
        </w:tc>
        <w:tc>
          <w:tcPr>
            <w:tcW w:w="653" w:type="pct"/>
            <w:vAlign w:val="center"/>
            <w:hideMark/>
          </w:tcPr>
          <w:p w14:paraId="1CAA5034"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0.7</w:t>
            </w:r>
          </w:p>
        </w:tc>
        <w:tc>
          <w:tcPr>
            <w:tcW w:w="696" w:type="pct"/>
            <w:vAlign w:val="center"/>
            <w:hideMark/>
          </w:tcPr>
          <w:p w14:paraId="4CD3A153"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0.7</w:t>
            </w:r>
          </w:p>
        </w:tc>
        <w:tc>
          <w:tcPr>
            <w:tcW w:w="652" w:type="pct"/>
            <w:vAlign w:val="center"/>
            <w:hideMark/>
          </w:tcPr>
          <w:p w14:paraId="6DE0BD19"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0.6</w:t>
            </w:r>
          </w:p>
        </w:tc>
        <w:tc>
          <w:tcPr>
            <w:tcW w:w="652" w:type="pct"/>
            <w:vAlign w:val="center"/>
            <w:hideMark/>
          </w:tcPr>
          <w:p w14:paraId="61C36104"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0.4</w:t>
            </w:r>
          </w:p>
        </w:tc>
      </w:tr>
      <w:tr w:rsidR="005B2032" w:rsidRPr="005B2032" w14:paraId="06DF3D2A" w14:textId="77777777" w:rsidTr="00A45498">
        <w:trPr>
          <w:trHeight w:val="397"/>
          <w:jc w:val="center"/>
        </w:trPr>
        <w:tc>
          <w:tcPr>
            <w:tcW w:w="2346" w:type="pct"/>
            <w:vAlign w:val="center"/>
            <w:hideMark/>
          </w:tcPr>
          <w:p w14:paraId="4F0DF389"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Компенсация на наетите [пр.п.]</w:t>
            </w:r>
          </w:p>
        </w:tc>
        <w:tc>
          <w:tcPr>
            <w:tcW w:w="653" w:type="pct"/>
            <w:vAlign w:val="center"/>
            <w:hideMark/>
          </w:tcPr>
          <w:p w14:paraId="6544BD23"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-2.1</w:t>
            </w:r>
          </w:p>
        </w:tc>
        <w:tc>
          <w:tcPr>
            <w:tcW w:w="696" w:type="pct"/>
            <w:vAlign w:val="center"/>
            <w:hideMark/>
          </w:tcPr>
          <w:p w14:paraId="1918D6E9"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-1.5</w:t>
            </w:r>
          </w:p>
        </w:tc>
        <w:tc>
          <w:tcPr>
            <w:tcW w:w="652" w:type="pct"/>
            <w:vAlign w:val="center"/>
            <w:hideMark/>
          </w:tcPr>
          <w:p w14:paraId="68F97166"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c>
          <w:tcPr>
            <w:tcW w:w="652" w:type="pct"/>
            <w:vAlign w:val="center"/>
            <w:hideMark/>
          </w:tcPr>
          <w:p w14:paraId="44803E34"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r>
      <w:tr w:rsidR="005B2032" w:rsidRPr="005B2032" w14:paraId="03FD7E29" w14:textId="77777777" w:rsidTr="00A45498">
        <w:trPr>
          <w:trHeight w:val="397"/>
          <w:jc w:val="center"/>
        </w:trPr>
        <w:tc>
          <w:tcPr>
            <w:tcW w:w="2346" w:type="pct"/>
            <w:vAlign w:val="center"/>
            <w:hideMark/>
          </w:tcPr>
          <w:p w14:paraId="3D3A39CB"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Дефлатор на БВП [пр.п.]</w:t>
            </w:r>
          </w:p>
        </w:tc>
        <w:tc>
          <w:tcPr>
            <w:tcW w:w="653" w:type="pct"/>
            <w:vAlign w:val="center"/>
            <w:hideMark/>
          </w:tcPr>
          <w:p w14:paraId="7DC7E9CC"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1.4</w:t>
            </w:r>
          </w:p>
        </w:tc>
        <w:tc>
          <w:tcPr>
            <w:tcW w:w="696" w:type="pct"/>
            <w:vAlign w:val="center"/>
            <w:hideMark/>
          </w:tcPr>
          <w:p w14:paraId="79613B21"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1.1</w:t>
            </w:r>
          </w:p>
        </w:tc>
        <w:tc>
          <w:tcPr>
            <w:tcW w:w="652" w:type="pct"/>
            <w:vAlign w:val="center"/>
            <w:hideMark/>
          </w:tcPr>
          <w:p w14:paraId="2226634A"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-0.9</w:t>
            </w:r>
          </w:p>
        </w:tc>
        <w:tc>
          <w:tcPr>
            <w:tcW w:w="652" w:type="pct"/>
            <w:vAlign w:val="center"/>
            <w:hideMark/>
          </w:tcPr>
          <w:p w14:paraId="35BBE2ED"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r>
      <w:tr w:rsidR="005B2032" w:rsidRPr="005B2032" w14:paraId="78710B93" w14:textId="77777777" w:rsidTr="00A45498">
        <w:trPr>
          <w:trHeight w:val="397"/>
          <w:jc w:val="center"/>
        </w:trPr>
        <w:tc>
          <w:tcPr>
            <w:tcW w:w="2346" w:type="pct"/>
            <w:vAlign w:val="center"/>
            <w:hideMark/>
          </w:tcPr>
          <w:p w14:paraId="2EDD9920"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Средногодишна инфлация (ХИПЦ) [пр.п.]</w:t>
            </w:r>
          </w:p>
        </w:tc>
        <w:tc>
          <w:tcPr>
            <w:tcW w:w="653" w:type="pct"/>
            <w:vAlign w:val="center"/>
            <w:hideMark/>
          </w:tcPr>
          <w:p w14:paraId="06483D3D"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2.9</w:t>
            </w:r>
          </w:p>
        </w:tc>
        <w:tc>
          <w:tcPr>
            <w:tcW w:w="696" w:type="pct"/>
            <w:vAlign w:val="center"/>
            <w:hideMark/>
          </w:tcPr>
          <w:p w14:paraId="1C62141F"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2.2</w:t>
            </w:r>
          </w:p>
        </w:tc>
        <w:tc>
          <w:tcPr>
            <w:tcW w:w="652" w:type="pct"/>
            <w:vAlign w:val="center"/>
            <w:hideMark/>
          </w:tcPr>
          <w:p w14:paraId="79AA9D42"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-0.3</w:t>
            </w:r>
          </w:p>
        </w:tc>
        <w:tc>
          <w:tcPr>
            <w:tcW w:w="652" w:type="pct"/>
            <w:vAlign w:val="center"/>
            <w:hideMark/>
          </w:tcPr>
          <w:p w14:paraId="215FEF6E"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0.0</w:t>
            </w:r>
          </w:p>
        </w:tc>
      </w:tr>
      <w:tr w:rsidR="005B2032" w:rsidRPr="005B2032" w14:paraId="6CEAD806" w14:textId="77777777" w:rsidTr="00A45498">
        <w:trPr>
          <w:trHeight w:val="397"/>
          <w:jc w:val="center"/>
        </w:trPr>
        <w:tc>
          <w:tcPr>
            <w:tcW w:w="2346" w:type="pct"/>
            <w:vAlign w:val="center"/>
            <w:hideMark/>
          </w:tcPr>
          <w:p w14:paraId="23D60495" w14:textId="77777777" w:rsidR="001C65FE" w:rsidRPr="005B2032" w:rsidRDefault="001C65FE" w:rsidP="00D84327">
            <w:pPr>
              <w:pStyle w:val="a6"/>
              <w:jc w:val="left"/>
              <w:rPr>
                <w:rFonts w:ascii="Times New Roman" w:hAnsi="Times New Roman"/>
                <w:b/>
                <w:color w:val="auto"/>
                <w:sz w:val="20"/>
                <w:szCs w:val="20"/>
                <w:lang w:val="bg-BG"/>
              </w:rPr>
            </w:pPr>
            <w:r w:rsidRPr="005B2032">
              <w:rPr>
                <w:rFonts w:ascii="Times New Roman" w:hAnsi="Times New Roman"/>
                <w:b/>
                <w:bCs/>
                <w:color w:val="auto"/>
                <w:sz w:val="20"/>
                <w:szCs w:val="20"/>
                <w:lang w:val="bg-BG"/>
              </w:rPr>
              <w:t>ПЛАТЕЖЕН БАЛАНС</w:t>
            </w:r>
          </w:p>
        </w:tc>
        <w:tc>
          <w:tcPr>
            <w:tcW w:w="653" w:type="pct"/>
            <w:vAlign w:val="center"/>
          </w:tcPr>
          <w:p w14:paraId="647A9D78" w14:textId="77777777" w:rsidR="001C65FE" w:rsidRPr="005B2032" w:rsidRDefault="001C65FE" w:rsidP="00D84327">
            <w:pPr>
              <w:pStyle w:val="a6"/>
              <w:jc w:val="right"/>
              <w:rPr>
                <w:rFonts w:ascii="Times New Roman" w:hAnsi="Times New Roman"/>
                <w:color w:val="auto"/>
                <w:sz w:val="20"/>
                <w:szCs w:val="20"/>
                <w:lang w:val="bg-BG"/>
              </w:rPr>
            </w:pPr>
          </w:p>
        </w:tc>
        <w:tc>
          <w:tcPr>
            <w:tcW w:w="696" w:type="pct"/>
            <w:vAlign w:val="center"/>
          </w:tcPr>
          <w:p w14:paraId="4EF80086" w14:textId="77777777" w:rsidR="001C65FE" w:rsidRPr="005B2032" w:rsidRDefault="001C65FE" w:rsidP="00D84327">
            <w:pPr>
              <w:pStyle w:val="a6"/>
              <w:jc w:val="right"/>
              <w:rPr>
                <w:rFonts w:ascii="Times New Roman" w:hAnsi="Times New Roman"/>
                <w:color w:val="auto"/>
                <w:sz w:val="20"/>
                <w:szCs w:val="20"/>
                <w:lang w:val="bg-BG"/>
              </w:rPr>
            </w:pPr>
          </w:p>
        </w:tc>
        <w:tc>
          <w:tcPr>
            <w:tcW w:w="652" w:type="pct"/>
            <w:vAlign w:val="center"/>
          </w:tcPr>
          <w:p w14:paraId="1B38FF28" w14:textId="77777777" w:rsidR="001C65FE" w:rsidRPr="005B2032" w:rsidRDefault="001C65FE" w:rsidP="00D84327">
            <w:pPr>
              <w:pStyle w:val="a6"/>
              <w:jc w:val="right"/>
              <w:rPr>
                <w:rFonts w:ascii="Times New Roman" w:hAnsi="Times New Roman"/>
                <w:color w:val="auto"/>
                <w:sz w:val="20"/>
                <w:szCs w:val="20"/>
                <w:lang w:val="bg-BG"/>
              </w:rPr>
            </w:pPr>
          </w:p>
        </w:tc>
        <w:tc>
          <w:tcPr>
            <w:tcW w:w="652" w:type="pct"/>
            <w:vAlign w:val="center"/>
          </w:tcPr>
          <w:p w14:paraId="74A15946" w14:textId="77777777" w:rsidR="001C65FE" w:rsidRPr="005B2032" w:rsidRDefault="001C65FE" w:rsidP="00D84327">
            <w:pPr>
              <w:pStyle w:val="a6"/>
              <w:jc w:val="right"/>
              <w:rPr>
                <w:rFonts w:ascii="Times New Roman" w:hAnsi="Times New Roman"/>
                <w:color w:val="auto"/>
                <w:sz w:val="20"/>
                <w:szCs w:val="20"/>
                <w:lang w:val="bg-BG"/>
              </w:rPr>
            </w:pPr>
          </w:p>
        </w:tc>
      </w:tr>
      <w:tr w:rsidR="005B2032" w:rsidRPr="005B2032" w14:paraId="0CEF3F56" w14:textId="77777777" w:rsidTr="00A45498">
        <w:trPr>
          <w:trHeight w:val="397"/>
          <w:jc w:val="center"/>
        </w:trPr>
        <w:tc>
          <w:tcPr>
            <w:tcW w:w="2346" w:type="pct"/>
            <w:vAlign w:val="center"/>
            <w:hideMark/>
          </w:tcPr>
          <w:p w14:paraId="086E594A" w14:textId="77777777" w:rsidR="001C65FE" w:rsidRPr="005B2032" w:rsidRDefault="001C65FE" w:rsidP="00D84327">
            <w:pPr>
              <w:pStyle w:val="a6"/>
              <w:jc w:val="left"/>
              <w:rPr>
                <w:rFonts w:ascii="Times New Roman" w:hAnsi="Times New Roman"/>
                <w:color w:val="auto"/>
                <w:sz w:val="20"/>
                <w:szCs w:val="20"/>
                <w:lang w:val="bg-BG"/>
              </w:rPr>
            </w:pPr>
            <w:r w:rsidRPr="005B2032">
              <w:rPr>
                <w:rFonts w:ascii="Times New Roman" w:hAnsi="Times New Roman"/>
                <w:color w:val="auto"/>
                <w:sz w:val="20"/>
                <w:szCs w:val="20"/>
                <w:lang w:val="bg-BG"/>
              </w:rPr>
              <w:t xml:space="preserve">   Текуща сметка % БВП [пр.п.]</w:t>
            </w:r>
          </w:p>
        </w:tc>
        <w:tc>
          <w:tcPr>
            <w:tcW w:w="653" w:type="pct"/>
            <w:vAlign w:val="center"/>
            <w:hideMark/>
          </w:tcPr>
          <w:p w14:paraId="0C643025"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2.4</w:t>
            </w:r>
          </w:p>
        </w:tc>
        <w:tc>
          <w:tcPr>
            <w:tcW w:w="696" w:type="pct"/>
            <w:vAlign w:val="center"/>
            <w:hideMark/>
          </w:tcPr>
          <w:p w14:paraId="7A97C11F"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1.8</w:t>
            </w:r>
          </w:p>
        </w:tc>
        <w:tc>
          <w:tcPr>
            <w:tcW w:w="652" w:type="pct"/>
            <w:vAlign w:val="center"/>
            <w:hideMark/>
          </w:tcPr>
          <w:p w14:paraId="2AD8BF9E"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1.1</w:t>
            </w:r>
          </w:p>
        </w:tc>
        <w:tc>
          <w:tcPr>
            <w:tcW w:w="652" w:type="pct"/>
            <w:vAlign w:val="center"/>
            <w:hideMark/>
          </w:tcPr>
          <w:p w14:paraId="583BE5E4" w14:textId="77777777" w:rsidR="001C65FE" w:rsidRPr="005B2032" w:rsidRDefault="001C65FE" w:rsidP="00D84327">
            <w:pPr>
              <w:pStyle w:val="a6"/>
              <w:jc w:val="right"/>
              <w:rPr>
                <w:rFonts w:ascii="Times New Roman" w:hAnsi="Times New Roman"/>
                <w:color w:val="auto"/>
                <w:sz w:val="20"/>
                <w:szCs w:val="20"/>
                <w:lang w:val="bg-BG"/>
              </w:rPr>
            </w:pPr>
            <w:r w:rsidRPr="005B2032">
              <w:rPr>
                <w:rFonts w:ascii="Times New Roman" w:hAnsi="Times New Roman"/>
                <w:color w:val="auto"/>
                <w:sz w:val="20"/>
                <w:szCs w:val="20"/>
              </w:rPr>
              <w:t>1.2</w:t>
            </w:r>
          </w:p>
        </w:tc>
      </w:tr>
    </w:tbl>
    <w:p w14:paraId="1E9EEC6D" w14:textId="515D821C" w:rsidR="00A444EF" w:rsidRPr="005B2032" w:rsidRDefault="001C65FE" w:rsidP="00EF1895">
      <w:pPr>
        <w:pStyle w:val="a"/>
        <w:rPr>
          <w:rFonts w:asciiTheme="minorHAnsi" w:hAnsiTheme="minorHAnsi" w:cstheme="minorHAnsi"/>
        </w:rPr>
      </w:pPr>
      <w:r w:rsidRPr="005B2032">
        <w:t>Източник: МФ</w:t>
      </w:r>
    </w:p>
    <w:p w14:paraId="3185575D" w14:textId="08FD1685" w:rsidR="001C65FE" w:rsidRPr="00D661BA" w:rsidRDefault="001C65FE" w:rsidP="005F0B57">
      <w:pPr>
        <w:pStyle w:val="Heading2"/>
        <w:numPr>
          <w:ilvl w:val="1"/>
          <w:numId w:val="9"/>
        </w:numPr>
      </w:pPr>
      <w:bookmarkStart w:id="94" w:name="_Toc69812286"/>
      <w:bookmarkStart w:id="95" w:name="_Toc100906076"/>
      <w:bookmarkStart w:id="96" w:name="_Toc352851606"/>
      <w:bookmarkStart w:id="97" w:name="_Toc448227296"/>
      <w:bookmarkStart w:id="98" w:name="_Toc479332445"/>
      <w:bookmarkEnd w:id="91"/>
      <w:bookmarkEnd w:id="92"/>
      <w:bookmarkEnd w:id="93"/>
      <w:r w:rsidRPr="00D661BA">
        <w:t>Чувствителност на бюджетните прогнози при различни сценарии</w:t>
      </w:r>
      <w:bookmarkEnd w:id="94"/>
      <w:bookmarkEnd w:id="95"/>
    </w:p>
    <w:p w14:paraId="2C912172" w14:textId="77777777" w:rsidR="001C65FE" w:rsidRPr="005B2032" w:rsidRDefault="001C65FE" w:rsidP="00D72B5F">
      <w:r w:rsidRPr="005B2032">
        <w:t>Анализът на чувствителността представя промяната върху основни бюджетни параметри, която би настъпила при реализиране на алтернативния макроикономически сценарий.</w:t>
      </w:r>
    </w:p>
    <w:p w14:paraId="56BCCAAF" w14:textId="2122191C" w:rsidR="001C65FE" w:rsidRPr="005B2032" w:rsidRDefault="001C65FE" w:rsidP="00D72B5F">
      <w:r w:rsidRPr="005B2032">
        <w:t>При алтернативния сценарий БВП по текущи цени е по-нисък в периода 2022</w:t>
      </w:r>
      <w:r w:rsidR="008010F6">
        <w:rPr>
          <w:rFonts w:cstheme="minorHAnsi"/>
          <w:lang w:val="en-US"/>
        </w:rPr>
        <w:t>–</w:t>
      </w:r>
      <w:r w:rsidRPr="005B2032">
        <w:t>2025</w:t>
      </w:r>
      <w:r w:rsidR="00DF07FD">
        <w:t> г.</w:t>
      </w:r>
      <w:r w:rsidRPr="005B2032">
        <w:t>, което има отрицателен ефект върху данъчните постъпления и съответно общите бюджетни приходи. Основен принос имат по-ниските постъпления от социално- и здравно-осигурителни вноски и данък върху доходите поради по ниското ниво на компенсация на наетите. Намалението на общите приходи спрямо базовия сценарий е в рамките на 0.7</w:t>
      </w:r>
      <w:r w:rsidR="008010F6">
        <w:rPr>
          <w:rFonts w:cstheme="minorHAnsi"/>
          <w:lang w:val="en-US"/>
        </w:rPr>
        <w:t>–</w:t>
      </w:r>
      <w:r w:rsidRPr="005B2032">
        <w:t>0.8%. В резултат от изменението в приходите и по-ниското ниво на БВП, бюджетният баланс би се влошил с 0.3 пр.п. средно за периода.</w:t>
      </w:r>
    </w:p>
    <w:p w14:paraId="5DF06E81" w14:textId="6F1DE4C9" w:rsidR="00B45498" w:rsidRPr="005B2032" w:rsidRDefault="001C65FE" w:rsidP="00D72B5F">
      <w:pPr>
        <w:rPr>
          <w:rFonts w:asciiTheme="minorHAnsi" w:eastAsia="Calibri" w:hAnsiTheme="minorHAnsi" w:cstheme="minorHAnsi"/>
        </w:rPr>
      </w:pPr>
      <w:r w:rsidRPr="005B2032">
        <w:t xml:space="preserve">Промяната в допусканията се отразява в повишение на държавния дълг, като процент от БВП, поради по-високите бюджетни дефицити и по-ниското равнище на БВП по текущи цени като разликата е в рамките до 1 пр.п. за </w:t>
      </w:r>
      <w:r w:rsidR="00872236">
        <w:t xml:space="preserve">годините от разглеждания </w:t>
      </w:r>
      <w:r w:rsidRPr="005B2032">
        <w:t>период.</w:t>
      </w:r>
    </w:p>
    <w:p w14:paraId="34DCEB5D" w14:textId="0E8E8B47" w:rsidR="001C65FE" w:rsidRPr="00D661BA" w:rsidRDefault="001C65FE" w:rsidP="005F0B57">
      <w:pPr>
        <w:pStyle w:val="Heading2"/>
        <w:numPr>
          <w:ilvl w:val="1"/>
          <w:numId w:val="9"/>
        </w:numPr>
      </w:pPr>
      <w:bookmarkStart w:id="99" w:name="_Toc69812287"/>
      <w:bookmarkStart w:id="100" w:name="_Toc100906077"/>
      <w:r w:rsidRPr="00D661BA">
        <w:t>Сравнение с предходната програма</w:t>
      </w:r>
      <w:bookmarkEnd w:id="99"/>
      <w:bookmarkEnd w:id="100"/>
    </w:p>
    <w:p w14:paraId="48BA40C9" w14:textId="11083F51" w:rsidR="001C65FE" w:rsidRPr="005B2032" w:rsidRDefault="001C65FE" w:rsidP="00D72B5F">
      <w:r w:rsidRPr="005B2032">
        <w:t>През 2021</w:t>
      </w:r>
      <w:r w:rsidR="00DF07FD">
        <w:t> г.</w:t>
      </w:r>
      <w:r w:rsidRPr="005B2032">
        <w:t xml:space="preserve"> българската икономика нарасна с 4.2% при очакван растеж от 2.7% в предходната Конвергентна програма. По-високото нарастване се дължеше на по-висок от очаквания растеж на потреблението. Той от една страна се дължеше на по-голямо нарастване на разполагаемия доход на домакинствата, по линия на компенсацията на наетите </w:t>
      </w:r>
      <w:r w:rsidRPr="005B2032">
        <w:lastRenderedPageBreak/>
        <w:t>и пенсиите, а от друга на липсата на негативен ефект породен от ограничителните мерки срещу разпространението на COVID-19.</w:t>
      </w:r>
    </w:p>
    <w:p w14:paraId="2C5436E9" w14:textId="21E5A00F" w:rsidR="001C65FE" w:rsidRPr="005B2032" w:rsidRDefault="001C65FE" w:rsidP="00D72B5F">
      <w:r w:rsidRPr="005B2032">
        <w:t>В настоящата Конвергентна програма се очаква по-нисък икономически растеж за 2022</w:t>
      </w:r>
      <w:r w:rsidR="008010F6">
        <w:rPr>
          <w:rFonts w:cstheme="minorHAnsi"/>
          <w:lang w:val="en-US"/>
        </w:rPr>
        <w:t>–</w:t>
      </w:r>
      <w:r w:rsidRPr="005B2032">
        <w:t>2023</w:t>
      </w:r>
      <w:r w:rsidR="00DF07FD">
        <w:t> г.</w:t>
      </w:r>
      <w:r w:rsidRPr="005B2032">
        <w:t xml:space="preserve"> Причина за това е руската инвазия в Украйна, която промени икономическите перспективи за ЕС и България. Военният конфликт доведе до повишаване на цените на енергията и основни суровини, което ще се отрази негативно на покупателната способност на домакинствата. Вследствие на войната и наложените санкции върху РФ се очакват нарушения на международната търговия и затруднения по веригите на доставки, което ще ограничи износа на стоки. С постепенното преодоляване на последиците от военния конфликт и възстановяването на външната среда се очаква по-висок растеж на БВП през 2024</w:t>
      </w:r>
      <w:r w:rsidR="00DF07FD">
        <w:t> г.</w:t>
      </w:r>
      <w:r w:rsidRPr="005B2032">
        <w:t xml:space="preserve"> За целия разглеждан период прогнозата за растежа на инвестициите е завишена поради очакване за положителни ефекти по линия на НПВУ.</w:t>
      </w:r>
    </w:p>
    <w:p w14:paraId="35CB64F5" w14:textId="15FE4452" w:rsidR="001C65FE" w:rsidRPr="005B2032" w:rsidRDefault="00872236" w:rsidP="00D72B5F">
      <w:r>
        <w:t>Растежът</w:t>
      </w:r>
      <w:r w:rsidR="001C65FE" w:rsidRPr="005B2032">
        <w:t xml:space="preserve"> на заетостта през 2021</w:t>
      </w:r>
      <w:r w:rsidR="00DF07FD">
        <w:t> г.</w:t>
      </w:r>
      <w:r w:rsidR="001C65FE" w:rsidRPr="005B2032">
        <w:t xml:space="preserve"> бе близък до прогнозирания в предходната Конвергентна програма, макар и малко по-нисък. Причина за последното е, че възстановяването на заетостта в някои дейности на услугите бяха новите вълни на COVID-19 през втората половина на годината, наложили удължаването на извънредното епидемиологично положение в страната и по-слабата активност на фирмите от сферата на туризма. По-високият коефициент на безработица основно се дължи на методологични промени в провеждането на Наблюдението на работна сила в началото на 2021</w:t>
      </w:r>
      <w:r w:rsidR="00DF07FD">
        <w:t> г.</w:t>
      </w:r>
    </w:p>
    <w:p w14:paraId="56ECDC73" w14:textId="2EE10F4C" w:rsidR="001C65FE" w:rsidRPr="005B2032" w:rsidRDefault="001C65FE" w:rsidP="00D661BA">
      <w:r w:rsidRPr="005B2032">
        <w:t xml:space="preserve">В настоящата Конвергентна програма е заложен по-висок </w:t>
      </w:r>
      <w:r w:rsidR="00872236">
        <w:t>растеж</w:t>
      </w:r>
      <w:r w:rsidRPr="005B2032">
        <w:t xml:space="preserve"> на заетостта през 2022</w:t>
      </w:r>
      <w:r w:rsidR="00DF07FD">
        <w:t> г.</w:t>
      </w:r>
      <w:r w:rsidRPr="005B2032">
        <w:t>, което се дължи основно на очаквания приток на украински бежанци в страната, една част от които се очаква да бъде абсорбирана на българския пазар на труда. (Българските работодатели обявиха готовност за откриване на близо 200 хиляди нови работни места.) Все пак, този входящ поток от заети чужденци не оказва съществено влияние върху динамиката на безработицата в страната, поради което и не се предвиждат големи различия в измененията на коефициента на безработица спрямо предходната програма. Същото се отнася и за 2023</w:t>
      </w:r>
      <w:r w:rsidR="008010F6">
        <w:rPr>
          <w:rFonts w:cstheme="minorHAnsi"/>
          <w:lang w:val="en-US"/>
        </w:rPr>
        <w:t>–</w:t>
      </w:r>
      <w:r w:rsidRPr="005B2032">
        <w:t>2024</w:t>
      </w:r>
      <w:r w:rsidR="00DF07FD">
        <w:t> г.</w:t>
      </w:r>
      <w:r w:rsidRPr="005B2032">
        <w:t>, като и в настоящата и предишната прогноза се очаква коефициента на безработица да достигне подобни равнища през последната година на програмния период.</w:t>
      </w:r>
    </w:p>
    <w:p w14:paraId="57D212A0" w14:textId="43482CF5" w:rsidR="001C65FE" w:rsidRPr="004A5A84" w:rsidRDefault="001C65FE" w:rsidP="004A5A84">
      <w:pPr>
        <w:pStyle w:val="Caption"/>
      </w:pPr>
      <w:r w:rsidRPr="004A5A84">
        <w:t>Табл. 4-3</w:t>
      </w:r>
      <w:r w:rsidR="004A5A84">
        <w:t>:</w:t>
      </w:r>
      <w:r w:rsidRPr="004A5A84">
        <w:t xml:space="preserve"> Основни макроикономически показатели</w:t>
      </w:r>
    </w:p>
    <w:tbl>
      <w:tblPr>
        <w:tblW w:w="55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70" w:type="dxa"/>
          <w:right w:w="70" w:type="dxa"/>
        </w:tblCellMar>
        <w:tblLook w:val="04A0" w:firstRow="1" w:lastRow="0" w:firstColumn="1" w:lastColumn="0" w:noHBand="0" w:noVBand="1"/>
      </w:tblPr>
      <w:tblGrid>
        <w:gridCol w:w="1630"/>
        <w:gridCol w:w="694"/>
        <w:gridCol w:w="694"/>
        <w:gridCol w:w="695"/>
        <w:gridCol w:w="695"/>
        <w:gridCol w:w="695"/>
        <w:gridCol w:w="696"/>
        <w:gridCol w:w="695"/>
        <w:gridCol w:w="695"/>
        <w:gridCol w:w="695"/>
        <w:gridCol w:w="695"/>
        <w:gridCol w:w="695"/>
        <w:gridCol w:w="696"/>
      </w:tblGrid>
      <w:tr w:rsidR="005B2032" w:rsidRPr="004A5A84" w14:paraId="4321F3BD" w14:textId="77777777" w:rsidTr="00A45498">
        <w:trPr>
          <w:trHeight w:val="315"/>
          <w:jc w:val="center"/>
        </w:trPr>
        <w:tc>
          <w:tcPr>
            <w:tcW w:w="1775" w:type="dxa"/>
            <w:vMerge w:val="restart"/>
            <w:shd w:val="clear" w:color="auto" w:fill="D7D4F1"/>
            <w:vAlign w:val="center"/>
            <w:hideMark/>
          </w:tcPr>
          <w:p w14:paraId="31215EB7" w14:textId="77777777" w:rsidR="001C65FE" w:rsidRPr="004A5A84" w:rsidRDefault="001C65FE" w:rsidP="00D84327">
            <w:pPr>
              <w:jc w:val="left"/>
              <w:rPr>
                <w:rFonts w:asciiTheme="minorHAnsi" w:hAnsiTheme="minorHAnsi" w:cstheme="minorHAnsi"/>
                <w:noProof/>
                <w:w w:val="90"/>
                <w:sz w:val="18"/>
                <w:szCs w:val="18"/>
              </w:rPr>
            </w:pPr>
          </w:p>
        </w:tc>
        <w:tc>
          <w:tcPr>
            <w:tcW w:w="2241" w:type="dxa"/>
            <w:gridSpan w:val="3"/>
            <w:shd w:val="clear" w:color="auto" w:fill="D7D4F1"/>
            <w:noWrap/>
            <w:vAlign w:val="center"/>
            <w:hideMark/>
          </w:tcPr>
          <w:p w14:paraId="683B5D1B" w14:textId="77777777" w:rsidR="001C65FE" w:rsidRPr="004A5A84" w:rsidRDefault="001C65FE" w:rsidP="00D84327">
            <w:pPr>
              <w:keepLines/>
              <w:spacing w:after="0"/>
              <w:jc w:val="center"/>
              <w:rPr>
                <w:rFonts w:asciiTheme="minorHAnsi" w:eastAsia="Times New Roman" w:hAnsiTheme="minorHAnsi" w:cstheme="minorHAnsi"/>
                <w:b/>
                <w:bCs/>
                <w:w w:val="90"/>
                <w:sz w:val="18"/>
                <w:szCs w:val="18"/>
                <w:lang w:val="en-US"/>
              </w:rPr>
            </w:pPr>
            <w:r w:rsidRPr="004A5A84">
              <w:rPr>
                <w:rFonts w:asciiTheme="minorHAnsi" w:eastAsia="Times New Roman" w:hAnsiTheme="minorHAnsi" w:cstheme="minorHAnsi"/>
                <w:b/>
                <w:bCs/>
                <w:w w:val="90"/>
                <w:sz w:val="18"/>
                <w:szCs w:val="18"/>
              </w:rPr>
              <w:t>20</w:t>
            </w:r>
            <w:r w:rsidRPr="004A5A84">
              <w:rPr>
                <w:rFonts w:asciiTheme="minorHAnsi" w:eastAsia="Times New Roman" w:hAnsiTheme="minorHAnsi" w:cstheme="minorHAnsi"/>
                <w:b/>
                <w:bCs/>
                <w:w w:val="90"/>
                <w:sz w:val="18"/>
                <w:szCs w:val="18"/>
                <w:lang w:val="en-US"/>
              </w:rPr>
              <w:t>21</w:t>
            </w:r>
          </w:p>
        </w:tc>
        <w:tc>
          <w:tcPr>
            <w:tcW w:w="2242" w:type="dxa"/>
            <w:gridSpan w:val="3"/>
            <w:shd w:val="clear" w:color="auto" w:fill="D7D4F1"/>
            <w:noWrap/>
            <w:vAlign w:val="center"/>
            <w:hideMark/>
          </w:tcPr>
          <w:p w14:paraId="486FD1B7" w14:textId="77777777" w:rsidR="001C65FE" w:rsidRPr="004A5A84" w:rsidRDefault="001C65FE" w:rsidP="00D84327">
            <w:pPr>
              <w:keepLines/>
              <w:spacing w:after="0"/>
              <w:jc w:val="center"/>
              <w:rPr>
                <w:rFonts w:asciiTheme="minorHAnsi" w:eastAsia="Times New Roman" w:hAnsiTheme="minorHAnsi" w:cstheme="minorHAnsi"/>
                <w:b/>
                <w:bCs/>
                <w:w w:val="90"/>
                <w:sz w:val="18"/>
                <w:szCs w:val="18"/>
                <w:lang w:val="en-US"/>
              </w:rPr>
            </w:pPr>
            <w:r w:rsidRPr="004A5A84">
              <w:rPr>
                <w:rFonts w:asciiTheme="minorHAnsi" w:eastAsia="Times New Roman" w:hAnsiTheme="minorHAnsi" w:cstheme="minorHAnsi"/>
                <w:b/>
                <w:bCs/>
                <w:w w:val="90"/>
                <w:sz w:val="18"/>
                <w:szCs w:val="18"/>
              </w:rPr>
              <w:t>20</w:t>
            </w:r>
            <w:r w:rsidRPr="004A5A84">
              <w:rPr>
                <w:rFonts w:asciiTheme="minorHAnsi" w:eastAsia="Times New Roman" w:hAnsiTheme="minorHAnsi" w:cstheme="minorHAnsi"/>
                <w:b/>
                <w:bCs/>
                <w:w w:val="90"/>
                <w:sz w:val="18"/>
                <w:szCs w:val="18"/>
                <w:lang w:val="en-US"/>
              </w:rPr>
              <w:t>22</w:t>
            </w:r>
          </w:p>
        </w:tc>
        <w:tc>
          <w:tcPr>
            <w:tcW w:w="2241" w:type="dxa"/>
            <w:gridSpan w:val="3"/>
            <w:shd w:val="clear" w:color="auto" w:fill="D7D4F1"/>
            <w:noWrap/>
            <w:vAlign w:val="center"/>
            <w:hideMark/>
          </w:tcPr>
          <w:p w14:paraId="04CD2B75" w14:textId="77777777" w:rsidR="001C65FE" w:rsidRPr="004A5A84" w:rsidRDefault="001C65FE" w:rsidP="00D84327">
            <w:pPr>
              <w:keepLines/>
              <w:spacing w:after="0"/>
              <w:jc w:val="center"/>
              <w:rPr>
                <w:rFonts w:asciiTheme="minorHAnsi" w:eastAsia="Times New Roman" w:hAnsiTheme="minorHAnsi" w:cstheme="minorHAnsi"/>
                <w:b/>
                <w:bCs/>
                <w:w w:val="90"/>
                <w:sz w:val="18"/>
                <w:szCs w:val="18"/>
                <w:lang w:val="en-US"/>
              </w:rPr>
            </w:pPr>
            <w:r w:rsidRPr="004A5A84">
              <w:rPr>
                <w:rFonts w:asciiTheme="minorHAnsi" w:eastAsia="Times New Roman" w:hAnsiTheme="minorHAnsi" w:cstheme="minorHAnsi"/>
                <w:b/>
                <w:bCs/>
                <w:w w:val="90"/>
                <w:sz w:val="18"/>
                <w:szCs w:val="18"/>
              </w:rPr>
              <w:t>202</w:t>
            </w:r>
            <w:r w:rsidRPr="004A5A84">
              <w:rPr>
                <w:rFonts w:asciiTheme="minorHAnsi" w:eastAsia="Times New Roman" w:hAnsiTheme="minorHAnsi" w:cstheme="minorHAnsi"/>
                <w:b/>
                <w:bCs/>
                <w:w w:val="90"/>
                <w:sz w:val="18"/>
                <w:szCs w:val="18"/>
                <w:lang w:val="en-US"/>
              </w:rPr>
              <w:t>3</w:t>
            </w:r>
          </w:p>
        </w:tc>
        <w:tc>
          <w:tcPr>
            <w:tcW w:w="2242" w:type="dxa"/>
            <w:gridSpan w:val="3"/>
            <w:shd w:val="clear" w:color="auto" w:fill="D7D4F1"/>
            <w:noWrap/>
            <w:vAlign w:val="center"/>
            <w:hideMark/>
          </w:tcPr>
          <w:p w14:paraId="4E08D00A" w14:textId="77777777" w:rsidR="001C65FE" w:rsidRPr="004A5A84" w:rsidRDefault="001C65FE" w:rsidP="00D84327">
            <w:pPr>
              <w:keepLines/>
              <w:spacing w:after="0"/>
              <w:jc w:val="center"/>
              <w:rPr>
                <w:rFonts w:asciiTheme="minorHAnsi" w:eastAsia="Times New Roman" w:hAnsiTheme="minorHAnsi" w:cstheme="minorHAnsi"/>
                <w:b/>
                <w:bCs/>
                <w:w w:val="90"/>
                <w:sz w:val="18"/>
                <w:szCs w:val="18"/>
                <w:lang w:val="en-US"/>
              </w:rPr>
            </w:pPr>
            <w:r w:rsidRPr="004A5A84">
              <w:rPr>
                <w:rFonts w:asciiTheme="minorHAnsi" w:eastAsia="Times New Roman" w:hAnsiTheme="minorHAnsi" w:cstheme="minorHAnsi"/>
                <w:b/>
                <w:bCs/>
                <w:w w:val="90"/>
                <w:sz w:val="18"/>
                <w:szCs w:val="18"/>
              </w:rPr>
              <w:t>202</w:t>
            </w:r>
            <w:r w:rsidRPr="004A5A84">
              <w:rPr>
                <w:rFonts w:asciiTheme="minorHAnsi" w:eastAsia="Times New Roman" w:hAnsiTheme="minorHAnsi" w:cstheme="minorHAnsi"/>
                <w:b/>
                <w:bCs/>
                <w:w w:val="90"/>
                <w:sz w:val="18"/>
                <w:szCs w:val="18"/>
                <w:lang w:val="en-US"/>
              </w:rPr>
              <w:t>4</w:t>
            </w:r>
          </w:p>
        </w:tc>
      </w:tr>
      <w:tr w:rsidR="005B2032" w:rsidRPr="004A5A84" w14:paraId="025CAD99" w14:textId="77777777" w:rsidTr="00A45498">
        <w:trPr>
          <w:trHeight w:val="315"/>
          <w:jc w:val="center"/>
        </w:trPr>
        <w:tc>
          <w:tcPr>
            <w:tcW w:w="1775" w:type="dxa"/>
            <w:vMerge/>
            <w:shd w:val="clear" w:color="auto" w:fill="D7D4F1"/>
            <w:vAlign w:val="center"/>
            <w:hideMark/>
          </w:tcPr>
          <w:p w14:paraId="089066EA" w14:textId="77777777" w:rsidR="001C65FE" w:rsidRPr="004A5A84" w:rsidRDefault="001C65FE" w:rsidP="00D84327">
            <w:pPr>
              <w:spacing w:after="0"/>
              <w:jc w:val="left"/>
              <w:rPr>
                <w:rFonts w:asciiTheme="minorHAnsi" w:hAnsiTheme="minorHAnsi" w:cstheme="minorHAnsi"/>
                <w:noProof/>
                <w:w w:val="90"/>
                <w:sz w:val="18"/>
                <w:szCs w:val="18"/>
              </w:rPr>
            </w:pPr>
          </w:p>
        </w:tc>
        <w:tc>
          <w:tcPr>
            <w:tcW w:w="747" w:type="dxa"/>
            <w:shd w:val="clear" w:color="auto" w:fill="D7D4F1"/>
            <w:noWrap/>
            <w:vAlign w:val="center"/>
            <w:hideMark/>
          </w:tcPr>
          <w:p w14:paraId="26C8DCE7"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lang w:val="en-US"/>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22</w:t>
            </w:r>
          </w:p>
        </w:tc>
        <w:tc>
          <w:tcPr>
            <w:tcW w:w="747" w:type="dxa"/>
            <w:shd w:val="clear" w:color="auto" w:fill="D7D4F1"/>
            <w:noWrap/>
            <w:vAlign w:val="center"/>
            <w:hideMark/>
          </w:tcPr>
          <w:p w14:paraId="02CF3EBF"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lang w:val="en-US"/>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21</w:t>
            </w:r>
          </w:p>
        </w:tc>
        <w:tc>
          <w:tcPr>
            <w:tcW w:w="747" w:type="dxa"/>
            <w:shd w:val="clear" w:color="auto" w:fill="D7D4F1"/>
            <w:noWrap/>
            <w:vAlign w:val="center"/>
            <w:hideMark/>
          </w:tcPr>
          <w:p w14:paraId="63A6DB09"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Разлика, пр.п.</w:t>
            </w:r>
          </w:p>
        </w:tc>
        <w:tc>
          <w:tcPr>
            <w:tcW w:w="747" w:type="dxa"/>
            <w:shd w:val="clear" w:color="auto" w:fill="D7D4F1"/>
            <w:noWrap/>
            <w:vAlign w:val="center"/>
            <w:hideMark/>
          </w:tcPr>
          <w:p w14:paraId="132DC436"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w:t>
            </w:r>
            <w:r w:rsidRPr="004A5A84">
              <w:rPr>
                <w:rFonts w:asciiTheme="minorHAnsi" w:eastAsia="Times New Roman" w:hAnsiTheme="minorHAnsi" w:cstheme="minorHAnsi"/>
                <w:b/>
                <w:bCs/>
                <w:w w:val="90"/>
                <w:sz w:val="18"/>
                <w:szCs w:val="18"/>
              </w:rPr>
              <w:t>2</w:t>
            </w:r>
          </w:p>
        </w:tc>
        <w:tc>
          <w:tcPr>
            <w:tcW w:w="747" w:type="dxa"/>
            <w:shd w:val="clear" w:color="auto" w:fill="D7D4F1"/>
            <w:noWrap/>
            <w:vAlign w:val="center"/>
            <w:hideMark/>
          </w:tcPr>
          <w:p w14:paraId="5DCD1139"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w:t>
            </w:r>
            <w:r w:rsidRPr="004A5A84">
              <w:rPr>
                <w:rFonts w:asciiTheme="minorHAnsi" w:eastAsia="Times New Roman" w:hAnsiTheme="minorHAnsi" w:cstheme="minorHAnsi"/>
                <w:b/>
                <w:bCs/>
                <w:w w:val="90"/>
                <w:sz w:val="18"/>
                <w:szCs w:val="18"/>
              </w:rPr>
              <w:t>1</w:t>
            </w:r>
          </w:p>
        </w:tc>
        <w:tc>
          <w:tcPr>
            <w:tcW w:w="748" w:type="dxa"/>
            <w:shd w:val="clear" w:color="auto" w:fill="D7D4F1"/>
            <w:noWrap/>
            <w:vAlign w:val="center"/>
            <w:hideMark/>
          </w:tcPr>
          <w:p w14:paraId="1F1AAE19"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Разлика, пр.п.</w:t>
            </w:r>
          </w:p>
        </w:tc>
        <w:tc>
          <w:tcPr>
            <w:tcW w:w="747" w:type="dxa"/>
            <w:shd w:val="clear" w:color="auto" w:fill="D7D4F1"/>
            <w:noWrap/>
            <w:vAlign w:val="center"/>
            <w:hideMark/>
          </w:tcPr>
          <w:p w14:paraId="5D95A842"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22</w:t>
            </w:r>
          </w:p>
        </w:tc>
        <w:tc>
          <w:tcPr>
            <w:tcW w:w="747" w:type="dxa"/>
            <w:shd w:val="clear" w:color="auto" w:fill="D7D4F1"/>
            <w:noWrap/>
            <w:vAlign w:val="center"/>
            <w:hideMark/>
          </w:tcPr>
          <w:p w14:paraId="5164C823"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21</w:t>
            </w:r>
          </w:p>
        </w:tc>
        <w:tc>
          <w:tcPr>
            <w:tcW w:w="747" w:type="dxa"/>
            <w:shd w:val="clear" w:color="auto" w:fill="D7D4F1"/>
            <w:noWrap/>
            <w:vAlign w:val="center"/>
            <w:hideMark/>
          </w:tcPr>
          <w:p w14:paraId="225ED097"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Разлика, пр.п.</w:t>
            </w:r>
          </w:p>
        </w:tc>
        <w:tc>
          <w:tcPr>
            <w:tcW w:w="747" w:type="dxa"/>
            <w:shd w:val="clear" w:color="auto" w:fill="D7D4F1"/>
            <w:noWrap/>
            <w:vAlign w:val="center"/>
            <w:hideMark/>
          </w:tcPr>
          <w:p w14:paraId="2A74FD95" w14:textId="77777777" w:rsidR="001C65FE" w:rsidRPr="004A5A84" w:rsidRDefault="001C65FE" w:rsidP="004A5A84">
            <w:pPr>
              <w:keepLines/>
              <w:spacing w:after="0"/>
              <w:jc w:val="center"/>
              <w:rPr>
                <w:rFonts w:asciiTheme="minorHAnsi" w:eastAsia="Times New Roman" w:hAnsiTheme="minorHAnsi" w:cstheme="minorHAnsi"/>
                <w:bCs/>
                <w:w w:val="90"/>
                <w:sz w:val="18"/>
                <w:szCs w:val="18"/>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22</w:t>
            </w:r>
          </w:p>
        </w:tc>
        <w:tc>
          <w:tcPr>
            <w:tcW w:w="747" w:type="dxa"/>
            <w:shd w:val="clear" w:color="auto" w:fill="D7D4F1"/>
            <w:noWrap/>
            <w:vAlign w:val="center"/>
            <w:hideMark/>
          </w:tcPr>
          <w:p w14:paraId="653116F7" w14:textId="77777777" w:rsidR="001C65FE" w:rsidRPr="004A5A84" w:rsidRDefault="001C65FE" w:rsidP="004A5A84">
            <w:pPr>
              <w:keepLines/>
              <w:spacing w:after="0"/>
              <w:jc w:val="center"/>
              <w:rPr>
                <w:rFonts w:asciiTheme="minorHAnsi" w:eastAsia="Times New Roman" w:hAnsiTheme="minorHAnsi" w:cstheme="minorHAnsi"/>
                <w:bCs/>
                <w:w w:val="90"/>
                <w:sz w:val="18"/>
                <w:szCs w:val="18"/>
              </w:rPr>
            </w:pPr>
            <w:r w:rsidRPr="004A5A84">
              <w:rPr>
                <w:rFonts w:asciiTheme="minorHAnsi" w:eastAsia="Times New Roman" w:hAnsiTheme="minorHAnsi" w:cstheme="minorHAnsi"/>
                <w:b/>
                <w:bCs/>
                <w:w w:val="90"/>
                <w:sz w:val="18"/>
                <w:szCs w:val="18"/>
              </w:rPr>
              <w:t>КП 20</w:t>
            </w:r>
            <w:r w:rsidRPr="004A5A84">
              <w:rPr>
                <w:rFonts w:asciiTheme="minorHAnsi" w:eastAsia="Times New Roman" w:hAnsiTheme="minorHAnsi" w:cstheme="minorHAnsi"/>
                <w:b/>
                <w:bCs/>
                <w:w w:val="90"/>
                <w:sz w:val="18"/>
                <w:szCs w:val="18"/>
                <w:lang w:val="en-US"/>
              </w:rPr>
              <w:t>21</w:t>
            </w:r>
          </w:p>
        </w:tc>
        <w:tc>
          <w:tcPr>
            <w:tcW w:w="748" w:type="dxa"/>
            <w:shd w:val="clear" w:color="auto" w:fill="D7D4F1"/>
            <w:noWrap/>
            <w:vAlign w:val="center"/>
            <w:hideMark/>
          </w:tcPr>
          <w:p w14:paraId="274AF9C4" w14:textId="77777777" w:rsidR="001C65FE" w:rsidRPr="004A5A84" w:rsidRDefault="001C65FE" w:rsidP="004A5A84">
            <w:pPr>
              <w:keepLines/>
              <w:spacing w:after="0"/>
              <w:jc w:val="center"/>
              <w:rPr>
                <w:rFonts w:asciiTheme="minorHAnsi" w:eastAsia="Times New Roman" w:hAnsiTheme="minorHAnsi" w:cstheme="minorHAnsi"/>
                <w:b/>
                <w:bCs/>
                <w:w w:val="90"/>
                <w:sz w:val="18"/>
                <w:szCs w:val="18"/>
              </w:rPr>
            </w:pPr>
            <w:r w:rsidRPr="004A5A84">
              <w:rPr>
                <w:rFonts w:asciiTheme="minorHAnsi" w:eastAsia="Times New Roman" w:hAnsiTheme="minorHAnsi" w:cstheme="minorHAnsi"/>
                <w:b/>
                <w:bCs/>
                <w:w w:val="90"/>
                <w:sz w:val="18"/>
                <w:szCs w:val="18"/>
              </w:rPr>
              <w:t>Разлика, пр.п.</w:t>
            </w:r>
          </w:p>
        </w:tc>
      </w:tr>
      <w:tr w:rsidR="005B2032" w:rsidRPr="004A5A84" w14:paraId="45D8A481" w14:textId="77777777" w:rsidTr="00A45498">
        <w:trPr>
          <w:trHeight w:val="300"/>
          <w:jc w:val="center"/>
        </w:trPr>
        <w:tc>
          <w:tcPr>
            <w:tcW w:w="1775" w:type="dxa"/>
            <w:noWrap/>
            <w:vAlign w:val="center"/>
            <w:hideMark/>
          </w:tcPr>
          <w:p w14:paraId="387C6E72" w14:textId="77777777"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БВП, реален растеж, вкл:</w:t>
            </w:r>
          </w:p>
        </w:tc>
        <w:tc>
          <w:tcPr>
            <w:tcW w:w="747" w:type="dxa"/>
            <w:noWrap/>
            <w:vAlign w:val="center"/>
            <w:hideMark/>
          </w:tcPr>
          <w:p w14:paraId="18A5D72C"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4.2</w:t>
            </w:r>
          </w:p>
        </w:tc>
        <w:tc>
          <w:tcPr>
            <w:tcW w:w="747" w:type="dxa"/>
            <w:noWrap/>
            <w:vAlign w:val="center"/>
            <w:hideMark/>
          </w:tcPr>
          <w:p w14:paraId="2D3C6F9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2.7</w:t>
            </w:r>
          </w:p>
        </w:tc>
        <w:tc>
          <w:tcPr>
            <w:tcW w:w="747" w:type="dxa"/>
            <w:noWrap/>
            <w:vAlign w:val="center"/>
            <w:hideMark/>
          </w:tcPr>
          <w:p w14:paraId="02923EC4"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1.5</w:t>
            </w:r>
          </w:p>
        </w:tc>
        <w:tc>
          <w:tcPr>
            <w:tcW w:w="747" w:type="dxa"/>
            <w:noWrap/>
            <w:vAlign w:val="center"/>
            <w:hideMark/>
          </w:tcPr>
          <w:p w14:paraId="3F7E942F"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2.6</w:t>
            </w:r>
          </w:p>
        </w:tc>
        <w:tc>
          <w:tcPr>
            <w:tcW w:w="747" w:type="dxa"/>
            <w:noWrap/>
            <w:vAlign w:val="center"/>
            <w:hideMark/>
          </w:tcPr>
          <w:p w14:paraId="7607A4A4"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3.6</w:t>
            </w:r>
          </w:p>
        </w:tc>
        <w:tc>
          <w:tcPr>
            <w:tcW w:w="748" w:type="dxa"/>
            <w:noWrap/>
            <w:vAlign w:val="center"/>
            <w:hideMark/>
          </w:tcPr>
          <w:p w14:paraId="1E44290E"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-1.0</w:t>
            </w:r>
          </w:p>
        </w:tc>
        <w:tc>
          <w:tcPr>
            <w:tcW w:w="747" w:type="dxa"/>
            <w:noWrap/>
            <w:vAlign w:val="center"/>
            <w:hideMark/>
          </w:tcPr>
          <w:p w14:paraId="37E7D321"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2.8</w:t>
            </w:r>
          </w:p>
        </w:tc>
        <w:tc>
          <w:tcPr>
            <w:tcW w:w="747" w:type="dxa"/>
            <w:noWrap/>
            <w:vAlign w:val="center"/>
            <w:hideMark/>
          </w:tcPr>
          <w:p w14:paraId="539B790C"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3.4</w:t>
            </w:r>
          </w:p>
        </w:tc>
        <w:tc>
          <w:tcPr>
            <w:tcW w:w="747" w:type="dxa"/>
            <w:noWrap/>
            <w:vAlign w:val="center"/>
            <w:hideMark/>
          </w:tcPr>
          <w:p w14:paraId="0E7F95F5"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-0.6</w:t>
            </w:r>
          </w:p>
        </w:tc>
        <w:tc>
          <w:tcPr>
            <w:tcW w:w="747" w:type="dxa"/>
            <w:noWrap/>
            <w:vAlign w:val="center"/>
            <w:hideMark/>
          </w:tcPr>
          <w:p w14:paraId="4FA88E40"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3.6</w:t>
            </w:r>
          </w:p>
        </w:tc>
        <w:tc>
          <w:tcPr>
            <w:tcW w:w="747" w:type="dxa"/>
            <w:noWrap/>
            <w:vAlign w:val="center"/>
            <w:hideMark/>
          </w:tcPr>
          <w:p w14:paraId="10661A93"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2.7</w:t>
            </w:r>
          </w:p>
        </w:tc>
        <w:tc>
          <w:tcPr>
            <w:tcW w:w="748" w:type="dxa"/>
            <w:noWrap/>
            <w:vAlign w:val="center"/>
            <w:hideMark/>
          </w:tcPr>
          <w:p w14:paraId="38162D67"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0.9</w:t>
            </w:r>
          </w:p>
        </w:tc>
      </w:tr>
      <w:tr w:rsidR="005B2032" w:rsidRPr="004A5A84" w14:paraId="5F83C888" w14:textId="77777777" w:rsidTr="00A45498">
        <w:trPr>
          <w:trHeight w:val="300"/>
          <w:jc w:val="center"/>
        </w:trPr>
        <w:tc>
          <w:tcPr>
            <w:tcW w:w="1775" w:type="dxa"/>
            <w:noWrap/>
            <w:vAlign w:val="center"/>
            <w:hideMark/>
          </w:tcPr>
          <w:p w14:paraId="232BCBC5" w14:textId="77777777"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Крайно потребление</w:t>
            </w:r>
          </w:p>
        </w:tc>
        <w:tc>
          <w:tcPr>
            <w:tcW w:w="747" w:type="dxa"/>
            <w:noWrap/>
            <w:vAlign w:val="center"/>
            <w:hideMark/>
          </w:tcPr>
          <w:p w14:paraId="6235156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7.0</w:t>
            </w:r>
          </w:p>
        </w:tc>
        <w:tc>
          <w:tcPr>
            <w:tcW w:w="747" w:type="dxa"/>
            <w:noWrap/>
            <w:vAlign w:val="center"/>
            <w:hideMark/>
          </w:tcPr>
          <w:p w14:paraId="29835CF9"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2.6</w:t>
            </w:r>
          </w:p>
        </w:tc>
        <w:tc>
          <w:tcPr>
            <w:tcW w:w="747" w:type="dxa"/>
            <w:noWrap/>
            <w:vAlign w:val="center"/>
            <w:hideMark/>
          </w:tcPr>
          <w:p w14:paraId="2F9291A7"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4.4</w:t>
            </w:r>
          </w:p>
        </w:tc>
        <w:tc>
          <w:tcPr>
            <w:tcW w:w="747" w:type="dxa"/>
            <w:noWrap/>
            <w:vAlign w:val="center"/>
            <w:hideMark/>
          </w:tcPr>
          <w:p w14:paraId="24EA7B4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2.6</w:t>
            </w:r>
          </w:p>
        </w:tc>
        <w:tc>
          <w:tcPr>
            <w:tcW w:w="747" w:type="dxa"/>
            <w:noWrap/>
            <w:vAlign w:val="center"/>
            <w:hideMark/>
          </w:tcPr>
          <w:p w14:paraId="52890553"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2.8</w:t>
            </w:r>
          </w:p>
        </w:tc>
        <w:tc>
          <w:tcPr>
            <w:tcW w:w="748" w:type="dxa"/>
            <w:noWrap/>
            <w:vAlign w:val="center"/>
            <w:hideMark/>
          </w:tcPr>
          <w:p w14:paraId="6D9E1E83"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-0.2</w:t>
            </w:r>
          </w:p>
        </w:tc>
        <w:tc>
          <w:tcPr>
            <w:tcW w:w="747" w:type="dxa"/>
            <w:noWrap/>
            <w:vAlign w:val="center"/>
            <w:hideMark/>
          </w:tcPr>
          <w:p w14:paraId="66056DD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3.3</w:t>
            </w:r>
          </w:p>
        </w:tc>
        <w:tc>
          <w:tcPr>
            <w:tcW w:w="747" w:type="dxa"/>
            <w:noWrap/>
            <w:vAlign w:val="center"/>
            <w:hideMark/>
          </w:tcPr>
          <w:p w14:paraId="7954B53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3.4</w:t>
            </w:r>
          </w:p>
        </w:tc>
        <w:tc>
          <w:tcPr>
            <w:tcW w:w="747" w:type="dxa"/>
            <w:noWrap/>
            <w:vAlign w:val="center"/>
            <w:hideMark/>
          </w:tcPr>
          <w:p w14:paraId="41B9CBF6"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0.0</w:t>
            </w:r>
          </w:p>
        </w:tc>
        <w:tc>
          <w:tcPr>
            <w:tcW w:w="747" w:type="dxa"/>
            <w:noWrap/>
            <w:vAlign w:val="center"/>
            <w:hideMark/>
          </w:tcPr>
          <w:p w14:paraId="0FD27E4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3.6</w:t>
            </w:r>
          </w:p>
        </w:tc>
        <w:tc>
          <w:tcPr>
            <w:tcW w:w="747" w:type="dxa"/>
            <w:noWrap/>
            <w:vAlign w:val="center"/>
            <w:hideMark/>
          </w:tcPr>
          <w:p w14:paraId="194412F6"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2.9</w:t>
            </w:r>
          </w:p>
        </w:tc>
        <w:tc>
          <w:tcPr>
            <w:tcW w:w="748" w:type="dxa"/>
            <w:noWrap/>
            <w:vAlign w:val="center"/>
            <w:hideMark/>
          </w:tcPr>
          <w:p w14:paraId="639829A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0.7</w:t>
            </w:r>
          </w:p>
        </w:tc>
      </w:tr>
      <w:tr w:rsidR="005B2032" w:rsidRPr="004A5A84" w14:paraId="5FADF3B2" w14:textId="77777777" w:rsidTr="00A45498">
        <w:trPr>
          <w:trHeight w:val="300"/>
          <w:jc w:val="center"/>
        </w:trPr>
        <w:tc>
          <w:tcPr>
            <w:tcW w:w="1775" w:type="dxa"/>
            <w:noWrap/>
            <w:vAlign w:val="center"/>
            <w:hideMark/>
          </w:tcPr>
          <w:p w14:paraId="5DB0FED1" w14:textId="77777777"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 xml:space="preserve">      Инвестиции</w:t>
            </w:r>
          </w:p>
        </w:tc>
        <w:tc>
          <w:tcPr>
            <w:tcW w:w="747" w:type="dxa"/>
            <w:noWrap/>
            <w:vAlign w:val="center"/>
            <w:hideMark/>
          </w:tcPr>
          <w:p w14:paraId="6A2C89F7"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-11.0</w:t>
            </w:r>
          </w:p>
        </w:tc>
        <w:tc>
          <w:tcPr>
            <w:tcW w:w="747" w:type="dxa"/>
            <w:noWrap/>
            <w:vAlign w:val="center"/>
            <w:hideMark/>
          </w:tcPr>
          <w:p w14:paraId="49B5B41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-3.4</w:t>
            </w:r>
          </w:p>
        </w:tc>
        <w:tc>
          <w:tcPr>
            <w:tcW w:w="747" w:type="dxa"/>
            <w:noWrap/>
            <w:vAlign w:val="center"/>
            <w:hideMark/>
          </w:tcPr>
          <w:p w14:paraId="5ACB2E73"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-7.6</w:t>
            </w:r>
          </w:p>
        </w:tc>
        <w:tc>
          <w:tcPr>
            <w:tcW w:w="747" w:type="dxa"/>
            <w:noWrap/>
            <w:vAlign w:val="center"/>
            <w:hideMark/>
          </w:tcPr>
          <w:p w14:paraId="3FC1C5EC"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7.6</w:t>
            </w:r>
          </w:p>
        </w:tc>
        <w:tc>
          <w:tcPr>
            <w:tcW w:w="747" w:type="dxa"/>
            <w:noWrap/>
            <w:vAlign w:val="center"/>
            <w:hideMark/>
          </w:tcPr>
          <w:p w14:paraId="07D2C7E7"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3.0</w:t>
            </w:r>
          </w:p>
        </w:tc>
        <w:tc>
          <w:tcPr>
            <w:tcW w:w="748" w:type="dxa"/>
            <w:noWrap/>
            <w:vAlign w:val="center"/>
            <w:hideMark/>
          </w:tcPr>
          <w:p w14:paraId="3C4BA23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4.6</w:t>
            </w:r>
          </w:p>
        </w:tc>
        <w:tc>
          <w:tcPr>
            <w:tcW w:w="747" w:type="dxa"/>
            <w:noWrap/>
            <w:vAlign w:val="center"/>
            <w:hideMark/>
          </w:tcPr>
          <w:p w14:paraId="3C9BD647"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9.0</w:t>
            </w:r>
          </w:p>
        </w:tc>
        <w:tc>
          <w:tcPr>
            <w:tcW w:w="747" w:type="dxa"/>
            <w:noWrap/>
            <w:vAlign w:val="center"/>
            <w:hideMark/>
          </w:tcPr>
          <w:p w14:paraId="41782CA6"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7.2</w:t>
            </w:r>
          </w:p>
        </w:tc>
        <w:tc>
          <w:tcPr>
            <w:tcW w:w="747" w:type="dxa"/>
            <w:noWrap/>
            <w:vAlign w:val="center"/>
            <w:hideMark/>
          </w:tcPr>
          <w:p w14:paraId="3A55A164"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1.7</w:t>
            </w:r>
          </w:p>
        </w:tc>
        <w:tc>
          <w:tcPr>
            <w:tcW w:w="747" w:type="dxa"/>
            <w:noWrap/>
            <w:vAlign w:val="center"/>
            <w:hideMark/>
          </w:tcPr>
          <w:p w14:paraId="021D3EF1"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6.0</w:t>
            </w:r>
          </w:p>
        </w:tc>
        <w:tc>
          <w:tcPr>
            <w:tcW w:w="747" w:type="dxa"/>
            <w:noWrap/>
            <w:vAlign w:val="center"/>
            <w:hideMark/>
          </w:tcPr>
          <w:p w14:paraId="37044D36"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0.4</w:t>
            </w:r>
          </w:p>
        </w:tc>
        <w:tc>
          <w:tcPr>
            <w:tcW w:w="748" w:type="dxa"/>
            <w:noWrap/>
            <w:vAlign w:val="center"/>
            <w:hideMark/>
          </w:tcPr>
          <w:p w14:paraId="3B12EA29"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5.7</w:t>
            </w:r>
          </w:p>
        </w:tc>
      </w:tr>
      <w:tr w:rsidR="005B2032" w:rsidRPr="004A5A84" w14:paraId="780A83CC" w14:textId="77777777" w:rsidTr="00A45498">
        <w:trPr>
          <w:trHeight w:val="300"/>
          <w:jc w:val="center"/>
        </w:trPr>
        <w:tc>
          <w:tcPr>
            <w:tcW w:w="1775" w:type="dxa"/>
            <w:noWrap/>
            <w:vAlign w:val="center"/>
            <w:hideMark/>
          </w:tcPr>
          <w:p w14:paraId="2F6AD479" w14:textId="0504C14A"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 xml:space="preserve">Износ на стоки и </w:t>
            </w:r>
            <w:r w:rsidR="004A5A84">
              <w:rPr>
                <w:rFonts w:asciiTheme="minorHAnsi" w:eastAsia="Times New Roman" w:hAnsiTheme="minorHAnsi" w:cstheme="minorHAnsi"/>
                <w:w w:val="90"/>
                <w:sz w:val="18"/>
                <w:szCs w:val="18"/>
              </w:rPr>
              <w:br/>
            </w:r>
            <w:r w:rsidRPr="004A5A84">
              <w:rPr>
                <w:rFonts w:asciiTheme="minorHAnsi" w:eastAsia="Times New Roman" w:hAnsiTheme="minorHAnsi" w:cstheme="minorHAnsi"/>
                <w:w w:val="90"/>
                <w:sz w:val="18"/>
                <w:szCs w:val="18"/>
              </w:rPr>
              <w:t>услуги</w:t>
            </w:r>
          </w:p>
        </w:tc>
        <w:tc>
          <w:tcPr>
            <w:tcW w:w="747" w:type="dxa"/>
            <w:noWrap/>
            <w:vAlign w:val="center"/>
            <w:hideMark/>
          </w:tcPr>
          <w:p w14:paraId="3065F382"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9.9</w:t>
            </w:r>
          </w:p>
        </w:tc>
        <w:tc>
          <w:tcPr>
            <w:tcW w:w="747" w:type="dxa"/>
            <w:noWrap/>
            <w:vAlign w:val="center"/>
            <w:hideMark/>
          </w:tcPr>
          <w:p w14:paraId="523B9BF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5.8</w:t>
            </w:r>
          </w:p>
        </w:tc>
        <w:tc>
          <w:tcPr>
            <w:tcW w:w="747" w:type="dxa"/>
            <w:noWrap/>
            <w:vAlign w:val="center"/>
            <w:hideMark/>
          </w:tcPr>
          <w:p w14:paraId="53DC29F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4.1</w:t>
            </w:r>
          </w:p>
        </w:tc>
        <w:tc>
          <w:tcPr>
            <w:tcW w:w="747" w:type="dxa"/>
            <w:noWrap/>
            <w:vAlign w:val="center"/>
            <w:hideMark/>
          </w:tcPr>
          <w:p w14:paraId="40433955"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4.1</w:t>
            </w:r>
          </w:p>
        </w:tc>
        <w:tc>
          <w:tcPr>
            <w:tcW w:w="747" w:type="dxa"/>
            <w:noWrap/>
            <w:vAlign w:val="center"/>
            <w:hideMark/>
          </w:tcPr>
          <w:p w14:paraId="6DFB3FB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6.8</w:t>
            </w:r>
          </w:p>
        </w:tc>
        <w:tc>
          <w:tcPr>
            <w:tcW w:w="748" w:type="dxa"/>
            <w:noWrap/>
            <w:vAlign w:val="center"/>
            <w:hideMark/>
          </w:tcPr>
          <w:p w14:paraId="5AC8B835"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-2.7</w:t>
            </w:r>
          </w:p>
        </w:tc>
        <w:tc>
          <w:tcPr>
            <w:tcW w:w="747" w:type="dxa"/>
            <w:noWrap/>
            <w:vAlign w:val="center"/>
            <w:hideMark/>
          </w:tcPr>
          <w:p w14:paraId="614FA9FC"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4.0</w:t>
            </w:r>
          </w:p>
        </w:tc>
        <w:tc>
          <w:tcPr>
            <w:tcW w:w="747" w:type="dxa"/>
            <w:noWrap/>
            <w:vAlign w:val="center"/>
            <w:hideMark/>
          </w:tcPr>
          <w:p w14:paraId="4839157E"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4.8</w:t>
            </w:r>
          </w:p>
        </w:tc>
        <w:tc>
          <w:tcPr>
            <w:tcW w:w="747" w:type="dxa"/>
            <w:noWrap/>
            <w:vAlign w:val="center"/>
            <w:hideMark/>
          </w:tcPr>
          <w:p w14:paraId="50FA60A8"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-0.8</w:t>
            </w:r>
          </w:p>
        </w:tc>
        <w:tc>
          <w:tcPr>
            <w:tcW w:w="747" w:type="dxa"/>
            <w:noWrap/>
            <w:vAlign w:val="center"/>
            <w:hideMark/>
          </w:tcPr>
          <w:p w14:paraId="305AFDB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5.8</w:t>
            </w:r>
          </w:p>
        </w:tc>
        <w:tc>
          <w:tcPr>
            <w:tcW w:w="747" w:type="dxa"/>
            <w:noWrap/>
            <w:vAlign w:val="center"/>
            <w:hideMark/>
          </w:tcPr>
          <w:p w14:paraId="2DC4833E"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3.5</w:t>
            </w:r>
          </w:p>
        </w:tc>
        <w:tc>
          <w:tcPr>
            <w:tcW w:w="748" w:type="dxa"/>
            <w:noWrap/>
            <w:vAlign w:val="center"/>
            <w:hideMark/>
          </w:tcPr>
          <w:p w14:paraId="66EB9D9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2.3</w:t>
            </w:r>
          </w:p>
        </w:tc>
      </w:tr>
      <w:tr w:rsidR="005B2032" w:rsidRPr="004A5A84" w14:paraId="0E4AE450" w14:textId="77777777" w:rsidTr="00A45498">
        <w:trPr>
          <w:trHeight w:val="300"/>
          <w:jc w:val="center"/>
        </w:trPr>
        <w:tc>
          <w:tcPr>
            <w:tcW w:w="1775" w:type="dxa"/>
            <w:noWrap/>
            <w:vAlign w:val="center"/>
            <w:hideMark/>
          </w:tcPr>
          <w:p w14:paraId="466F1B4D" w14:textId="77777777"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 xml:space="preserve">    Внос на стоки и услуги</w:t>
            </w:r>
          </w:p>
        </w:tc>
        <w:tc>
          <w:tcPr>
            <w:tcW w:w="747" w:type="dxa"/>
            <w:noWrap/>
            <w:vAlign w:val="center"/>
            <w:hideMark/>
          </w:tcPr>
          <w:p w14:paraId="2F772BEB"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12.2</w:t>
            </w:r>
          </w:p>
        </w:tc>
        <w:tc>
          <w:tcPr>
            <w:tcW w:w="747" w:type="dxa"/>
            <w:noWrap/>
            <w:vAlign w:val="center"/>
            <w:hideMark/>
          </w:tcPr>
          <w:p w14:paraId="09DCB323"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3.7</w:t>
            </w:r>
          </w:p>
        </w:tc>
        <w:tc>
          <w:tcPr>
            <w:tcW w:w="747" w:type="dxa"/>
            <w:noWrap/>
            <w:vAlign w:val="center"/>
            <w:hideMark/>
          </w:tcPr>
          <w:p w14:paraId="72D0F43E"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8.4</w:t>
            </w:r>
          </w:p>
        </w:tc>
        <w:tc>
          <w:tcPr>
            <w:tcW w:w="747" w:type="dxa"/>
            <w:noWrap/>
            <w:vAlign w:val="center"/>
            <w:hideMark/>
          </w:tcPr>
          <w:p w14:paraId="5536E702"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5.4</w:t>
            </w:r>
          </w:p>
        </w:tc>
        <w:tc>
          <w:tcPr>
            <w:tcW w:w="747" w:type="dxa"/>
            <w:noWrap/>
            <w:vAlign w:val="center"/>
            <w:hideMark/>
          </w:tcPr>
          <w:p w14:paraId="36491490"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5.7</w:t>
            </w:r>
          </w:p>
        </w:tc>
        <w:tc>
          <w:tcPr>
            <w:tcW w:w="748" w:type="dxa"/>
            <w:noWrap/>
            <w:vAlign w:val="center"/>
            <w:hideMark/>
          </w:tcPr>
          <w:p w14:paraId="2CA6B42D"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-0.2</w:t>
            </w:r>
          </w:p>
        </w:tc>
        <w:tc>
          <w:tcPr>
            <w:tcW w:w="747" w:type="dxa"/>
            <w:noWrap/>
            <w:vAlign w:val="center"/>
            <w:hideMark/>
          </w:tcPr>
          <w:p w14:paraId="125AF05A"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6.1</w:t>
            </w:r>
          </w:p>
        </w:tc>
        <w:tc>
          <w:tcPr>
            <w:tcW w:w="747" w:type="dxa"/>
            <w:noWrap/>
            <w:vAlign w:val="center"/>
            <w:hideMark/>
          </w:tcPr>
          <w:p w14:paraId="45C3638B"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6.0</w:t>
            </w:r>
          </w:p>
        </w:tc>
        <w:tc>
          <w:tcPr>
            <w:tcW w:w="747" w:type="dxa"/>
            <w:noWrap/>
            <w:vAlign w:val="center"/>
            <w:hideMark/>
          </w:tcPr>
          <w:p w14:paraId="73CEA3D5"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0.1</w:t>
            </w:r>
          </w:p>
        </w:tc>
        <w:tc>
          <w:tcPr>
            <w:tcW w:w="747" w:type="dxa"/>
            <w:noWrap/>
            <w:vAlign w:val="center"/>
            <w:hideMark/>
          </w:tcPr>
          <w:p w14:paraId="59702880"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6.5</w:t>
            </w:r>
          </w:p>
        </w:tc>
        <w:tc>
          <w:tcPr>
            <w:tcW w:w="747" w:type="dxa"/>
            <w:noWrap/>
            <w:vAlign w:val="center"/>
            <w:hideMark/>
          </w:tcPr>
          <w:p w14:paraId="3ECE95BC"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3.2</w:t>
            </w:r>
          </w:p>
        </w:tc>
        <w:tc>
          <w:tcPr>
            <w:tcW w:w="748" w:type="dxa"/>
            <w:noWrap/>
            <w:vAlign w:val="center"/>
            <w:hideMark/>
          </w:tcPr>
          <w:p w14:paraId="165321F8"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3.3</w:t>
            </w:r>
          </w:p>
        </w:tc>
      </w:tr>
      <w:tr w:rsidR="005B2032" w:rsidRPr="004A5A84" w14:paraId="00FB1B10" w14:textId="77777777" w:rsidTr="00A45498">
        <w:trPr>
          <w:trHeight w:val="300"/>
          <w:jc w:val="center"/>
        </w:trPr>
        <w:tc>
          <w:tcPr>
            <w:tcW w:w="1775" w:type="dxa"/>
            <w:noWrap/>
            <w:vAlign w:val="center"/>
            <w:hideMark/>
          </w:tcPr>
          <w:p w14:paraId="6A2593E5" w14:textId="4A6D516F"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 xml:space="preserve">Средногодишна </w:t>
            </w:r>
            <w:r w:rsidR="004A5A84">
              <w:rPr>
                <w:rFonts w:asciiTheme="minorHAnsi" w:eastAsia="Times New Roman" w:hAnsiTheme="minorHAnsi" w:cstheme="minorHAnsi"/>
                <w:w w:val="90"/>
                <w:sz w:val="18"/>
                <w:szCs w:val="18"/>
              </w:rPr>
              <w:br/>
            </w:r>
            <w:r w:rsidRPr="004A5A84">
              <w:rPr>
                <w:rFonts w:asciiTheme="minorHAnsi" w:eastAsia="Times New Roman" w:hAnsiTheme="minorHAnsi" w:cstheme="minorHAnsi"/>
                <w:w w:val="90"/>
                <w:sz w:val="18"/>
                <w:szCs w:val="18"/>
              </w:rPr>
              <w:t>инфлация (ХИПЦ)</w:t>
            </w:r>
          </w:p>
        </w:tc>
        <w:tc>
          <w:tcPr>
            <w:tcW w:w="747" w:type="dxa"/>
            <w:noWrap/>
            <w:vAlign w:val="center"/>
            <w:hideMark/>
          </w:tcPr>
          <w:p w14:paraId="3EA7B94B"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2.8</w:t>
            </w:r>
          </w:p>
        </w:tc>
        <w:tc>
          <w:tcPr>
            <w:tcW w:w="747" w:type="dxa"/>
            <w:noWrap/>
            <w:vAlign w:val="center"/>
            <w:hideMark/>
          </w:tcPr>
          <w:p w14:paraId="437C4AD0"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1.8</w:t>
            </w:r>
          </w:p>
        </w:tc>
        <w:tc>
          <w:tcPr>
            <w:tcW w:w="747" w:type="dxa"/>
            <w:noWrap/>
            <w:vAlign w:val="center"/>
            <w:hideMark/>
          </w:tcPr>
          <w:p w14:paraId="124EDBDE"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1.0</w:t>
            </w:r>
          </w:p>
        </w:tc>
        <w:tc>
          <w:tcPr>
            <w:tcW w:w="747" w:type="dxa"/>
            <w:noWrap/>
            <w:vAlign w:val="center"/>
            <w:hideMark/>
          </w:tcPr>
          <w:p w14:paraId="76558001"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10.4</w:t>
            </w:r>
          </w:p>
        </w:tc>
        <w:tc>
          <w:tcPr>
            <w:tcW w:w="747" w:type="dxa"/>
            <w:noWrap/>
            <w:vAlign w:val="center"/>
            <w:hideMark/>
          </w:tcPr>
          <w:p w14:paraId="491C9495"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2.0</w:t>
            </w:r>
          </w:p>
        </w:tc>
        <w:tc>
          <w:tcPr>
            <w:tcW w:w="748" w:type="dxa"/>
            <w:noWrap/>
            <w:vAlign w:val="center"/>
            <w:hideMark/>
          </w:tcPr>
          <w:p w14:paraId="687CF975"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8.3</w:t>
            </w:r>
          </w:p>
        </w:tc>
        <w:tc>
          <w:tcPr>
            <w:tcW w:w="747" w:type="dxa"/>
            <w:noWrap/>
            <w:vAlign w:val="center"/>
            <w:hideMark/>
          </w:tcPr>
          <w:p w14:paraId="1D7AFBD6"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5.1</w:t>
            </w:r>
          </w:p>
        </w:tc>
        <w:tc>
          <w:tcPr>
            <w:tcW w:w="747" w:type="dxa"/>
            <w:noWrap/>
            <w:vAlign w:val="center"/>
            <w:hideMark/>
          </w:tcPr>
          <w:p w14:paraId="121BFDA9"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2.0</w:t>
            </w:r>
          </w:p>
        </w:tc>
        <w:tc>
          <w:tcPr>
            <w:tcW w:w="747" w:type="dxa"/>
            <w:noWrap/>
            <w:vAlign w:val="center"/>
            <w:hideMark/>
          </w:tcPr>
          <w:p w14:paraId="56DF09B8"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3.1</w:t>
            </w:r>
          </w:p>
        </w:tc>
        <w:tc>
          <w:tcPr>
            <w:tcW w:w="747" w:type="dxa"/>
            <w:noWrap/>
            <w:vAlign w:val="center"/>
            <w:hideMark/>
          </w:tcPr>
          <w:p w14:paraId="4584C311"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2.7</w:t>
            </w:r>
          </w:p>
        </w:tc>
        <w:tc>
          <w:tcPr>
            <w:tcW w:w="747" w:type="dxa"/>
            <w:noWrap/>
            <w:vAlign w:val="center"/>
            <w:hideMark/>
          </w:tcPr>
          <w:p w14:paraId="113C3A3F"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2.1</w:t>
            </w:r>
          </w:p>
        </w:tc>
        <w:tc>
          <w:tcPr>
            <w:tcW w:w="748" w:type="dxa"/>
            <w:noWrap/>
            <w:vAlign w:val="center"/>
            <w:hideMark/>
          </w:tcPr>
          <w:p w14:paraId="4E9338E9" w14:textId="77777777" w:rsidR="001C65FE" w:rsidRPr="004A5A84" w:rsidRDefault="001C65FE" w:rsidP="00D84327">
            <w:pPr>
              <w:keepLines/>
              <w:spacing w:after="0"/>
              <w:jc w:val="right"/>
              <w:rPr>
                <w:rFonts w:asciiTheme="minorHAnsi" w:eastAsia="Times New Roman" w:hAnsiTheme="minorHAnsi" w:cstheme="minorHAnsi"/>
                <w:w w:val="90"/>
                <w:sz w:val="18"/>
                <w:szCs w:val="18"/>
              </w:rPr>
            </w:pPr>
            <w:r w:rsidRPr="004A5A84">
              <w:rPr>
                <w:rFonts w:asciiTheme="minorHAnsi" w:hAnsiTheme="minorHAnsi" w:cstheme="minorHAnsi"/>
                <w:w w:val="90"/>
                <w:sz w:val="18"/>
                <w:szCs w:val="18"/>
              </w:rPr>
              <w:t>0.6</w:t>
            </w:r>
          </w:p>
        </w:tc>
      </w:tr>
      <w:tr w:rsidR="005B2032" w:rsidRPr="004A5A84" w14:paraId="4B42D707" w14:textId="77777777" w:rsidTr="00A45498">
        <w:trPr>
          <w:trHeight w:val="315"/>
          <w:jc w:val="center"/>
        </w:trPr>
        <w:tc>
          <w:tcPr>
            <w:tcW w:w="1775" w:type="dxa"/>
            <w:noWrap/>
            <w:vAlign w:val="center"/>
            <w:hideMark/>
          </w:tcPr>
          <w:p w14:paraId="3C49F52D" w14:textId="77777777"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Заети</w:t>
            </w:r>
          </w:p>
        </w:tc>
        <w:tc>
          <w:tcPr>
            <w:tcW w:w="747" w:type="dxa"/>
            <w:noWrap/>
            <w:vAlign w:val="center"/>
            <w:hideMark/>
          </w:tcPr>
          <w:p w14:paraId="7C4F9A4F"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0.2</w:t>
            </w:r>
          </w:p>
        </w:tc>
        <w:tc>
          <w:tcPr>
            <w:tcW w:w="747" w:type="dxa"/>
            <w:noWrap/>
            <w:vAlign w:val="center"/>
            <w:hideMark/>
          </w:tcPr>
          <w:p w14:paraId="14DFC1A3"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0.5</w:t>
            </w:r>
          </w:p>
        </w:tc>
        <w:tc>
          <w:tcPr>
            <w:tcW w:w="747" w:type="dxa"/>
            <w:noWrap/>
            <w:vAlign w:val="center"/>
            <w:hideMark/>
          </w:tcPr>
          <w:p w14:paraId="67144448"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-0.3</w:t>
            </w:r>
          </w:p>
        </w:tc>
        <w:tc>
          <w:tcPr>
            <w:tcW w:w="747" w:type="dxa"/>
            <w:noWrap/>
            <w:vAlign w:val="center"/>
            <w:hideMark/>
          </w:tcPr>
          <w:p w14:paraId="0F8C7598"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1.7</w:t>
            </w:r>
          </w:p>
        </w:tc>
        <w:tc>
          <w:tcPr>
            <w:tcW w:w="747" w:type="dxa"/>
            <w:noWrap/>
            <w:vAlign w:val="center"/>
            <w:hideMark/>
          </w:tcPr>
          <w:p w14:paraId="1A88103A"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1.3</w:t>
            </w:r>
          </w:p>
        </w:tc>
        <w:tc>
          <w:tcPr>
            <w:tcW w:w="748" w:type="dxa"/>
            <w:noWrap/>
            <w:vAlign w:val="center"/>
            <w:hideMark/>
          </w:tcPr>
          <w:p w14:paraId="70E349E6"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0.4</w:t>
            </w:r>
          </w:p>
        </w:tc>
        <w:tc>
          <w:tcPr>
            <w:tcW w:w="747" w:type="dxa"/>
            <w:noWrap/>
            <w:vAlign w:val="center"/>
            <w:hideMark/>
          </w:tcPr>
          <w:p w14:paraId="5A96EBAC"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0.8</w:t>
            </w:r>
          </w:p>
        </w:tc>
        <w:tc>
          <w:tcPr>
            <w:tcW w:w="747" w:type="dxa"/>
            <w:noWrap/>
            <w:vAlign w:val="center"/>
            <w:hideMark/>
          </w:tcPr>
          <w:p w14:paraId="6ADC0DB5"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1.0</w:t>
            </w:r>
          </w:p>
        </w:tc>
        <w:tc>
          <w:tcPr>
            <w:tcW w:w="747" w:type="dxa"/>
            <w:noWrap/>
            <w:vAlign w:val="center"/>
            <w:hideMark/>
          </w:tcPr>
          <w:p w14:paraId="1706CBFF"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-0.2</w:t>
            </w:r>
          </w:p>
        </w:tc>
        <w:tc>
          <w:tcPr>
            <w:tcW w:w="747" w:type="dxa"/>
            <w:noWrap/>
            <w:vAlign w:val="center"/>
            <w:hideMark/>
          </w:tcPr>
          <w:p w14:paraId="7ACCB732"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1.0</w:t>
            </w:r>
          </w:p>
        </w:tc>
        <w:tc>
          <w:tcPr>
            <w:tcW w:w="747" w:type="dxa"/>
            <w:noWrap/>
            <w:vAlign w:val="center"/>
            <w:hideMark/>
          </w:tcPr>
          <w:p w14:paraId="1A9CF6E5"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0.5</w:t>
            </w:r>
          </w:p>
        </w:tc>
        <w:tc>
          <w:tcPr>
            <w:tcW w:w="748" w:type="dxa"/>
            <w:noWrap/>
            <w:vAlign w:val="center"/>
            <w:hideMark/>
          </w:tcPr>
          <w:p w14:paraId="12B8813E"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0.5</w:t>
            </w:r>
          </w:p>
        </w:tc>
      </w:tr>
      <w:tr w:rsidR="005B2032" w:rsidRPr="004A5A84" w14:paraId="49F504D1" w14:textId="77777777" w:rsidTr="00A45498">
        <w:trPr>
          <w:trHeight w:val="315"/>
          <w:jc w:val="center"/>
        </w:trPr>
        <w:tc>
          <w:tcPr>
            <w:tcW w:w="1775" w:type="dxa"/>
            <w:noWrap/>
            <w:vAlign w:val="center"/>
            <w:hideMark/>
          </w:tcPr>
          <w:p w14:paraId="5E400786" w14:textId="097EAE52" w:rsidR="001C65FE" w:rsidRPr="004A5A84" w:rsidRDefault="001C65FE" w:rsidP="00D84327">
            <w:pPr>
              <w:keepLines/>
              <w:spacing w:after="0"/>
              <w:jc w:val="left"/>
              <w:rPr>
                <w:rFonts w:asciiTheme="minorHAnsi" w:eastAsia="Times New Roman" w:hAnsiTheme="minorHAnsi" w:cstheme="minorHAnsi"/>
                <w:w w:val="90"/>
                <w:sz w:val="18"/>
                <w:szCs w:val="18"/>
              </w:rPr>
            </w:pPr>
            <w:r w:rsidRPr="004A5A84">
              <w:rPr>
                <w:rFonts w:asciiTheme="minorHAnsi" w:eastAsia="Times New Roman" w:hAnsiTheme="minorHAnsi" w:cstheme="minorHAnsi"/>
                <w:w w:val="90"/>
                <w:sz w:val="18"/>
                <w:szCs w:val="18"/>
              </w:rPr>
              <w:t xml:space="preserve">Коефициент на </w:t>
            </w:r>
            <w:r w:rsidR="004A5A84">
              <w:rPr>
                <w:rFonts w:asciiTheme="minorHAnsi" w:eastAsia="Times New Roman" w:hAnsiTheme="minorHAnsi" w:cstheme="minorHAnsi"/>
                <w:w w:val="90"/>
                <w:sz w:val="18"/>
                <w:szCs w:val="18"/>
              </w:rPr>
              <w:br/>
            </w:r>
            <w:r w:rsidRPr="004A5A84">
              <w:rPr>
                <w:rFonts w:asciiTheme="minorHAnsi" w:eastAsia="Times New Roman" w:hAnsiTheme="minorHAnsi" w:cstheme="minorHAnsi"/>
                <w:w w:val="90"/>
                <w:sz w:val="18"/>
                <w:szCs w:val="18"/>
              </w:rPr>
              <w:t>безработица</w:t>
            </w:r>
          </w:p>
        </w:tc>
        <w:tc>
          <w:tcPr>
            <w:tcW w:w="747" w:type="dxa"/>
            <w:noWrap/>
            <w:vAlign w:val="center"/>
            <w:hideMark/>
          </w:tcPr>
          <w:p w14:paraId="596D93AB"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5.3</w:t>
            </w:r>
          </w:p>
        </w:tc>
        <w:tc>
          <w:tcPr>
            <w:tcW w:w="747" w:type="dxa"/>
            <w:noWrap/>
            <w:vAlign w:val="center"/>
            <w:hideMark/>
          </w:tcPr>
          <w:p w14:paraId="5BC6E7DA"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5.0</w:t>
            </w:r>
          </w:p>
        </w:tc>
        <w:tc>
          <w:tcPr>
            <w:tcW w:w="747" w:type="dxa"/>
            <w:noWrap/>
            <w:vAlign w:val="center"/>
            <w:hideMark/>
          </w:tcPr>
          <w:p w14:paraId="78B98323"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0.3</w:t>
            </w:r>
          </w:p>
        </w:tc>
        <w:tc>
          <w:tcPr>
            <w:tcW w:w="747" w:type="dxa"/>
            <w:noWrap/>
            <w:vAlign w:val="center"/>
            <w:hideMark/>
          </w:tcPr>
          <w:p w14:paraId="7FE8D9F6"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5.0</w:t>
            </w:r>
          </w:p>
        </w:tc>
        <w:tc>
          <w:tcPr>
            <w:tcW w:w="747" w:type="dxa"/>
            <w:noWrap/>
            <w:vAlign w:val="center"/>
            <w:hideMark/>
          </w:tcPr>
          <w:p w14:paraId="22FEA323"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4.7</w:t>
            </w:r>
          </w:p>
        </w:tc>
        <w:tc>
          <w:tcPr>
            <w:tcW w:w="748" w:type="dxa"/>
            <w:noWrap/>
            <w:vAlign w:val="center"/>
            <w:hideMark/>
          </w:tcPr>
          <w:p w14:paraId="1DC5376E"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0.3</w:t>
            </w:r>
          </w:p>
        </w:tc>
        <w:tc>
          <w:tcPr>
            <w:tcW w:w="747" w:type="dxa"/>
            <w:noWrap/>
            <w:vAlign w:val="center"/>
            <w:hideMark/>
          </w:tcPr>
          <w:p w14:paraId="31EC35E7"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4.8</w:t>
            </w:r>
          </w:p>
        </w:tc>
        <w:tc>
          <w:tcPr>
            <w:tcW w:w="747" w:type="dxa"/>
            <w:noWrap/>
            <w:vAlign w:val="center"/>
            <w:hideMark/>
          </w:tcPr>
          <w:p w14:paraId="4DDCA892"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4.4</w:t>
            </w:r>
          </w:p>
        </w:tc>
        <w:tc>
          <w:tcPr>
            <w:tcW w:w="747" w:type="dxa"/>
            <w:noWrap/>
            <w:vAlign w:val="center"/>
            <w:hideMark/>
          </w:tcPr>
          <w:p w14:paraId="253BD816"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0.4</w:t>
            </w:r>
          </w:p>
        </w:tc>
        <w:tc>
          <w:tcPr>
            <w:tcW w:w="747" w:type="dxa"/>
            <w:noWrap/>
            <w:vAlign w:val="center"/>
            <w:hideMark/>
          </w:tcPr>
          <w:p w14:paraId="03DD7ED1"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4.4</w:t>
            </w:r>
          </w:p>
        </w:tc>
        <w:tc>
          <w:tcPr>
            <w:tcW w:w="747" w:type="dxa"/>
            <w:noWrap/>
            <w:vAlign w:val="center"/>
            <w:hideMark/>
          </w:tcPr>
          <w:p w14:paraId="6356BB97"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4.4</w:t>
            </w:r>
          </w:p>
        </w:tc>
        <w:tc>
          <w:tcPr>
            <w:tcW w:w="748" w:type="dxa"/>
            <w:noWrap/>
            <w:vAlign w:val="center"/>
            <w:hideMark/>
          </w:tcPr>
          <w:p w14:paraId="11677B61" w14:textId="77777777" w:rsidR="001C65FE" w:rsidRPr="004A5A84" w:rsidRDefault="001C65FE" w:rsidP="00D84327">
            <w:pPr>
              <w:keepLines/>
              <w:spacing w:after="0"/>
              <w:jc w:val="right"/>
              <w:rPr>
                <w:rFonts w:asciiTheme="minorHAnsi" w:hAnsiTheme="minorHAnsi" w:cstheme="minorHAnsi"/>
                <w:w w:val="90"/>
                <w:sz w:val="18"/>
                <w:szCs w:val="18"/>
              </w:rPr>
            </w:pPr>
            <w:r w:rsidRPr="004A5A84">
              <w:rPr>
                <w:rFonts w:asciiTheme="minorHAnsi" w:hAnsiTheme="minorHAnsi" w:cstheme="minorHAnsi"/>
                <w:w w:val="90"/>
                <w:sz w:val="18"/>
                <w:szCs w:val="18"/>
              </w:rPr>
              <w:t>0.0</w:t>
            </w:r>
          </w:p>
        </w:tc>
      </w:tr>
    </w:tbl>
    <w:p w14:paraId="57C691D4" w14:textId="77777777" w:rsidR="001C65FE" w:rsidRPr="005B2032" w:rsidRDefault="001C65FE" w:rsidP="00D84327">
      <w:pPr>
        <w:pStyle w:val="a"/>
      </w:pPr>
      <w:r w:rsidRPr="005B2032">
        <w:t>Източник: МФ, НСИ</w:t>
      </w:r>
    </w:p>
    <w:p w14:paraId="4CCEC21A" w14:textId="369665BE" w:rsidR="001C65FE" w:rsidRPr="005B2032" w:rsidRDefault="001C65FE" w:rsidP="00D661BA">
      <w:pPr>
        <w:rPr>
          <w:lang w:val="en-US"/>
        </w:rPr>
      </w:pPr>
      <w:r w:rsidRPr="005B2032">
        <w:lastRenderedPageBreak/>
        <w:t>Очакванията за динамиката на потребителските цени в страната, представени в предходната Конвергентна програма, бяха свързани преди всичко с известно ускоряване на инфлацията през 2021</w:t>
      </w:r>
      <w:r w:rsidR="00DF07FD">
        <w:t> г.</w:t>
      </w:r>
      <w:r w:rsidRPr="005B2032">
        <w:t xml:space="preserve"> във връзка с възстановяването от пандемията в глобален мащаб, последвано от забавянето ѝ в средносрочен период по линия на очакваното понижение на международните цени и най-вече тези на петрола. Профилът на инфлацията в страната почти напълно съвпадаше с очакванията на МФ до средата на 2021</w:t>
      </w:r>
      <w:r w:rsidR="00DF07FD">
        <w:t> г.</w:t>
      </w:r>
      <w:r w:rsidRPr="005B2032">
        <w:t xml:space="preserve"> След това наблюдаваното поскъпване на енергийните суровини (петрол, природен газ, въглища, електроенергия) се ускори, особено през зимните месеци, а по линия на разгръщащите се преки и косвени ефекти вър</w:t>
      </w:r>
      <w:r w:rsidR="005561C4">
        <w:t>ху широк кръг от стоки и услуги</w:t>
      </w:r>
      <w:r w:rsidRPr="005B2032">
        <w:t xml:space="preserve"> доведе до ускорение в темпа на инфлация над очакваното в края на 2021</w:t>
      </w:r>
      <w:r w:rsidR="00DF07FD">
        <w:t> г.</w:t>
      </w:r>
      <w:r w:rsidRPr="005B2032">
        <w:t xml:space="preserve"> и първите месеци на 2022</w:t>
      </w:r>
      <w:r w:rsidR="00DF07FD">
        <w:t> г.</w:t>
      </w:r>
      <w:r w:rsidRPr="005B2032">
        <w:t xml:space="preserve"> Избухването на конфликта в Украйна в края на февруари 2022</w:t>
      </w:r>
      <w:r w:rsidR="00DF07FD">
        <w:t> г.</w:t>
      </w:r>
      <w:r w:rsidRPr="005B2032">
        <w:t xml:space="preserve"> промени съществено очакванията в средносрочен период за динамиката на международните цени на основните суровини, като се отрази и в съществена ревизия във възходяща посока на прогнозата за инфлацията най-вече през 2022 и 2023</w:t>
      </w:r>
      <w:r w:rsidR="00DF07FD">
        <w:t> г.</w:t>
      </w:r>
    </w:p>
    <w:p w14:paraId="1F9C19DC" w14:textId="77777777" w:rsidR="00A444EF" w:rsidRPr="005B2032" w:rsidRDefault="00A444EF" w:rsidP="001C65FE">
      <w:pPr>
        <w:pStyle w:val="a"/>
        <w:jc w:val="both"/>
        <w:rPr>
          <w:rFonts w:asciiTheme="minorHAnsi" w:hAnsiTheme="minorHAnsi" w:cstheme="minorHAnsi"/>
          <w:sz w:val="24"/>
        </w:rPr>
      </w:pPr>
    </w:p>
    <w:p w14:paraId="6B53DB28" w14:textId="77777777" w:rsidR="00A444EF" w:rsidRPr="005B2032" w:rsidRDefault="00A444EF" w:rsidP="00857FD9">
      <w:pPr>
        <w:pStyle w:val="a"/>
        <w:rPr>
          <w:rFonts w:asciiTheme="minorHAnsi" w:hAnsiTheme="minorHAnsi" w:cstheme="minorHAnsi"/>
        </w:rPr>
      </w:pPr>
    </w:p>
    <w:p w14:paraId="43D82128" w14:textId="77777777" w:rsidR="00A444EF" w:rsidRPr="005B2032" w:rsidRDefault="00A444EF" w:rsidP="00857FD9">
      <w:pPr>
        <w:pStyle w:val="a"/>
        <w:rPr>
          <w:rFonts w:asciiTheme="minorHAnsi" w:hAnsiTheme="minorHAnsi" w:cstheme="minorHAnsi"/>
        </w:rPr>
      </w:pPr>
    </w:p>
    <w:p w14:paraId="4092898C" w14:textId="67923CDC" w:rsidR="00D359FF" w:rsidRPr="00D661BA" w:rsidRDefault="00D359FF" w:rsidP="00D661BA">
      <w:pPr>
        <w:pStyle w:val="Heading1"/>
      </w:pPr>
      <w:bookmarkStart w:id="101" w:name="_Toc100906078"/>
      <w:r w:rsidRPr="00D661BA">
        <w:lastRenderedPageBreak/>
        <w:t>У</w:t>
      </w:r>
      <w:r w:rsidR="00E704C2" w:rsidRPr="00D661BA">
        <w:t xml:space="preserve">стойчивост на </w:t>
      </w:r>
      <w:r w:rsidR="00D661BA">
        <w:br/>
      </w:r>
      <w:r w:rsidR="00E704C2" w:rsidRPr="00D661BA">
        <w:t xml:space="preserve">публичните </w:t>
      </w:r>
      <w:bookmarkStart w:id="102" w:name="_Toc285898262"/>
      <w:bookmarkEnd w:id="96"/>
      <w:r w:rsidR="00BA459A" w:rsidRPr="00D661BA">
        <w:t>финанси</w:t>
      </w:r>
      <w:bookmarkEnd w:id="97"/>
      <w:bookmarkEnd w:id="98"/>
      <w:bookmarkEnd w:id="101"/>
    </w:p>
    <w:p w14:paraId="50B3A131" w14:textId="77777777" w:rsidR="00D359FF" w:rsidRPr="00D661BA" w:rsidRDefault="00D359FF" w:rsidP="00D661BA">
      <w:pPr>
        <w:pStyle w:val="Heading2"/>
      </w:pPr>
      <w:bookmarkStart w:id="103" w:name="_Toc352851607"/>
      <w:bookmarkStart w:id="104" w:name="_Toc448227297"/>
      <w:bookmarkStart w:id="105" w:name="_Toc479332446"/>
      <w:bookmarkStart w:id="106" w:name="_Toc100906079"/>
      <w:bookmarkStart w:id="107" w:name="_Toc290063475"/>
      <w:r w:rsidRPr="00D661BA">
        <w:t>Стратегия на политиката</w:t>
      </w:r>
      <w:bookmarkEnd w:id="103"/>
      <w:bookmarkEnd w:id="104"/>
      <w:bookmarkEnd w:id="105"/>
      <w:bookmarkEnd w:id="106"/>
    </w:p>
    <w:p w14:paraId="202484F0" w14:textId="77777777" w:rsidR="008B5C4D" w:rsidRPr="005B2032" w:rsidRDefault="008B5C4D" w:rsidP="00D661BA">
      <w:bookmarkStart w:id="108" w:name="_Toc352851608"/>
      <w:bookmarkStart w:id="109" w:name="_Toc448227298"/>
      <w:bookmarkStart w:id="110" w:name="_Toc479332447"/>
      <w:r w:rsidRPr="005B2032">
        <w:t>В този раздел се разглежда устойчивостта на фискалната позиция, като се оценява текущото състояние на публичните финанси от гледна точка на бъдещото нарастване на публичните разходи, свързани със застаряването на населението. За тази цел се използват индикаторите за устойчивост S1 и S2, изчислени по методология, разработена от ЕК</w:t>
      </w:r>
      <w:r w:rsidRPr="005B2032">
        <w:rPr>
          <w:rStyle w:val="FootnoteReference"/>
        </w:rPr>
        <w:footnoteReference w:id="24"/>
      </w:r>
      <w:r w:rsidRPr="005B2032">
        <w:t>.</w:t>
      </w:r>
    </w:p>
    <w:p w14:paraId="340CA269" w14:textId="5C99C41A" w:rsidR="008B5C4D" w:rsidRPr="005B2032" w:rsidRDefault="008B5C4D" w:rsidP="00D661BA">
      <w:r w:rsidRPr="005B2032">
        <w:t>Индикаторът за фискална устойчивост в средносрочен план (S1) показва необходимата корекция в структурното първично бюджетно салдо в рамките на пет години от края на прогнозния период (202</w:t>
      </w:r>
      <w:r w:rsidRPr="005B2032">
        <w:rPr>
          <w:lang w:val="en-US"/>
        </w:rPr>
        <w:t>5</w:t>
      </w:r>
      <w:r w:rsidR="00DF07FD">
        <w:t> г.</w:t>
      </w:r>
      <w:r w:rsidRPr="005B2032">
        <w:t xml:space="preserve"> в случая на МФ), за да се гарантира, че държавният дълг в период t+15 (203</w:t>
      </w:r>
      <w:r w:rsidRPr="005B2032">
        <w:rPr>
          <w:lang w:val="en-US"/>
        </w:rPr>
        <w:t>7</w:t>
      </w:r>
      <w:r w:rsidR="00DF07FD">
        <w:t> г.</w:t>
      </w:r>
      <w:r w:rsidRPr="005B2032">
        <w:t xml:space="preserve">) не надвишава референтната стойност от 60%. </w:t>
      </w:r>
    </w:p>
    <w:p w14:paraId="63BF6AF6" w14:textId="77777777" w:rsidR="008B5C4D" w:rsidRPr="005B2032" w:rsidRDefault="008B5C4D" w:rsidP="0002274C">
      <w:r w:rsidRPr="005B2032">
        <w:t>Индикаторът за фискална устойчивост в дългосрочен план (S2) показва необходимата корекция в първичния баланс, за да се спази времевото бюджетно ограничение (дисконтираната стойност на бъдещите структурни първични баланси да покрива равнището на дълга в настоящия момент) за безкрайно дълъг период от време с включени допълнителни разходи, произтичащи от застаряването на населението.</w:t>
      </w:r>
    </w:p>
    <w:p w14:paraId="417750E2" w14:textId="77777777" w:rsidR="008B5C4D" w:rsidRPr="005B2032" w:rsidRDefault="008B5C4D" w:rsidP="0002274C">
      <w:r w:rsidRPr="005B2032">
        <w:t>Положителна стойност на индикаторите означава необходимост от фискална консолидация или структурни реформи, които да намалят тежестта от застаряването на населението върху публичните финанси, докато отрицателната показва наличие на фискално пространство.</w:t>
      </w:r>
    </w:p>
    <w:p w14:paraId="1966CF10" w14:textId="5998DC1C" w:rsidR="008B5C4D" w:rsidRPr="00D84327" w:rsidRDefault="0028482C" w:rsidP="00D84327">
      <w:pPr>
        <w:pStyle w:val="Caption"/>
      </w:pPr>
      <w:r w:rsidRPr="00D84327">
        <w:t>Табл</w:t>
      </w:r>
      <w:r w:rsidR="008B5C4D" w:rsidRPr="00D84327">
        <w:t xml:space="preserve">. </w:t>
      </w:r>
      <w:fldSimple w:instr=" STYLEREF 1 \s ">
        <w:r w:rsidR="004C3B04">
          <w:rPr>
            <w:noProof/>
          </w:rPr>
          <w:t>5</w:t>
        </w:r>
      </w:fldSimple>
      <w:r w:rsidR="008B5C4D" w:rsidRPr="00D84327">
        <w:noBreakHyphen/>
      </w:r>
      <w:fldSimple w:instr=" SEQ Граф. \* ARABIC \s 1 ">
        <w:r w:rsidR="004C3B04">
          <w:rPr>
            <w:noProof/>
          </w:rPr>
          <w:t>1</w:t>
        </w:r>
      </w:fldSimple>
      <w:r w:rsidR="008B5C4D" w:rsidRPr="00D84327">
        <w:t>: Индикатори за устойчивост</w:t>
      </w:r>
    </w:p>
    <w:tbl>
      <w:tblPr>
        <w:tblStyle w:val="Style18"/>
        <w:tblW w:w="49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57" w:type="dxa"/>
          <w:right w:w="57" w:type="dxa"/>
        </w:tblCellMar>
        <w:tblLook w:val="0620" w:firstRow="1" w:lastRow="0" w:firstColumn="0" w:lastColumn="0" w:noHBand="1" w:noVBand="1"/>
      </w:tblPr>
      <w:tblGrid>
        <w:gridCol w:w="3746"/>
        <w:gridCol w:w="1284"/>
        <w:gridCol w:w="1286"/>
        <w:gridCol w:w="1284"/>
        <w:gridCol w:w="1283"/>
      </w:tblGrid>
      <w:tr w:rsidR="005B2032" w:rsidRPr="007D2A17" w14:paraId="3BFF6D95" w14:textId="77777777" w:rsidTr="00A45498">
        <w:trPr>
          <w:trHeight w:val="340"/>
          <w:jc w:val="center"/>
        </w:trPr>
        <w:tc>
          <w:tcPr>
            <w:tcW w:w="2108" w:type="pct"/>
            <w:shd w:val="clear" w:color="auto" w:fill="D7D4F1"/>
            <w:hideMark/>
          </w:tcPr>
          <w:p w14:paraId="18224DF0" w14:textId="77777777" w:rsidR="008B5C4D" w:rsidRPr="007D2A17" w:rsidRDefault="008B5C4D" w:rsidP="00D84327">
            <w:pPr>
              <w:spacing w:after="0"/>
              <w:rPr>
                <w:b/>
                <w:sz w:val="20"/>
                <w:szCs w:val="20"/>
              </w:rPr>
            </w:pPr>
            <w:r w:rsidRPr="007D2A17">
              <w:rPr>
                <w:b/>
                <w:sz w:val="20"/>
                <w:szCs w:val="20"/>
              </w:rPr>
              <w:t> </w:t>
            </w:r>
          </w:p>
        </w:tc>
        <w:tc>
          <w:tcPr>
            <w:tcW w:w="1447" w:type="pct"/>
            <w:gridSpan w:val="2"/>
            <w:shd w:val="clear" w:color="auto" w:fill="D7D4F1"/>
            <w:vAlign w:val="center"/>
            <w:hideMark/>
          </w:tcPr>
          <w:p w14:paraId="7714C1B5" w14:textId="77777777" w:rsidR="008B5C4D" w:rsidRPr="007D2A17" w:rsidRDefault="008B5C4D" w:rsidP="00D84327">
            <w:pPr>
              <w:spacing w:after="0"/>
              <w:jc w:val="center"/>
              <w:rPr>
                <w:b/>
                <w:sz w:val="20"/>
                <w:szCs w:val="20"/>
              </w:rPr>
            </w:pPr>
            <w:r w:rsidRPr="007D2A17">
              <w:rPr>
                <w:b/>
                <w:sz w:val="20"/>
                <w:szCs w:val="20"/>
              </w:rPr>
              <w:t>МФ</w:t>
            </w:r>
          </w:p>
        </w:tc>
        <w:tc>
          <w:tcPr>
            <w:tcW w:w="1445" w:type="pct"/>
            <w:gridSpan w:val="2"/>
            <w:shd w:val="clear" w:color="auto" w:fill="D7D4F1"/>
            <w:vAlign w:val="center"/>
            <w:hideMark/>
          </w:tcPr>
          <w:p w14:paraId="72582E91" w14:textId="77777777" w:rsidR="008B5C4D" w:rsidRPr="007D2A17" w:rsidRDefault="008B5C4D" w:rsidP="00D84327">
            <w:pPr>
              <w:spacing w:after="0"/>
              <w:jc w:val="center"/>
              <w:rPr>
                <w:b/>
                <w:sz w:val="20"/>
                <w:szCs w:val="20"/>
              </w:rPr>
            </w:pPr>
            <w:r w:rsidRPr="007D2A17">
              <w:rPr>
                <w:b/>
                <w:sz w:val="20"/>
                <w:szCs w:val="20"/>
              </w:rPr>
              <w:t>ЕК</w:t>
            </w:r>
          </w:p>
        </w:tc>
      </w:tr>
      <w:tr w:rsidR="005B2032" w:rsidRPr="007D2A17" w14:paraId="25361A55" w14:textId="77777777" w:rsidTr="00A45498">
        <w:trPr>
          <w:trHeight w:val="340"/>
          <w:jc w:val="center"/>
        </w:trPr>
        <w:tc>
          <w:tcPr>
            <w:tcW w:w="2108" w:type="pct"/>
            <w:vAlign w:val="center"/>
          </w:tcPr>
          <w:p w14:paraId="511BBF2D" w14:textId="77777777" w:rsidR="008B5C4D" w:rsidRPr="007D2A17" w:rsidRDefault="008B5C4D" w:rsidP="00D84327">
            <w:pPr>
              <w:spacing w:after="0"/>
              <w:jc w:val="left"/>
              <w:rPr>
                <w:b/>
                <w:sz w:val="20"/>
                <w:szCs w:val="20"/>
              </w:rPr>
            </w:pPr>
          </w:p>
        </w:tc>
        <w:tc>
          <w:tcPr>
            <w:tcW w:w="723" w:type="pct"/>
            <w:vAlign w:val="center"/>
            <w:hideMark/>
          </w:tcPr>
          <w:p w14:paraId="3081F737" w14:textId="77777777" w:rsidR="008B5C4D" w:rsidRPr="007D2A17" w:rsidRDefault="008B5C4D" w:rsidP="00D84327">
            <w:pPr>
              <w:spacing w:after="0"/>
              <w:jc w:val="center"/>
              <w:rPr>
                <w:b/>
                <w:sz w:val="20"/>
                <w:szCs w:val="20"/>
              </w:rPr>
            </w:pPr>
            <w:r w:rsidRPr="007D2A17">
              <w:rPr>
                <w:b/>
                <w:sz w:val="20"/>
                <w:szCs w:val="20"/>
              </w:rPr>
              <w:t>S1</w:t>
            </w:r>
          </w:p>
        </w:tc>
        <w:tc>
          <w:tcPr>
            <w:tcW w:w="724" w:type="pct"/>
            <w:vAlign w:val="center"/>
            <w:hideMark/>
          </w:tcPr>
          <w:p w14:paraId="04F5D8F8" w14:textId="77777777" w:rsidR="008B5C4D" w:rsidRPr="007D2A17" w:rsidRDefault="008B5C4D" w:rsidP="00D84327">
            <w:pPr>
              <w:spacing w:after="0"/>
              <w:jc w:val="center"/>
              <w:rPr>
                <w:b/>
                <w:sz w:val="20"/>
                <w:szCs w:val="20"/>
              </w:rPr>
            </w:pPr>
            <w:r w:rsidRPr="007D2A17">
              <w:rPr>
                <w:b/>
                <w:sz w:val="20"/>
                <w:szCs w:val="20"/>
              </w:rPr>
              <w:t>S2</w:t>
            </w:r>
          </w:p>
        </w:tc>
        <w:tc>
          <w:tcPr>
            <w:tcW w:w="723" w:type="pct"/>
            <w:vAlign w:val="center"/>
            <w:hideMark/>
          </w:tcPr>
          <w:p w14:paraId="6691495B" w14:textId="77777777" w:rsidR="008B5C4D" w:rsidRPr="007D2A17" w:rsidRDefault="008B5C4D" w:rsidP="00D84327">
            <w:pPr>
              <w:spacing w:after="0"/>
              <w:jc w:val="center"/>
              <w:rPr>
                <w:b/>
                <w:sz w:val="20"/>
                <w:szCs w:val="20"/>
              </w:rPr>
            </w:pPr>
            <w:r w:rsidRPr="007D2A17">
              <w:rPr>
                <w:b/>
                <w:sz w:val="20"/>
                <w:szCs w:val="20"/>
              </w:rPr>
              <w:t>S1</w:t>
            </w:r>
          </w:p>
        </w:tc>
        <w:tc>
          <w:tcPr>
            <w:tcW w:w="722" w:type="pct"/>
            <w:vAlign w:val="center"/>
            <w:hideMark/>
          </w:tcPr>
          <w:p w14:paraId="6EB808CA" w14:textId="77777777" w:rsidR="008B5C4D" w:rsidRPr="007D2A17" w:rsidRDefault="008B5C4D" w:rsidP="00D84327">
            <w:pPr>
              <w:spacing w:after="0"/>
              <w:jc w:val="center"/>
              <w:rPr>
                <w:b/>
                <w:sz w:val="20"/>
                <w:szCs w:val="20"/>
              </w:rPr>
            </w:pPr>
            <w:r w:rsidRPr="007D2A17">
              <w:rPr>
                <w:b/>
                <w:sz w:val="20"/>
                <w:szCs w:val="20"/>
              </w:rPr>
              <w:t>S2</w:t>
            </w:r>
          </w:p>
        </w:tc>
      </w:tr>
      <w:tr w:rsidR="005B2032" w:rsidRPr="007D2A17" w14:paraId="0B0CFA04" w14:textId="77777777" w:rsidTr="00A45498">
        <w:trPr>
          <w:trHeight w:val="340"/>
          <w:jc w:val="center"/>
        </w:trPr>
        <w:tc>
          <w:tcPr>
            <w:tcW w:w="2108" w:type="pct"/>
            <w:vAlign w:val="center"/>
            <w:hideMark/>
          </w:tcPr>
          <w:p w14:paraId="279CE68D" w14:textId="77777777" w:rsidR="008B5C4D" w:rsidRPr="007D2A17" w:rsidRDefault="008B5C4D" w:rsidP="00D84327">
            <w:pPr>
              <w:spacing w:after="0"/>
              <w:jc w:val="left"/>
              <w:rPr>
                <w:sz w:val="20"/>
                <w:szCs w:val="20"/>
              </w:rPr>
            </w:pPr>
            <w:r w:rsidRPr="007D2A17">
              <w:rPr>
                <w:sz w:val="20"/>
                <w:szCs w:val="20"/>
              </w:rPr>
              <w:t>Стойност, от която:</w:t>
            </w:r>
          </w:p>
        </w:tc>
        <w:tc>
          <w:tcPr>
            <w:tcW w:w="723" w:type="pct"/>
            <w:vAlign w:val="center"/>
            <w:hideMark/>
          </w:tcPr>
          <w:p w14:paraId="4945877D" w14:textId="77777777" w:rsidR="008B5C4D" w:rsidRPr="007D2A17" w:rsidRDefault="008B5C4D" w:rsidP="00D84327">
            <w:pPr>
              <w:spacing w:after="0"/>
              <w:jc w:val="center"/>
              <w:rPr>
                <w:sz w:val="20"/>
                <w:szCs w:val="20"/>
                <w:lang w:val="en-US"/>
              </w:rPr>
            </w:pPr>
            <w:r w:rsidRPr="007D2A17">
              <w:rPr>
                <w:sz w:val="20"/>
                <w:szCs w:val="20"/>
              </w:rPr>
              <w:t>-</w:t>
            </w:r>
            <w:r w:rsidRPr="007D2A17">
              <w:rPr>
                <w:sz w:val="20"/>
                <w:szCs w:val="20"/>
                <w:lang w:val="en-US"/>
              </w:rPr>
              <w:t>2.4</w:t>
            </w:r>
          </w:p>
        </w:tc>
        <w:tc>
          <w:tcPr>
            <w:tcW w:w="724" w:type="pct"/>
            <w:vAlign w:val="center"/>
            <w:hideMark/>
          </w:tcPr>
          <w:p w14:paraId="0B6B9F34" w14:textId="77777777" w:rsidR="008B5C4D" w:rsidRPr="007D2A17" w:rsidRDefault="008B5C4D" w:rsidP="00D84327">
            <w:pPr>
              <w:spacing w:after="0"/>
              <w:jc w:val="center"/>
              <w:rPr>
                <w:sz w:val="20"/>
                <w:szCs w:val="20"/>
                <w:lang w:val="en-US"/>
              </w:rPr>
            </w:pPr>
            <w:r w:rsidRPr="007D2A17">
              <w:rPr>
                <w:sz w:val="20"/>
                <w:szCs w:val="20"/>
                <w:lang w:val="en-US"/>
              </w:rPr>
              <w:t>2.2</w:t>
            </w:r>
          </w:p>
        </w:tc>
        <w:tc>
          <w:tcPr>
            <w:tcW w:w="723" w:type="pct"/>
            <w:vAlign w:val="center"/>
            <w:hideMark/>
          </w:tcPr>
          <w:p w14:paraId="3AC74ABC" w14:textId="77777777" w:rsidR="008B5C4D" w:rsidRPr="007D2A17" w:rsidRDefault="008B5C4D" w:rsidP="00D84327">
            <w:pPr>
              <w:spacing w:after="0"/>
              <w:jc w:val="center"/>
              <w:rPr>
                <w:sz w:val="20"/>
                <w:szCs w:val="20"/>
              </w:rPr>
            </w:pPr>
            <w:r w:rsidRPr="007D2A17">
              <w:rPr>
                <w:sz w:val="20"/>
                <w:szCs w:val="20"/>
              </w:rPr>
              <w:t>-3.1</w:t>
            </w:r>
          </w:p>
        </w:tc>
        <w:tc>
          <w:tcPr>
            <w:tcW w:w="722" w:type="pct"/>
            <w:vAlign w:val="center"/>
            <w:hideMark/>
          </w:tcPr>
          <w:p w14:paraId="0A8AD4A8" w14:textId="77777777" w:rsidR="008B5C4D" w:rsidRPr="007D2A17" w:rsidRDefault="008B5C4D" w:rsidP="00D84327">
            <w:pPr>
              <w:spacing w:after="0"/>
              <w:jc w:val="center"/>
              <w:rPr>
                <w:sz w:val="20"/>
                <w:szCs w:val="20"/>
              </w:rPr>
            </w:pPr>
            <w:r w:rsidRPr="007D2A17">
              <w:rPr>
                <w:sz w:val="20"/>
                <w:szCs w:val="20"/>
              </w:rPr>
              <w:t>2.5</w:t>
            </w:r>
          </w:p>
        </w:tc>
      </w:tr>
      <w:tr w:rsidR="005B2032" w:rsidRPr="007D2A17" w14:paraId="058C6546" w14:textId="77777777" w:rsidTr="00A45498">
        <w:trPr>
          <w:trHeight w:val="340"/>
          <w:jc w:val="center"/>
        </w:trPr>
        <w:tc>
          <w:tcPr>
            <w:tcW w:w="2108" w:type="pct"/>
            <w:vAlign w:val="center"/>
            <w:hideMark/>
          </w:tcPr>
          <w:p w14:paraId="0BE01BC9" w14:textId="77777777" w:rsidR="008B5C4D" w:rsidRPr="007D2A17" w:rsidRDefault="008B5C4D" w:rsidP="00D84327">
            <w:pPr>
              <w:spacing w:after="0"/>
              <w:ind w:left="170"/>
              <w:jc w:val="left"/>
              <w:rPr>
                <w:sz w:val="20"/>
                <w:szCs w:val="20"/>
              </w:rPr>
            </w:pPr>
            <w:r w:rsidRPr="007D2A17">
              <w:rPr>
                <w:sz w:val="20"/>
                <w:szCs w:val="20"/>
              </w:rPr>
              <w:t>Начална бюджетна позиция</w:t>
            </w:r>
          </w:p>
        </w:tc>
        <w:tc>
          <w:tcPr>
            <w:tcW w:w="723" w:type="pct"/>
            <w:vAlign w:val="center"/>
            <w:hideMark/>
          </w:tcPr>
          <w:p w14:paraId="2F96A791" w14:textId="77777777" w:rsidR="008B5C4D" w:rsidRPr="007D2A17" w:rsidRDefault="008B5C4D" w:rsidP="00D84327">
            <w:pPr>
              <w:spacing w:after="0"/>
              <w:jc w:val="center"/>
              <w:rPr>
                <w:sz w:val="20"/>
                <w:szCs w:val="20"/>
                <w:lang w:val="en-US"/>
              </w:rPr>
            </w:pPr>
            <w:r w:rsidRPr="007D2A17">
              <w:rPr>
                <w:sz w:val="20"/>
                <w:szCs w:val="20"/>
                <w:lang w:val="en-US"/>
              </w:rPr>
              <w:t>1.2</w:t>
            </w:r>
          </w:p>
        </w:tc>
        <w:tc>
          <w:tcPr>
            <w:tcW w:w="724" w:type="pct"/>
            <w:vAlign w:val="center"/>
            <w:hideMark/>
          </w:tcPr>
          <w:p w14:paraId="41A72C55" w14:textId="77777777" w:rsidR="008B5C4D" w:rsidRPr="007D2A17" w:rsidRDefault="008B5C4D" w:rsidP="00D84327">
            <w:pPr>
              <w:spacing w:after="0"/>
              <w:jc w:val="center"/>
              <w:rPr>
                <w:sz w:val="20"/>
                <w:szCs w:val="20"/>
                <w:lang w:val="en-US"/>
              </w:rPr>
            </w:pPr>
            <w:r w:rsidRPr="007D2A17">
              <w:rPr>
                <w:sz w:val="20"/>
                <w:szCs w:val="20"/>
              </w:rPr>
              <w:t>2</w:t>
            </w:r>
            <w:r w:rsidRPr="007D2A17">
              <w:rPr>
                <w:sz w:val="20"/>
                <w:szCs w:val="20"/>
                <w:lang w:val="en-US"/>
              </w:rPr>
              <w:t>.1</w:t>
            </w:r>
          </w:p>
        </w:tc>
        <w:tc>
          <w:tcPr>
            <w:tcW w:w="723" w:type="pct"/>
            <w:vAlign w:val="center"/>
            <w:hideMark/>
          </w:tcPr>
          <w:p w14:paraId="455C9DBB" w14:textId="77777777" w:rsidR="008B5C4D" w:rsidRPr="007D2A17" w:rsidRDefault="008B5C4D" w:rsidP="00D84327">
            <w:pPr>
              <w:spacing w:after="0"/>
              <w:jc w:val="center"/>
              <w:rPr>
                <w:sz w:val="20"/>
                <w:szCs w:val="20"/>
              </w:rPr>
            </w:pPr>
            <w:r w:rsidRPr="007D2A17">
              <w:rPr>
                <w:sz w:val="20"/>
                <w:szCs w:val="20"/>
              </w:rPr>
              <w:t>-1.2</w:t>
            </w:r>
          </w:p>
        </w:tc>
        <w:tc>
          <w:tcPr>
            <w:tcW w:w="722" w:type="pct"/>
            <w:vAlign w:val="center"/>
            <w:hideMark/>
          </w:tcPr>
          <w:p w14:paraId="0D1BFB82" w14:textId="77777777" w:rsidR="008B5C4D" w:rsidRPr="007D2A17" w:rsidRDefault="008B5C4D" w:rsidP="00D84327">
            <w:pPr>
              <w:spacing w:after="0"/>
              <w:jc w:val="center"/>
              <w:rPr>
                <w:sz w:val="20"/>
                <w:szCs w:val="20"/>
              </w:rPr>
            </w:pPr>
            <w:r w:rsidRPr="007D2A17">
              <w:rPr>
                <w:sz w:val="20"/>
                <w:szCs w:val="20"/>
              </w:rPr>
              <w:t>-0.1</w:t>
            </w:r>
          </w:p>
        </w:tc>
      </w:tr>
      <w:tr w:rsidR="005B2032" w:rsidRPr="007D2A17" w14:paraId="76F6DED4" w14:textId="77777777" w:rsidTr="00A45498">
        <w:trPr>
          <w:trHeight w:val="340"/>
          <w:jc w:val="center"/>
        </w:trPr>
        <w:tc>
          <w:tcPr>
            <w:tcW w:w="2108" w:type="pct"/>
            <w:vAlign w:val="center"/>
            <w:hideMark/>
          </w:tcPr>
          <w:p w14:paraId="7615E6FF" w14:textId="77777777" w:rsidR="008B5C4D" w:rsidRPr="007D2A17" w:rsidRDefault="008B5C4D" w:rsidP="00D84327">
            <w:pPr>
              <w:spacing w:after="0"/>
              <w:ind w:left="170"/>
              <w:jc w:val="left"/>
              <w:rPr>
                <w:sz w:val="20"/>
                <w:szCs w:val="20"/>
              </w:rPr>
            </w:pPr>
            <w:r w:rsidRPr="007D2A17">
              <w:rPr>
                <w:sz w:val="20"/>
                <w:szCs w:val="20"/>
              </w:rPr>
              <w:t xml:space="preserve">Дългово ограничение </w:t>
            </w:r>
          </w:p>
        </w:tc>
        <w:tc>
          <w:tcPr>
            <w:tcW w:w="723" w:type="pct"/>
            <w:vAlign w:val="center"/>
            <w:hideMark/>
          </w:tcPr>
          <w:p w14:paraId="414BCA29" w14:textId="77777777" w:rsidR="008B5C4D" w:rsidRPr="007D2A17" w:rsidRDefault="008B5C4D" w:rsidP="00D84327">
            <w:pPr>
              <w:spacing w:after="0"/>
              <w:jc w:val="center"/>
              <w:rPr>
                <w:sz w:val="20"/>
                <w:szCs w:val="20"/>
              </w:rPr>
            </w:pPr>
            <w:r w:rsidRPr="007D2A17">
              <w:rPr>
                <w:sz w:val="20"/>
                <w:szCs w:val="20"/>
              </w:rPr>
              <w:t>-2.9</w:t>
            </w:r>
          </w:p>
        </w:tc>
        <w:tc>
          <w:tcPr>
            <w:tcW w:w="724" w:type="pct"/>
            <w:vAlign w:val="center"/>
          </w:tcPr>
          <w:p w14:paraId="139754C0" w14:textId="77777777" w:rsidR="008B5C4D" w:rsidRPr="007D2A17" w:rsidRDefault="008B5C4D" w:rsidP="00D84327">
            <w:pPr>
              <w:spacing w:after="0"/>
              <w:jc w:val="center"/>
              <w:rPr>
                <w:sz w:val="20"/>
                <w:szCs w:val="20"/>
              </w:rPr>
            </w:pPr>
          </w:p>
        </w:tc>
        <w:tc>
          <w:tcPr>
            <w:tcW w:w="723" w:type="pct"/>
            <w:vAlign w:val="center"/>
            <w:hideMark/>
          </w:tcPr>
          <w:p w14:paraId="2F9AF2AA" w14:textId="77777777" w:rsidR="008B5C4D" w:rsidRPr="007D2A17" w:rsidRDefault="008B5C4D" w:rsidP="00D84327">
            <w:pPr>
              <w:spacing w:after="0"/>
              <w:jc w:val="center"/>
              <w:rPr>
                <w:sz w:val="20"/>
                <w:szCs w:val="20"/>
              </w:rPr>
            </w:pPr>
            <w:r w:rsidRPr="007D2A17">
              <w:rPr>
                <w:sz w:val="20"/>
                <w:szCs w:val="20"/>
              </w:rPr>
              <w:t>-2.5</w:t>
            </w:r>
          </w:p>
        </w:tc>
        <w:tc>
          <w:tcPr>
            <w:tcW w:w="722" w:type="pct"/>
            <w:vAlign w:val="center"/>
          </w:tcPr>
          <w:p w14:paraId="665C1DFA" w14:textId="77777777" w:rsidR="008B5C4D" w:rsidRPr="007D2A17" w:rsidRDefault="008B5C4D" w:rsidP="00D84327">
            <w:pPr>
              <w:spacing w:after="0"/>
              <w:jc w:val="center"/>
              <w:rPr>
                <w:sz w:val="20"/>
                <w:szCs w:val="20"/>
              </w:rPr>
            </w:pPr>
          </w:p>
        </w:tc>
      </w:tr>
      <w:tr w:rsidR="005B2032" w:rsidRPr="007D2A17" w14:paraId="52198BFA" w14:textId="77777777" w:rsidTr="00A45498">
        <w:trPr>
          <w:trHeight w:val="340"/>
          <w:jc w:val="center"/>
        </w:trPr>
        <w:tc>
          <w:tcPr>
            <w:tcW w:w="2108" w:type="pct"/>
            <w:vAlign w:val="center"/>
            <w:hideMark/>
          </w:tcPr>
          <w:p w14:paraId="77CF5124" w14:textId="77777777" w:rsidR="008B5C4D" w:rsidRPr="007D2A17" w:rsidRDefault="008B5C4D" w:rsidP="00D84327">
            <w:pPr>
              <w:spacing w:after="0"/>
              <w:ind w:left="170"/>
              <w:jc w:val="left"/>
              <w:rPr>
                <w:sz w:val="20"/>
                <w:szCs w:val="20"/>
              </w:rPr>
            </w:pPr>
            <w:r w:rsidRPr="007D2A17">
              <w:rPr>
                <w:sz w:val="20"/>
                <w:szCs w:val="20"/>
              </w:rPr>
              <w:t>Бъдещи промени в бюджетната позиция</w:t>
            </w:r>
          </w:p>
        </w:tc>
        <w:tc>
          <w:tcPr>
            <w:tcW w:w="723" w:type="pct"/>
            <w:vAlign w:val="center"/>
            <w:hideMark/>
          </w:tcPr>
          <w:p w14:paraId="6768C218" w14:textId="77777777" w:rsidR="008B5C4D" w:rsidRPr="007D2A17" w:rsidRDefault="008B5C4D" w:rsidP="00D84327">
            <w:pPr>
              <w:spacing w:after="0"/>
              <w:jc w:val="center"/>
              <w:rPr>
                <w:sz w:val="20"/>
                <w:szCs w:val="20"/>
                <w:lang w:val="en-US"/>
              </w:rPr>
            </w:pPr>
            <w:r w:rsidRPr="007D2A17">
              <w:rPr>
                <w:sz w:val="20"/>
                <w:szCs w:val="20"/>
                <w:lang w:val="en-US"/>
              </w:rPr>
              <w:t>-0.7</w:t>
            </w:r>
          </w:p>
        </w:tc>
        <w:tc>
          <w:tcPr>
            <w:tcW w:w="724" w:type="pct"/>
            <w:vAlign w:val="center"/>
            <w:hideMark/>
          </w:tcPr>
          <w:p w14:paraId="38EB01D7" w14:textId="77777777" w:rsidR="008B5C4D" w:rsidRPr="007D2A17" w:rsidRDefault="008B5C4D" w:rsidP="00D84327">
            <w:pPr>
              <w:spacing w:after="0"/>
              <w:jc w:val="center"/>
              <w:rPr>
                <w:sz w:val="20"/>
                <w:szCs w:val="20"/>
                <w:lang w:val="en-US"/>
              </w:rPr>
            </w:pPr>
            <w:r w:rsidRPr="007D2A17">
              <w:rPr>
                <w:sz w:val="20"/>
                <w:szCs w:val="20"/>
                <w:lang w:val="en-US"/>
              </w:rPr>
              <w:t>0.2</w:t>
            </w:r>
          </w:p>
        </w:tc>
        <w:tc>
          <w:tcPr>
            <w:tcW w:w="723" w:type="pct"/>
            <w:vAlign w:val="center"/>
            <w:hideMark/>
          </w:tcPr>
          <w:p w14:paraId="2AB256E5" w14:textId="77777777" w:rsidR="008B5C4D" w:rsidRPr="007D2A17" w:rsidRDefault="008B5C4D" w:rsidP="00D84327">
            <w:pPr>
              <w:spacing w:after="0"/>
              <w:jc w:val="center"/>
              <w:rPr>
                <w:sz w:val="20"/>
                <w:szCs w:val="20"/>
              </w:rPr>
            </w:pPr>
            <w:r w:rsidRPr="007D2A17">
              <w:rPr>
                <w:sz w:val="20"/>
                <w:szCs w:val="20"/>
              </w:rPr>
              <w:t>0.7</w:t>
            </w:r>
          </w:p>
        </w:tc>
        <w:tc>
          <w:tcPr>
            <w:tcW w:w="722" w:type="pct"/>
            <w:vAlign w:val="center"/>
            <w:hideMark/>
          </w:tcPr>
          <w:p w14:paraId="16BC551A" w14:textId="77777777" w:rsidR="008B5C4D" w:rsidRPr="007D2A17" w:rsidRDefault="008B5C4D" w:rsidP="00D84327">
            <w:pPr>
              <w:spacing w:after="0"/>
              <w:jc w:val="center"/>
              <w:rPr>
                <w:sz w:val="20"/>
                <w:szCs w:val="20"/>
              </w:rPr>
            </w:pPr>
            <w:r w:rsidRPr="007D2A17">
              <w:rPr>
                <w:sz w:val="20"/>
                <w:szCs w:val="20"/>
              </w:rPr>
              <w:t>2.5</w:t>
            </w:r>
          </w:p>
        </w:tc>
      </w:tr>
    </w:tbl>
    <w:p w14:paraId="391BE53D" w14:textId="77777777" w:rsidR="008B5C4D" w:rsidRPr="005B2032" w:rsidRDefault="008B5C4D" w:rsidP="00D84327">
      <w:pPr>
        <w:pStyle w:val="a"/>
        <w:rPr>
          <w:rFonts w:asciiTheme="minorHAnsi" w:hAnsiTheme="minorHAnsi"/>
        </w:rPr>
      </w:pPr>
      <w:r w:rsidRPr="005B2032">
        <w:t>Източник: МФ, Debt Sustainability Monitor 2020</w:t>
      </w:r>
    </w:p>
    <w:p w14:paraId="7E3632D1" w14:textId="01E296DA" w:rsidR="008B5C4D" w:rsidRPr="005B2032" w:rsidRDefault="008B5C4D" w:rsidP="0002274C">
      <w:r w:rsidRPr="005B2032">
        <w:t>В таблицата са представени оценките на МФ за индикаторите за устойчивост и тези на ЕК от Мониторинговия доклад относно устойчивостта на дълга на страните от ЕС, публикуван през февруари 2021</w:t>
      </w:r>
      <w:r w:rsidR="00DF07FD">
        <w:t> г.</w:t>
      </w:r>
      <w:r w:rsidRPr="005B2032">
        <w:t xml:space="preserve"> Наличието на разлики в стойностите на индикаторите S1 и S2 между двете институции в голяма степен се дължи на различни очаквания за икономическия растеж, дълга и бюджетния баланс в средносрочен план, като оценките на Комисията се базират на прогнози от есента на 2020</w:t>
      </w:r>
      <w:r w:rsidR="00DF07FD">
        <w:t> г.</w:t>
      </w:r>
      <w:r w:rsidRPr="005B2032">
        <w:t xml:space="preserve"> Освен това оценката за устойчивостта на фискалната политика е силно зависима от перспективите за дългосрочно развитие на икономиката. Наличието на разлики в стойностите на индикаторите S1 и S2 </w:t>
      </w:r>
      <w:r w:rsidRPr="005B2032">
        <w:lastRenderedPageBreak/>
        <w:t>между двете институции се дължи и на разлики в очакванията за бъдещи промени в бюджетната позиция, които са свързани с разходите за пенсии, здравеопазване и образование. При изготвянето на своята дългосрочна макроикономическа прогноза и съответните оценки за разходи, свързани със застаряването на населението, МФ използва актуализирани допускания, залегнали в Доклада по застаряване на населението от 2021</w:t>
      </w:r>
      <w:r w:rsidR="00DF07FD">
        <w:t> г.</w:t>
      </w:r>
      <w:r w:rsidRPr="005B2032">
        <w:t>, прогноза за разходите за пенсии</w:t>
      </w:r>
      <w:r w:rsidR="005561C4">
        <w:t>,</w:t>
      </w:r>
      <w:r w:rsidRPr="005B2032">
        <w:t xml:space="preserve"> подадена от Националния осигурителен институт и прогнози за разходите за здравеопазване и образование, получени от дългосрочния модел на МФ. В същото време, прогнозата на ЕК за разходите за застаряване се базира на Доклада по застаряване на населението от 2018</w:t>
      </w:r>
      <w:r w:rsidR="00DF07FD">
        <w:t> г.</w:t>
      </w:r>
    </w:p>
    <w:p w14:paraId="00487E15" w14:textId="12AA1103" w:rsidR="008B5C4D" w:rsidRPr="005B2032" w:rsidRDefault="008B5C4D" w:rsidP="0002274C">
      <w:r w:rsidRPr="005B2032">
        <w:t>Оценките показват, че въпреки очакванията за увеличение на дълга в рамките на прогнозния период до 2025</w:t>
      </w:r>
      <w:r w:rsidR="00DF07FD">
        <w:t> г.</w:t>
      </w:r>
      <w:r w:rsidRPr="005B2032">
        <w:t>, фискалната устойчивост на страната не е застрашена. Индикаторът S1 е отрицателен, което според референтните стойности на ЕК означава нисък риск за фискалната устойчивост в средносрочен план и предполага поддържане на нивото на дълга под 60% от БВП. Стойността на индикатора S2 показва умерен риск и нужда от коригиране на първичния баланс</w:t>
      </w:r>
      <w:r w:rsidR="005561C4">
        <w:t>,</w:t>
      </w:r>
      <w:r w:rsidRPr="005B2032">
        <w:t xml:space="preserve"> за да се запази фискалната устойчивост.</w:t>
      </w:r>
    </w:p>
    <w:p w14:paraId="78198C5F" w14:textId="77777777" w:rsidR="008B5C4D" w:rsidRPr="005B2032" w:rsidRDefault="008B5C4D" w:rsidP="0002274C">
      <w:r w:rsidRPr="005B2032">
        <w:t>Направена е и оценка за чувствителността на дълга</w:t>
      </w:r>
      <w:r w:rsidRPr="005B2032">
        <w:rPr>
          <w:rStyle w:val="FootnoteReference"/>
        </w:rPr>
        <w:footnoteReference w:id="25"/>
      </w:r>
      <w:r w:rsidRPr="005B2032">
        <w:t>, която представя набор от възможни сценарии за развитието на консолидирания дълг на сектор „Държавно управление“ (наричан накратко в настоящия анализ държавен дълг) като процент от БВП до края на прогнозния период. Разгледани са алтернативни сценарии за ефектите върху съотношението на дълга към БВП при отрицателни шокове върху растежа на БВП и първичния баланс, и по-висок лихвен процент. Както при базовия, така и при алтернативните сценарии, България е оценена като страна с нисък риск</w:t>
      </w:r>
      <w:r w:rsidRPr="005B2032">
        <w:rPr>
          <w:rStyle w:val="FootnoteReference"/>
        </w:rPr>
        <w:footnoteReference w:id="26"/>
      </w:r>
      <w:r w:rsidRPr="005B2032">
        <w:t xml:space="preserve"> по отношение на динамиката на държавния дълг към БВП.</w:t>
      </w:r>
    </w:p>
    <w:p w14:paraId="072B00D1" w14:textId="77777777" w:rsidR="008B5C4D" w:rsidRPr="005B2032" w:rsidRDefault="008B5C4D" w:rsidP="0002274C">
      <w:r w:rsidRPr="005B2032">
        <w:t>Разгледани са четири алтернативни сценария</w:t>
      </w:r>
      <w:r w:rsidRPr="005B2032">
        <w:rPr>
          <w:rStyle w:val="FootnoteReference"/>
        </w:rPr>
        <w:footnoteReference w:id="27"/>
      </w:r>
      <w:r w:rsidRPr="005B2032">
        <w:t>, които представят възможните ефекти върху съотношението държавен дълг към БВП при следните допускания:</w:t>
      </w:r>
    </w:p>
    <w:p w14:paraId="17CB0DCC" w14:textId="77777777" w:rsidR="008B5C4D" w:rsidRPr="005B2032" w:rsidRDefault="008B5C4D" w:rsidP="005F0B57">
      <w:pPr>
        <w:pStyle w:val="ListParagraph"/>
        <w:numPr>
          <w:ilvl w:val="0"/>
          <w:numId w:val="10"/>
        </w:numPr>
        <w:tabs>
          <w:tab w:val="clear" w:pos="680"/>
        </w:tabs>
        <w:ind w:left="567" w:hanging="283"/>
      </w:pPr>
      <w:r w:rsidRPr="005B2032">
        <w:t xml:space="preserve">Шок </w:t>
      </w:r>
      <w:r w:rsidRPr="00BF60D5">
        <w:rPr>
          <w:rFonts w:eastAsia="Times New Roman"/>
          <w:szCs w:val="24"/>
        </w:rPr>
        <w:t>върху</w:t>
      </w:r>
      <w:r w:rsidRPr="005B2032">
        <w:t xml:space="preserve"> лихвения процент – увеличение на имплицитния</w:t>
      </w:r>
      <w:r w:rsidRPr="005B2032">
        <w:rPr>
          <w:rStyle w:val="FootnoteReference"/>
        </w:rPr>
        <w:footnoteReference w:id="28"/>
      </w:r>
      <w:r w:rsidRPr="005B2032">
        <w:t xml:space="preserve"> лихвен процент с 1 пр.п. до края на прогнозния хоризонт</w:t>
      </w:r>
      <w:r w:rsidRPr="005B2032">
        <w:rPr>
          <w:lang w:val="en-US"/>
        </w:rPr>
        <w:t>;</w:t>
      </w:r>
    </w:p>
    <w:p w14:paraId="63DD039A" w14:textId="7273FAF9" w:rsidR="008B5C4D" w:rsidRPr="005B2032" w:rsidRDefault="008B5C4D" w:rsidP="005F0B57">
      <w:pPr>
        <w:pStyle w:val="ListParagraph"/>
        <w:numPr>
          <w:ilvl w:val="0"/>
          <w:numId w:val="10"/>
        </w:numPr>
        <w:tabs>
          <w:tab w:val="clear" w:pos="680"/>
        </w:tabs>
        <w:ind w:left="567" w:hanging="283"/>
      </w:pPr>
      <w:r w:rsidRPr="005B2032">
        <w:t xml:space="preserve">Шок върху номиналния растеж на БВП – по-нисък номинален растеж на БВП с 0.5 пр.п. до края на прогнозния хоризонт. По-ниският номинален растеж на БВП би </w:t>
      </w:r>
      <w:r w:rsidRPr="00BF60D5">
        <w:rPr>
          <w:rFonts w:eastAsia="Times New Roman"/>
          <w:szCs w:val="24"/>
        </w:rPr>
        <w:t>могъл</w:t>
      </w:r>
      <w:r w:rsidRPr="005B2032">
        <w:t xml:space="preserve"> да се случи както по линия на по-нисък реален растеж, така и по-линия на по-нисък дефлатор, т.е. по-ниска инфлация. Той се отразява върху съотношението дълг към БВП, от една страна, чрез ефекта на растежа/инфлационния ефект, а от друга</w:t>
      </w:r>
      <w:r w:rsidR="00DF07FD">
        <w:t xml:space="preserve"> – </w:t>
      </w:r>
      <w:r w:rsidRPr="005B2032">
        <w:t>чрез съотношението първичен баланс към БВП</w:t>
      </w:r>
      <w:r w:rsidRPr="005B2032">
        <w:rPr>
          <w:lang w:val="en-US"/>
        </w:rPr>
        <w:t>;</w:t>
      </w:r>
    </w:p>
    <w:p w14:paraId="30E02980" w14:textId="77777777" w:rsidR="008B5C4D" w:rsidRPr="005B2032" w:rsidRDefault="008B5C4D" w:rsidP="005F0B57">
      <w:pPr>
        <w:pStyle w:val="ListParagraph"/>
        <w:numPr>
          <w:ilvl w:val="0"/>
          <w:numId w:val="10"/>
        </w:numPr>
        <w:tabs>
          <w:tab w:val="clear" w:pos="680"/>
        </w:tabs>
        <w:ind w:left="567" w:hanging="283"/>
      </w:pPr>
      <w:r w:rsidRPr="005B2032">
        <w:t>Шок върху първичния баланс – по-висок дефицит (респ. по-нисък излишък) по първичния баланс с 0.5 пр.п. от БВП за всяка година до края на прогнозния хоризонт</w:t>
      </w:r>
      <w:r w:rsidRPr="005B2032">
        <w:rPr>
          <w:lang w:val="en-US"/>
        </w:rPr>
        <w:t>;</w:t>
      </w:r>
    </w:p>
    <w:p w14:paraId="22A4E553" w14:textId="77777777" w:rsidR="008B5C4D" w:rsidRPr="005B2032" w:rsidRDefault="008B5C4D" w:rsidP="005F0B57">
      <w:pPr>
        <w:pStyle w:val="ListParagraph"/>
        <w:numPr>
          <w:ilvl w:val="0"/>
          <w:numId w:val="10"/>
        </w:numPr>
        <w:tabs>
          <w:tab w:val="clear" w:pos="680"/>
        </w:tabs>
        <w:ind w:left="567" w:hanging="283"/>
      </w:pPr>
      <w:r w:rsidRPr="005B2032">
        <w:lastRenderedPageBreak/>
        <w:t>Комбиниран шок върху лихвения процент, БВП и първичния баланс – по-нисък номинален растеж на БВП с 0.5 пр.п., по-висок имплицитен лихвен процент с 1 пр.п. и по-висок дефицит (респ. по-нисък излишък) по първичния баланс с 0.2 пр.п. от БВП за всяка година до края на прогнозния хоризонт. Допълнителното влошаване на първичния баланс би могло да се прояви чрез по-ниски приходи или по-високи разходи спрямо базовия сценарий.</w:t>
      </w:r>
    </w:p>
    <w:p w14:paraId="2AFE621E" w14:textId="294CEE13" w:rsidR="008B5C4D" w:rsidRPr="00BF60D5" w:rsidRDefault="0028482C" w:rsidP="00BF60D5">
      <w:pPr>
        <w:pStyle w:val="Caption"/>
      </w:pPr>
      <w:r w:rsidRPr="00BF60D5">
        <w:t xml:space="preserve">Граф. 5-1: </w:t>
      </w:r>
      <w:r w:rsidR="00A45498">
        <w:tab/>
      </w:r>
      <w:r w:rsidR="008B5C4D" w:rsidRPr="00BF60D5">
        <w:t>Държавен дълг % от БВП</w:t>
      </w:r>
    </w:p>
    <w:p w14:paraId="7C06DEE1" w14:textId="2EEDDB01" w:rsidR="008B5C4D" w:rsidRPr="005B2032" w:rsidRDefault="008B5C4D" w:rsidP="008B5C4D">
      <w:r w:rsidRPr="005B2032">
        <w:rPr>
          <w:noProof/>
        </w:rPr>
        <w:drawing>
          <wp:inline distT="0" distB="0" distL="0" distR="0" wp14:anchorId="4D225F8C" wp14:editId="0B307E6C">
            <wp:extent cx="5759450" cy="2830285"/>
            <wp:effectExtent l="0" t="0" r="0" b="8255"/>
            <wp:docPr id="12" name="Chart 12">
              <a:extLst xmlns:a="http://schemas.openxmlformats.org/drawingml/2006/main">
                <a:ext uri="{FF2B5EF4-FFF2-40B4-BE49-F238E27FC236}">
                  <a16:creationId xmlns:a16="http://schemas.microsoft.com/office/drawing/2014/main" id="{00000000-0008-0000-0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EA1509B" w14:textId="45BCBC43" w:rsidR="008B5C4D" w:rsidRPr="005B2032" w:rsidRDefault="008B5C4D" w:rsidP="00BF60D5">
      <w:r w:rsidRPr="005B2032">
        <w:t xml:space="preserve">Представените сценарии предполагат увеличение на съотношението на държавния дълг към БВП в диапазона от </w:t>
      </w:r>
      <w:r w:rsidRPr="005B2032">
        <w:rPr>
          <w:lang w:val="en-US"/>
        </w:rPr>
        <w:t xml:space="preserve">0.5-2.3 </w:t>
      </w:r>
      <w:r w:rsidRPr="005B2032">
        <w:t>пр.п. през 202</w:t>
      </w:r>
      <w:r w:rsidRPr="005B2032">
        <w:rPr>
          <w:lang w:val="en-US"/>
        </w:rPr>
        <w:t>5</w:t>
      </w:r>
      <w:r w:rsidR="00DF07FD">
        <w:t> г.</w:t>
      </w:r>
      <w:r w:rsidRPr="005B2032">
        <w:t xml:space="preserve"> спрямо базовия сценарий. Най-съществено увеличение на съотношението дълг към БВП се проявява при комбинирания шок върху растежа на БВП, лихвения процент и първичния баланс, следвано от отрицателния шок върху първичния баланс. И при двата сценария, делът на държавния дълг спрямо БВП се задържа под 3</w:t>
      </w:r>
      <w:r w:rsidRPr="005B2032">
        <w:rPr>
          <w:lang w:val="en-US"/>
        </w:rPr>
        <w:t>3</w:t>
      </w:r>
      <w:r w:rsidRPr="005B2032">
        <w:t xml:space="preserve">% в края на прогнозния период, което е значително под референтната граница от 60% и определя страната като такава с нисък риск. При шок върху реалния растеж на БВП или дефлатора на БВП, който в случая е представен чрез по-нисък номинален растеж на БВП, равнището на дълга би достигнало </w:t>
      </w:r>
      <w:r w:rsidRPr="005B2032">
        <w:rPr>
          <w:lang w:val="en-US"/>
        </w:rPr>
        <w:t>30.9</w:t>
      </w:r>
      <w:r w:rsidRPr="005B2032">
        <w:t>% от БВП през 202</w:t>
      </w:r>
      <w:r w:rsidRPr="005B2032">
        <w:rPr>
          <w:lang w:val="en-US"/>
        </w:rPr>
        <w:t>5</w:t>
      </w:r>
      <w:r w:rsidR="00DF07FD">
        <w:t> г.</w:t>
      </w:r>
      <w:r w:rsidRPr="005B2032">
        <w:t xml:space="preserve"> При евентуален шок върху имплицитния лихвен процент, делът на дълга спрямо БВП би се увеличил до </w:t>
      </w:r>
      <w:r w:rsidRPr="005B2032">
        <w:rPr>
          <w:lang w:val="en-US"/>
        </w:rPr>
        <w:t>31.3</w:t>
      </w:r>
      <w:r w:rsidRPr="005B2032">
        <w:t xml:space="preserve">% към края на периода. Следва да се има предвид, че провежданата дългова политика, приоритетно ориентирана към привличане на финансов ресурс в лева и евро, при фиксиран лихвен купон, прави подобен сценарий почти невъзможен на практика. </w:t>
      </w:r>
    </w:p>
    <w:p w14:paraId="7D9E0F50" w14:textId="77777777" w:rsidR="008B5C4D" w:rsidRPr="005B2032" w:rsidRDefault="008B5C4D" w:rsidP="00E360FF">
      <w:r w:rsidRPr="005B2032">
        <w:t>Допълнително са представени и ветрилообразни графики, от които може да се получи информация за несигурността около базовия сценарий. За конструирането на графиките се използват историческите данни за растежа на БВП, лихвения</w:t>
      </w:r>
      <w:r w:rsidRPr="005B2032">
        <w:rPr>
          <w:lang w:val="en-US"/>
        </w:rPr>
        <w:t xml:space="preserve"> </w:t>
      </w:r>
      <w:r w:rsidRPr="005B2032">
        <w:t>процент и първичния баланс. Изчисляват се средни стойности и матрицата на вариация-ковариация, които описват съвместното нормално разпределение за тези променливи. За всяка от променливите се генерират шокове на база съвместното разпределение, които се добавят към базовите прогнози и се използват за изчисление на разпределението на прогнозната динамика на дълга. По дизайн съвместното нормално разпределение на шоковете генерира симетрична ветрилообразна графика, като рисковете в положителна посока съвпадат с тези в отрицателна. Допълнително е направена корекция чрез рестрикция върху позитивните шокове, за да се конструира асиметрична ветрилообразна графика и да се проследи динамиката на дълга към БВП при по-голяма вероятност за негативни шокове.</w:t>
      </w:r>
    </w:p>
    <w:p w14:paraId="33BE7B6E" w14:textId="67398035" w:rsidR="008B5C4D" w:rsidRPr="00D23667" w:rsidRDefault="0028482C" w:rsidP="00D23667">
      <w:pPr>
        <w:pStyle w:val="Caption"/>
      </w:pPr>
      <w:r w:rsidRPr="00D23667">
        <w:lastRenderedPageBreak/>
        <w:t xml:space="preserve">Граф. 5-2: </w:t>
      </w:r>
      <w:r w:rsidR="008B5C4D" w:rsidRPr="00D23667">
        <w:t>Ветрилообразна графика за очаквания Държавен дълг % от БВП</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485"/>
        <w:gridCol w:w="4585"/>
      </w:tblGrid>
      <w:tr w:rsidR="008B5C4D" w:rsidRPr="005B2032" w14:paraId="6416AC31" w14:textId="77777777" w:rsidTr="007F1DB0">
        <w:tc>
          <w:tcPr>
            <w:tcW w:w="4478" w:type="dxa"/>
            <w:hideMark/>
          </w:tcPr>
          <w:p w14:paraId="54F487F9" w14:textId="1C3B9781" w:rsidR="008B5C4D" w:rsidRPr="005B2032" w:rsidRDefault="008B5C4D">
            <w:pPr>
              <w:rPr>
                <w:lang w:val="en-US"/>
              </w:rPr>
            </w:pPr>
            <w:r w:rsidRPr="005B2032">
              <w:rPr>
                <w:noProof/>
              </w:rPr>
              <w:drawing>
                <wp:inline distT="0" distB="0" distL="0" distR="0" wp14:anchorId="3AB85AC5" wp14:editId="716C1CAC">
                  <wp:extent cx="2838450" cy="2520000"/>
                  <wp:effectExtent l="0" t="0" r="0" b="0"/>
                  <wp:docPr id="11" name="Chart 11">
                    <a:extLst xmlns:a="http://schemas.openxmlformats.org/drawingml/2006/main">
                      <a:ext uri="{FF2B5EF4-FFF2-40B4-BE49-F238E27FC236}">
                        <a16:creationId xmlns:a16="http://schemas.microsoft.com/office/drawing/2014/main" id="{00000000-0008-0000-0D00-00002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4592" w:type="dxa"/>
            <w:hideMark/>
          </w:tcPr>
          <w:p w14:paraId="44113B24" w14:textId="1682AAA0" w:rsidR="008B5C4D" w:rsidRPr="005B2032" w:rsidRDefault="008B5C4D">
            <w:pPr>
              <w:rPr>
                <w:lang w:val="en-US"/>
              </w:rPr>
            </w:pPr>
            <w:r w:rsidRPr="005B2032">
              <w:rPr>
                <w:noProof/>
              </w:rPr>
              <w:drawing>
                <wp:inline distT="0" distB="0" distL="0" distR="0" wp14:anchorId="4D7F1A65" wp14:editId="254CD8AD">
                  <wp:extent cx="2905125" cy="2520000"/>
                  <wp:effectExtent l="0" t="0" r="0" b="0"/>
                  <wp:docPr id="6" name="Chart 6">
                    <a:extLst xmlns:a="http://schemas.openxmlformats.org/drawingml/2006/main">
                      <a:ext uri="{FF2B5EF4-FFF2-40B4-BE49-F238E27FC236}">
                        <a16:creationId xmlns:a16="http://schemas.microsoft.com/office/drawing/2014/main" id="{00000000-0008-0000-0D00-00002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54D8C504" w14:textId="77777777" w:rsidR="008B5C4D" w:rsidRPr="005B2032" w:rsidRDefault="008B5C4D" w:rsidP="008B5C4D">
      <w:pPr>
        <w:rPr>
          <w:lang w:val="en-US"/>
        </w:rPr>
      </w:pPr>
    </w:p>
    <w:p w14:paraId="1B0B15E7" w14:textId="5D850915" w:rsidR="008B5C4D" w:rsidRPr="005B2032" w:rsidRDefault="008B5C4D" w:rsidP="0002274C">
      <w:r w:rsidRPr="005B2032">
        <w:t>Симетричната ветрилообразна графика показва, че има 10% вероятност съотношението на държавния дълг към БВП към 2025</w:t>
      </w:r>
      <w:r w:rsidR="00DF07FD">
        <w:t> г.</w:t>
      </w:r>
      <w:r w:rsidRPr="005B2032">
        <w:t xml:space="preserve"> да бъде под 22%, 25% вероятност да бъде под 25%, 75% вероятност да бъде под 35% и 90% вероятност да бъде под 40%. При коригиране чрез рестрикции върху положителните шокове, вероятността държавният дълг в края на прогнозния период да падне под 30% от БВП е 10%, а с 90% вероятност ще бъде под 42%. При тези симулации в период от 10 години напред </w:t>
      </w:r>
      <w:r w:rsidR="005561C4">
        <w:t xml:space="preserve">- </w:t>
      </w:r>
      <w:r w:rsidRPr="005B2032">
        <w:t>до 2031</w:t>
      </w:r>
      <w:r w:rsidR="00DF07FD">
        <w:t> г.</w:t>
      </w:r>
      <w:r w:rsidR="005561C4">
        <w:t>, показват</w:t>
      </w:r>
      <w:r w:rsidRPr="005B2032">
        <w:t xml:space="preserve"> 90% вероятност дългът към БВП </w:t>
      </w:r>
      <w:r w:rsidR="005561C4">
        <w:t>да</w:t>
      </w:r>
      <w:r w:rsidRPr="005B2032">
        <w:t xml:space="preserve"> бъде под 59%.</w:t>
      </w:r>
    </w:p>
    <w:p w14:paraId="75297972" w14:textId="15D8E565" w:rsidR="00354366" w:rsidRPr="005B2032" w:rsidRDefault="008B5C4D" w:rsidP="0002274C">
      <w:pPr>
        <w:rPr>
          <w:b/>
          <w:bCs/>
        </w:rPr>
      </w:pPr>
      <w:r w:rsidRPr="005B2032">
        <w:t>Представените резултати се припокриват с изводите от доклада на Комисията, според ко</w:t>
      </w:r>
      <w:r w:rsidR="005561C4">
        <w:t>и</w:t>
      </w:r>
      <w:r w:rsidRPr="005B2032">
        <w:t>то страната има фискално пространство и дори при негативен шок върху номиналния растеж на БВП или бюджетния баланс рисковете за дълга в средносрочен план остават ниски. Според Комисията в дългосрочен план рискът е умерен.</w:t>
      </w:r>
    </w:p>
    <w:p w14:paraId="5324F6E9" w14:textId="77777777" w:rsidR="005C4ADE" w:rsidRPr="00E360FF" w:rsidRDefault="00D359FF" w:rsidP="00E360FF">
      <w:pPr>
        <w:pStyle w:val="Heading2"/>
      </w:pPr>
      <w:bookmarkStart w:id="111" w:name="_Toc100906080"/>
      <w:r w:rsidRPr="00E360FF">
        <w:t>Дългосрочни бюджетни перспективи</w:t>
      </w:r>
      <w:bookmarkEnd w:id="102"/>
      <w:bookmarkEnd w:id="107"/>
      <w:r w:rsidRPr="00E360FF">
        <w:t xml:space="preserve">, вкл. въздействието от </w:t>
      </w:r>
      <w:r w:rsidR="00DB0956" w:rsidRPr="00E360FF">
        <w:br/>
      </w:r>
      <w:r w:rsidRPr="00E360FF">
        <w:t>застаряването на нас</w:t>
      </w:r>
      <w:r w:rsidR="000D3870" w:rsidRPr="00E360FF">
        <w:t>елението</w:t>
      </w:r>
      <w:bookmarkStart w:id="112" w:name="_Toc352851610"/>
      <w:bookmarkStart w:id="113" w:name="_Toc448227299"/>
      <w:bookmarkStart w:id="114" w:name="_Toc479332451"/>
      <w:bookmarkEnd w:id="108"/>
      <w:bookmarkEnd w:id="109"/>
      <w:bookmarkEnd w:id="110"/>
      <w:bookmarkEnd w:id="111"/>
    </w:p>
    <w:p w14:paraId="4C212315" w14:textId="77777777" w:rsidR="005C4ADE" w:rsidRPr="00E360FF" w:rsidRDefault="005C4ADE" w:rsidP="00E360FF">
      <w:pPr>
        <w:pStyle w:val="Heading3"/>
      </w:pPr>
      <w:r w:rsidRPr="00E360FF">
        <w:t>Социално осигуряване</w:t>
      </w:r>
    </w:p>
    <w:p w14:paraId="190B5292" w14:textId="368FE719" w:rsidR="003A3017" w:rsidRPr="005B2032" w:rsidRDefault="003A3017" w:rsidP="00E360FF">
      <w:pPr>
        <w:rPr>
          <w:bCs/>
          <w:iCs/>
        </w:rPr>
      </w:pPr>
      <w:r w:rsidRPr="005B2032">
        <w:t>Дългосрочната бюджетна прогноза за развитието на държавната пенсионна система е разработена при параметрите на действащото към 1 април 2022</w:t>
      </w:r>
      <w:r w:rsidR="00DF07FD">
        <w:t> г.</w:t>
      </w:r>
      <w:r w:rsidRPr="005B2032">
        <w:t xml:space="preserve"> законодателство. Използвана е демографската прогноза на Евростат от 2019</w:t>
      </w:r>
      <w:r w:rsidR="00DF07FD">
        <w:t> г.</w:t>
      </w:r>
      <w:r w:rsidRPr="005B2032">
        <w:rPr>
          <w:lang w:val="en-US"/>
        </w:rPr>
        <w:t xml:space="preserve"> </w:t>
      </w:r>
      <w:r w:rsidRPr="005B2032">
        <w:t>(</w:t>
      </w:r>
      <w:r w:rsidRPr="005B2032">
        <w:rPr>
          <w:lang w:val="en-US"/>
        </w:rPr>
        <w:t>EUROPOP 2019)</w:t>
      </w:r>
      <w:r w:rsidRPr="005B2032">
        <w:t>, валидирана с предварителни данни на Националния статистически институт за 2021</w:t>
      </w:r>
      <w:r w:rsidR="00DF07FD">
        <w:t> г.</w:t>
      </w:r>
      <w:r w:rsidRPr="005B2032">
        <w:rPr>
          <w:lang w:val="en-US"/>
        </w:rPr>
        <w:t>,</w:t>
      </w:r>
      <w:r w:rsidRPr="005B2032">
        <w:t xml:space="preserve"> при запазени допускания за раждаемостта, смъртността и миграцията за периода 2022</w:t>
      </w:r>
      <w:r w:rsidR="008010F6">
        <w:rPr>
          <w:rFonts w:cstheme="minorHAnsi"/>
          <w:lang w:val="en-US"/>
        </w:rPr>
        <w:t>–</w:t>
      </w:r>
      <w:r w:rsidRPr="005B2032">
        <w:t>2070</w:t>
      </w:r>
      <w:r w:rsidR="00DF07FD">
        <w:t> г.</w:t>
      </w:r>
      <w:r w:rsidRPr="005B2032">
        <w:rPr>
          <w:lang w:val="en-US"/>
        </w:rPr>
        <w:t xml:space="preserve"> </w:t>
      </w:r>
      <w:r w:rsidRPr="005B2032">
        <w:t>Използвана е и предварителна прогноза за избрани макроикономически индикатори за периода 2022</w:t>
      </w:r>
      <w:r w:rsidR="008010F6">
        <w:rPr>
          <w:rFonts w:cstheme="minorHAnsi"/>
          <w:lang w:val="en-US"/>
        </w:rPr>
        <w:t>–</w:t>
      </w:r>
      <w:r w:rsidRPr="005B2032">
        <w:t>2070</w:t>
      </w:r>
      <w:r w:rsidR="00DF07FD">
        <w:t> г.</w:t>
      </w:r>
      <w:r w:rsidR="005561C4">
        <w:t>,</w:t>
      </w:r>
      <w:r w:rsidRPr="005B2032">
        <w:t xml:space="preserve"> предоставена от Министерството на финансите.</w:t>
      </w:r>
    </w:p>
    <w:p w14:paraId="626B6675" w14:textId="4F9BDCA7" w:rsidR="003A3017" w:rsidRPr="005B2032" w:rsidRDefault="003A3017" w:rsidP="00E360FF">
      <w:r w:rsidRPr="005B2032">
        <w:t>Резултатите показват, че в дългосрочен план българската пенсионна система е изправена пред сериозни демографски предизвикателства. За периода 2021</w:t>
      </w:r>
      <w:r w:rsidR="008010F6">
        <w:rPr>
          <w:rFonts w:cstheme="minorHAnsi"/>
          <w:lang w:val="en-US"/>
        </w:rPr>
        <w:t>–</w:t>
      </w:r>
      <w:r w:rsidRPr="005B2032">
        <w:t>2070</w:t>
      </w:r>
      <w:r w:rsidR="00DF07FD">
        <w:t> г.</w:t>
      </w:r>
      <w:r w:rsidRPr="005B2032">
        <w:t xml:space="preserve"> се очаква населението на България да намалее с близо 27% от около 6</w:t>
      </w:r>
      <w:r w:rsidR="005561C4">
        <w:t> </w:t>
      </w:r>
      <w:r w:rsidRPr="005B2032">
        <w:t>887</w:t>
      </w:r>
      <w:r w:rsidR="005561C4">
        <w:t>.</w:t>
      </w:r>
      <w:r w:rsidRPr="005B2032">
        <w:t>6 хил. лица до 5</w:t>
      </w:r>
      <w:r w:rsidR="005561C4">
        <w:t> </w:t>
      </w:r>
      <w:r w:rsidRPr="005B2032">
        <w:t>048</w:t>
      </w:r>
      <w:r w:rsidR="005561C4">
        <w:t>.</w:t>
      </w:r>
      <w:r w:rsidRPr="005B2032">
        <w:t>7 хил. лица, като едновременно с това неговата възрастова структура ще се влошава. Това ще доведе до чувствително нарастване на коефициента на възрастова зависимост – ако през 2021</w:t>
      </w:r>
      <w:r w:rsidR="00DF07FD">
        <w:t> г.</w:t>
      </w:r>
      <w:r w:rsidRPr="005B2032">
        <w:t xml:space="preserve"> на 100 лица между 20 и 64</w:t>
      </w:r>
      <w:r w:rsidR="00DF07FD">
        <w:t> г.</w:t>
      </w:r>
      <w:r w:rsidRPr="005B2032">
        <w:t xml:space="preserve"> съответстват 34 лица на възраст над 65</w:t>
      </w:r>
      <w:r w:rsidR="00DF07FD">
        <w:t> г.</w:t>
      </w:r>
      <w:r w:rsidRPr="005B2032">
        <w:t>, то през 2070</w:t>
      </w:r>
      <w:r w:rsidR="00DF07FD">
        <w:t> г.</w:t>
      </w:r>
      <w:r w:rsidRPr="005B2032">
        <w:t xml:space="preserve"> броят им ще нарасне до 54 на 100 лица. Населението в трудоспособна възраст ще намалява и делът му от общата численост на населението в България ще се свие от около </w:t>
      </w:r>
      <w:r w:rsidRPr="005B2032">
        <w:lastRenderedPageBreak/>
        <w:t>64% до около 57%. От своя страна, делът на възрастното население (65+) ще нарасне от около 22% през 2021</w:t>
      </w:r>
      <w:r w:rsidR="00DF07FD">
        <w:t> г.</w:t>
      </w:r>
      <w:r w:rsidRPr="005B2032">
        <w:t xml:space="preserve"> до 30% през 2070</w:t>
      </w:r>
      <w:r w:rsidR="00DF07FD">
        <w:t> г.</w:t>
      </w:r>
    </w:p>
    <w:p w14:paraId="4D4671EA" w14:textId="48449875" w:rsidR="003A3017" w:rsidRPr="005B2032" w:rsidRDefault="003A3017" w:rsidP="0002274C">
      <w:pPr>
        <w:rPr>
          <w:rFonts w:cstheme="minorHAnsi"/>
          <w:bCs/>
          <w:szCs w:val="24"/>
        </w:rPr>
      </w:pPr>
      <w:r w:rsidRPr="005B2032">
        <w:rPr>
          <w:rFonts w:cstheme="minorHAnsi"/>
          <w:iCs/>
          <w:szCs w:val="24"/>
        </w:rPr>
        <w:t xml:space="preserve">В последните години бяха предприети важни стъпки в отговор на демографския натиск върху държавната пенсионна система. </w:t>
      </w:r>
      <w:r w:rsidRPr="005B2032">
        <w:rPr>
          <w:rFonts w:cstheme="minorHAnsi"/>
          <w:bCs/>
          <w:szCs w:val="24"/>
        </w:rPr>
        <w:t>С реформата от 2015</w:t>
      </w:r>
      <w:r w:rsidR="00DF07FD">
        <w:rPr>
          <w:rFonts w:cstheme="minorHAnsi"/>
          <w:bCs/>
          <w:szCs w:val="24"/>
        </w:rPr>
        <w:t> г.</w:t>
      </w:r>
      <w:r w:rsidRPr="005B2032">
        <w:rPr>
          <w:rFonts w:cstheme="minorHAnsi"/>
          <w:bCs/>
          <w:szCs w:val="24"/>
        </w:rPr>
        <w:t xml:space="preserve"> се създадоха условия за ограничаване ръста на разходите за пенсии с въвеждане на по-строги изисквания за придобиване право на пенсия за осигурителен стаж и възраст. </w:t>
      </w:r>
    </w:p>
    <w:p w14:paraId="228D0EED" w14:textId="79E666EA" w:rsidR="003A3017" w:rsidRPr="005B2032" w:rsidRDefault="003A3017" w:rsidP="0002274C">
      <w:pPr>
        <w:rPr>
          <w:rFonts w:cstheme="minorHAnsi"/>
          <w:bCs/>
          <w:szCs w:val="24"/>
        </w:rPr>
      </w:pPr>
      <w:r w:rsidRPr="005B2032">
        <w:rPr>
          <w:rFonts w:cstheme="minorHAnsi"/>
          <w:bCs/>
          <w:szCs w:val="24"/>
        </w:rPr>
        <w:t>Както в резултат на демографските процеси, така и в резултат на предприетите мерки по отношение на правото на пенсия, броят на пенсионерите устойчиво ще намалява. По този повод следва да се отбележи, че увеличаването на смъртността сред населението над 60-годишна възраст в последната четвърт на 2020</w:t>
      </w:r>
      <w:r w:rsidR="00DF07FD">
        <w:rPr>
          <w:rFonts w:cstheme="minorHAnsi"/>
          <w:bCs/>
          <w:szCs w:val="24"/>
        </w:rPr>
        <w:t> г.</w:t>
      </w:r>
      <w:r w:rsidRPr="005B2032">
        <w:rPr>
          <w:rFonts w:cstheme="minorHAnsi"/>
          <w:bCs/>
          <w:szCs w:val="24"/>
        </w:rPr>
        <w:t xml:space="preserve"> и през цялата 2021</w:t>
      </w:r>
      <w:r w:rsidR="00DF07FD">
        <w:rPr>
          <w:rFonts w:cstheme="minorHAnsi"/>
          <w:bCs/>
          <w:szCs w:val="24"/>
        </w:rPr>
        <w:t> г.</w:t>
      </w:r>
      <w:r w:rsidRPr="005B2032">
        <w:rPr>
          <w:rFonts w:cstheme="minorHAnsi"/>
          <w:bCs/>
          <w:szCs w:val="24"/>
        </w:rPr>
        <w:t xml:space="preserve"> в резултат на пандемията от COVID-19, доведе до голям брой прекратени пенсии, съответно до спад в</w:t>
      </w:r>
      <w:r w:rsidR="0028482C">
        <w:rPr>
          <w:rFonts w:cstheme="minorHAnsi"/>
          <w:bCs/>
          <w:szCs w:val="24"/>
        </w:rPr>
        <w:t xml:space="preserve"> броя на пенсионерите с над 56</w:t>
      </w:r>
      <w:r w:rsidRPr="005B2032">
        <w:rPr>
          <w:rFonts w:cstheme="minorHAnsi"/>
          <w:bCs/>
          <w:szCs w:val="24"/>
        </w:rPr>
        <w:t xml:space="preserve"> хил. през 2021</w:t>
      </w:r>
      <w:r w:rsidR="00DF07FD">
        <w:rPr>
          <w:rFonts w:cstheme="minorHAnsi"/>
          <w:bCs/>
          <w:szCs w:val="24"/>
        </w:rPr>
        <w:t> г.</w:t>
      </w:r>
      <w:r w:rsidRPr="005B2032">
        <w:rPr>
          <w:rFonts w:cstheme="minorHAnsi"/>
          <w:bCs/>
          <w:szCs w:val="24"/>
        </w:rPr>
        <w:t xml:space="preserve"> </w:t>
      </w:r>
    </w:p>
    <w:p w14:paraId="188269AD" w14:textId="4B71B59A" w:rsidR="003A3017" w:rsidRPr="005B2032" w:rsidRDefault="003A3017" w:rsidP="0002274C">
      <w:pPr>
        <w:rPr>
          <w:rFonts w:cstheme="minorHAnsi"/>
          <w:bCs/>
          <w:szCs w:val="24"/>
        </w:rPr>
      </w:pPr>
      <w:r w:rsidRPr="005B2032">
        <w:rPr>
          <w:rFonts w:cstheme="minorHAnsi"/>
          <w:bCs/>
          <w:szCs w:val="24"/>
        </w:rPr>
        <w:t>В края на 2021</w:t>
      </w:r>
      <w:r w:rsidR="00DF07FD">
        <w:rPr>
          <w:rFonts w:cstheme="minorHAnsi"/>
          <w:bCs/>
          <w:szCs w:val="24"/>
        </w:rPr>
        <w:t> г.</w:t>
      </w:r>
      <w:r w:rsidRPr="005B2032">
        <w:rPr>
          <w:rFonts w:cstheme="minorHAnsi"/>
          <w:bCs/>
          <w:szCs w:val="24"/>
        </w:rPr>
        <w:t xml:space="preserve"> броят на пенсионери </w:t>
      </w:r>
      <w:r w:rsidRPr="005B2032">
        <w:rPr>
          <w:rFonts w:cstheme="minorHAnsi"/>
          <w:iCs/>
          <w:szCs w:val="24"/>
        </w:rPr>
        <w:t xml:space="preserve">с пенсия за трудова дейност е бил </w:t>
      </w:r>
      <w:r w:rsidRPr="005B2032">
        <w:rPr>
          <w:rFonts w:cstheme="minorHAnsi"/>
          <w:bCs/>
          <w:szCs w:val="24"/>
        </w:rPr>
        <w:t>2</w:t>
      </w:r>
      <w:r w:rsidR="0028482C">
        <w:rPr>
          <w:rFonts w:cstheme="minorHAnsi"/>
          <w:bCs/>
          <w:szCs w:val="24"/>
        </w:rPr>
        <w:t> </w:t>
      </w:r>
      <w:r w:rsidRPr="005B2032">
        <w:rPr>
          <w:rFonts w:cstheme="minorHAnsi"/>
          <w:bCs/>
          <w:szCs w:val="24"/>
        </w:rPr>
        <w:t>021</w:t>
      </w:r>
      <w:r w:rsidR="0028482C">
        <w:rPr>
          <w:rFonts w:cstheme="minorHAnsi"/>
          <w:bCs/>
          <w:szCs w:val="24"/>
        </w:rPr>
        <w:t>.</w:t>
      </w:r>
      <w:r w:rsidRPr="005B2032">
        <w:rPr>
          <w:rFonts w:cstheme="minorHAnsi"/>
          <w:bCs/>
          <w:szCs w:val="24"/>
        </w:rPr>
        <w:t>3 хил. До 2070</w:t>
      </w:r>
      <w:r w:rsidR="00DF07FD">
        <w:rPr>
          <w:rFonts w:cstheme="minorHAnsi"/>
          <w:bCs/>
          <w:szCs w:val="24"/>
        </w:rPr>
        <w:t> г.</w:t>
      </w:r>
      <w:r w:rsidRPr="005B2032">
        <w:rPr>
          <w:rFonts w:cstheme="minorHAnsi"/>
          <w:bCs/>
          <w:szCs w:val="24"/>
        </w:rPr>
        <w:t xml:space="preserve"> се очаква той да намалее до около 1 </w:t>
      </w:r>
      <w:r w:rsidRPr="005B2032">
        <w:rPr>
          <w:rFonts w:cstheme="minorHAnsi"/>
          <w:bCs/>
          <w:szCs w:val="24"/>
          <w:lang w:val="en-US"/>
        </w:rPr>
        <w:t>612</w:t>
      </w:r>
      <w:r w:rsidRPr="005B2032">
        <w:rPr>
          <w:rFonts w:cstheme="minorHAnsi"/>
          <w:bCs/>
          <w:szCs w:val="24"/>
        </w:rPr>
        <w:t xml:space="preserve"> хил. </w:t>
      </w:r>
    </w:p>
    <w:p w14:paraId="5E1CC193" w14:textId="05319380" w:rsidR="003A3017" w:rsidRPr="005B2032" w:rsidRDefault="003A3017" w:rsidP="0002274C">
      <w:pPr>
        <w:rPr>
          <w:rFonts w:cstheme="minorHAnsi"/>
          <w:bCs/>
          <w:szCs w:val="24"/>
        </w:rPr>
      </w:pPr>
      <w:r w:rsidRPr="005B2032">
        <w:rPr>
          <w:rFonts w:cstheme="minorHAnsi"/>
          <w:iCs/>
          <w:szCs w:val="24"/>
        </w:rPr>
        <w:t>И докато при лицата с пенсия за инвалидност се очаква намалението да продължи за целия разглеждан период, при пенсионерите с пенсия за осигурителен стаж и възраст намалението ще продължи до 2040</w:t>
      </w:r>
      <w:r w:rsidR="00DF07FD">
        <w:rPr>
          <w:rFonts w:cstheme="minorHAnsi"/>
          <w:iCs/>
          <w:szCs w:val="24"/>
        </w:rPr>
        <w:t> г.</w:t>
      </w:r>
      <w:r w:rsidRPr="005B2032">
        <w:rPr>
          <w:rFonts w:cstheme="minorHAnsi"/>
          <w:iCs/>
          <w:szCs w:val="24"/>
        </w:rPr>
        <w:t>, след което броят им ще започне плавно да се увеличава и ще усили демографския натиск върху държавната пенсионна система</w:t>
      </w:r>
      <w:r w:rsidRPr="005B2032">
        <w:rPr>
          <w:rFonts w:cstheme="minorHAnsi"/>
          <w:bCs/>
          <w:szCs w:val="24"/>
        </w:rPr>
        <w:t>. Увеличението е в резултат на вливането в съвкупността на пенсионерите на генерациите, родени през 70</w:t>
      </w:r>
      <w:r w:rsidRPr="005B2032">
        <w:rPr>
          <w:rFonts w:cstheme="minorHAnsi"/>
          <w:bCs/>
          <w:szCs w:val="24"/>
          <w:vertAlign w:val="superscript"/>
        </w:rPr>
        <w:t>-те</w:t>
      </w:r>
      <w:r w:rsidRPr="005B2032">
        <w:rPr>
          <w:rFonts w:cstheme="minorHAnsi"/>
          <w:bCs/>
          <w:szCs w:val="24"/>
        </w:rPr>
        <w:t xml:space="preserve"> и 80</w:t>
      </w:r>
      <w:r w:rsidRPr="005B2032">
        <w:rPr>
          <w:rFonts w:cstheme="minorHAnsi"/>
          <w:bCs/>
          <w:szCs w:val="24"/>
          <w:vertAlign w:val="superscript"/>
        </w:rPr>
        <w:t>-те</w:t>
      </w:r>
      <w:r w:rsidRPr="005B2032">
        <w:rPr>
          <w:rFonts w:cstheme="minorHAnsi"/>
          <w:bCs/>
          <w:szCs w:val="24"/>
        </w:rPr>
        <w:t xml:space="preserve"> години на миналия век. </w:t>
      </w:r>
    </w:p>
    <w:p w14:paraId="103B194B" w14:textId="0975A975" w:rsidR="003A3017" w:rsidRPr="005B2032" w:rsidRDefault="003A3017" w:rsidP="0002274C">
      <w:pPr>
        <w:rPr>
          <w:rFonts w:cstheme="minorHAnsi"/>
          <w:bCs/>
          <w:szCs w:val="24"/>
        </w:rPr>
      </w:pPr>
      <w:r w:rsidRPr="005B2032">
        <w:rPr>
          <w:rFonts w:cstheme="minorHAnsi"/>
          <w:bCs/>
          <w:szCs w:val="24"/>
        </w:rPr>
        <w:t>Демографският натиск след 2030</w:t>
      </w:r>
      <w:r w:rsidR="00DF07FD">
        <w:rPr>
          <w:rFonts w:cstheme="minorHAnsi"/>
          <w:bCs/>
          <w:szCs w:val="24"/>
        </w:rPr>
        <w:t> г.</w:t>
      </w:r>
      <w:r w:rsidRPr="005B2032">
        <w:rPr>
          <w:rFonts w:cstheme="minorHAnsi"/>
          <w:bCs/>
          <w:szCs w:val="24"/>
        </w:rPr>
        <w:t xml:space="preserve"> ще се усили и поради две допълнителни обстоятелства:</w:t>
      </w:r>
    </w:p>
    <w:p w14:paraId="46461382" w14:textId="4C1EEE30" w:rsidR="003A3017" w:rsidRPr="005B2032" w:rsidRDefault="003A3017" w:rsidP="005F0B57">
      <w:pPr>
        <w:pStyle w:val="ListParagraph"/>
        <w:numPr>
          <w:ilvl w:val="0"/>
          <w:numId w:val="10"/>
        </w:numPr>
        <w:tabs>
          <w:tab w:val="clear" w:pos="680"/>
        </w:tabs>
        <w:ind w:left="567" w:hanging="283"/>
        <w:rPr>
          <w:rFonts w:cstheme="minorHAnsi"/>
          <w:bCs/>
          <w:szCs w:val="24"/>
        </w:rPr>
      </w:pPr>
      <w:r w:rsidRPr="005B2032">
        <w:rPr>
          <w:rFonts w:cstheme="minorHAnsi"/>
          <w:bCs/>
          <w:szCs w:val="24"/>
        </w:rPr>
        <w:t>На първо място, през 2027</w:t>
      </w:r>
      <w:r w:rsidR="00DF07FD">
        <w:rPr>
          <w:rFonts w:cstheme="minorHAnsi"/>
          <w:bCs/>
          <w:szCs w:val="24"/>
        </w:rPr>
        <w:t> г.</w:t>
      </w:r>
      <w:r w:rsidRPr="005B2032">
        <w:rPr>
          <w:rFonts w:cstheme="minorHAnsi"/>
          <w:bCs/>
          <w:szCs w:val="24"/>
        </w:rPr>
        <w:t xml:space="preserve"> престава да нараства изискуемият осигурителен стаж за придобиване право на пенсия за осигурителен стаж и възраст при стандартната пенсионна </w:t>
      </w:r>
      <w:r w:rsidRPr="00D23667">
        <w:t>възраст</w:t>
      </w:r>
      <w:r w:rsidRPr="005B2032">
        <w:rPr>
          <w:rFonts w:cstheme="minorHAnsi"/>
          <w:bCs/>
          <w:szCs w:val="24"/>
        </w:rPr>
        <w:t xml:space="preserve"> и за мъжете, и за жените. Тогава той ще достигне 37</w:t>
      </w:r>
      <w:r w:rsidR="00DF07FD">
        <w:rPr>
          <w:rFonts w:cstheme="minorHAnsi"/>
          <w:bCs/>
          <w:szCs w:val="24"/>
        </w:rPr>
        <w:t> г.</w:t>
      </w:r>
      <w:r w:rsidRPr="005B2032">
        <w:rPr>
          <w:rFonts w:cstheme="minorHAnsi"/>
          <w:bCs/>
          <w:szCs w:val="24"/>
        </w:rPr>
        <w:t xml:space="preserve"> за жените и 40</w:t>
      </w:r>
      <w:r w:rsidR="00DF07FD">
        <w:rPr>
          <w:rFonts w:cstheme="minorHAnsi"/>
          <w:bCs/>
          <w:szCs w:val="24"/>
        </w:rPr>
        <w:t> г.</w:t>
      </w:r>
      <w:r w:rsidRPr="005B2032">
        <w:rPr>
          <w:rFonts w:cstheme="minorHAnsi"/>
          <w:bCs/>
          <w:szCs w:val="24"/>
        </w:rPr>
        <w:t xml:space="preserve"> за мъжете. </w:t>
      </w:r>
    </w:p>
    <w:p w14:paraId="09674416" w14:textId="69AB37CA" w:rsidR="003A3017" w:rsidRPr="005B2032" w:rsidRDefault="003A3017" w:rsidP="005F0B57">
      <w:pPr>
        <w:pStyle w:val="ListParagraph"/>
        <w:numPr>
          <w:ilvl w:val="0"/>
          <w:numId w:val="10"/>
        </w:numPr>
        <w:tabs>
          <w:tab w:val="clear" w:pos="680"/>
        </w:tabs>
        <w:ind w:left="567" w:hanging="283"/>
        <w:rPr>
          <w:rFonts w:cstheme="minorHAnsi"/>
          <w:bCs/>
          <w:szCs w:val="24"/>
        </w:rPr>
      </w:pPr>
      <w:r w:rsidRPr="005B2032">
        <w:rPr>
          <w:rFonts w:cstheme="minorHAnsi"/>
          <w:bCs/>
          <w:szCs w:val="24"/>
        </w:rPr>
        <w:t xml:space="preserve">На второ място, приблизително в четвъртата декада на този век е периодът, в който ще престане да </w:t>
      </w:r>
      <w:r w:rsidRPr="00D23667">
        <w:t>нараства</w:t>
      </w:r>
      <w:r w:rsidRPr="005B2032">
        <w:rPr>
          <w:rFonts w:cstheme="minorHAnsi"/>
          <w:bCs/>
          <w:szCs w:val="24"/>
        </w:rPr>
        <w:t xml:space="preserve"> и изискуемата пенсионна възраст – тя ще достигне 65</w:t>
      </w:r>
      <w:r w:rsidR="00DF07FD">
        <w:rPr>
          <w:rFonts w:cstheme="minorHAnsi"/>
          <w:bCs/>
          <w:szCs w:val="24"/>
        </w:rPr>
        <w:t> г.</w:t>
      </w:r>
      <w:r w:rsidRPr="005B2032">
        <w:rPr>
          <w:rFonts w:cstheme="minorHAnsi"/>
          <w:bCs/>
          <w:szCs w:val="24"/>
        </w:rPr>
        <w:t xml:space="preserve"> за мъжете през 2029</w:t>
      </w:r>
      <w:r w:rsidR="00DF07FD">
        <w:rPr>
          <w:rFonts w:cstheme="minorHAnsi"/>
          <w:bCs/>
          <w:szCs w:val="24"/>
        </w:rPr>
        <w:t> г.</w:t>
      </w:r>
      <w:r w:rsidRPr="005B2032">
        <w:rPr>
          <w:rFonts w:cstheme="minorHAnsi"/>
          <w:bCs/>
          <w:szCs w:val="24"/>
        </w:rPr>
        <w:t xml:space="preserve"> и 65</w:t>
      </w:r>
      <w:r w:rsidR="00DF07FD">
        <w:rPr>
          <w:rFonts w:cstheme="minorHAnsi"/>
          <w:bCs/>
          <w:szCs w:val="24"/>
        </w:rPr>
        <w:t> г.</w:t>
      </w:r>
      <w:r w:rsidRPr="005B2032">
        <w:rPr>
          <w:rFonts w:cstheme="minorHAnsi"/>
          <w:bCs/>
          <w:szCs w:val="24"/>
        </w:rPr>
        <w:t xml:space="preserve"> за жените през 2037</w:t>
      </w:r>
      <w:r w:rsidR="00DF07FD">
        <w:rPr>
          <w:rFonts w:cstheme="minorHAnsi"/>
          <w:bCs/>
          <w:szCs w:val="24"/>
        </w:rPr>
        <w:t> г.</w:t>
      </w:r>
      <w:r w:rsidRPr="005B2032">
        <w:rPr>
          <w:rStyle w:val="FootnoteReference"/>
          <w:rFonts w:cstheme="minorHAnsi"/>
          <w:bCs/>
          <w:szCs w:val="24"/>
        </w:rPr>
        <w:footnoteReference w:id="29"/>
      </w:r>
      <w:r w:rsidRPr="005B2032">
        <w:rPr>
          <w:rFonts w:cstheme="minorHAnsi"/>
          <w:bCs/>
          <w:szCs w:val="24"/>
        </w:rPr>
        <w:t xml:space="preserve"> Тези обстоятелства ще доведат до влошаване на съотношението между броя на пенсионерите и броя на осигурените лица. </w:t>
      </w:r>
    </w:p>
    <w:p w14:paraId="2C588586" w14:textId="105B5988" w:rsidR="003A3017" w:rsidRPr="005B2032" w:rsidRDefault="003A3017" w:rsidP="0002274C">
      <w:pPr>
        <w:rPr>
          <w:rFonts w:cstheme="minorHAnsi"/>
          <w:b/>
          <w:szCs w:val="24"/>
          <w:u w:val="single"/>
        </w:rPr>
      </w:pPr>
      <w:r w:rsidRPr="005B2032">
        <w:rPr>
          <w:rFonts w:cstheme="minorHAnsi"/>
          <w:szCs w:val="24"/>
        </w:rPr>
        <w:t>През 2021</w:t>
      </w:r>
      <w:r w:rsidR="00DF07FD">
        <w:rPr>
          <w:rFonts w:cstheme="minorHAnsi"/>
          <w:szCs w:val="24"/>
        </w:rPr>
        <w:t> г.</w:t>
      </w:r>
      <w:r w:rsidRPr="005B2032">
        <w:rPr>
          <w:rFonts w:cstheme="minorHAnsi"/>
          <w:szCs w:val="24"/>
        </w:rPr>
        <w:t xml:space="preserve"> на 100 осигурени лица са съответствали 73 пенсионери с пенсии за трудова дейност, а за 2022</w:t>
      </w:r>
      <w:r w:rsidR="00DF07FD">
        <w:rPr>
          <w:rFonts w:cstheme="minorHAnsi"/>
          <w:szCs w:val="24"/>
        </w:rPr>
        <w:t> г.</w:t>
      </w:r>
      <w:r w:rsidR="009C0E16" w:rsidRPr="005B2032">
        <w:rPr>
          <w:rFonts w:cstheme="minorHAnsi"/>
          <w:szCs w:val="24"/>
        </w:rPr>
        <w:t xml:space="preserve"> </w:t>
      </w:r>
      <w:r w:rsidRPr="005B2032">
        <w:rPr>
          <w:rFonts w:cstheme="minorHAnsi"/>
          <w:szCs w:val="24"/>
        </w:rPr>
        <w:t xml:space="preserve">се очаква на 100 осигурени лица да съответстват 71 пенсионери. </w:t>
      </w:r>
      <w:r w:rsidRPr="005B2032">
        <w:rPr>
          <w:rFonts w:cstheme="minorHAnsi"/>
          <w:bCs/>
          <w:szCs w:val="24"/>
        </w:rPr>
        <w:t>На фигура № 1 са вижда, че т</w:t>
      </w:r>
      <w:r w:rsidRPr="005B2032">
        <w:rPr>
          <w:rFonts w:cstheme="minorHAnsi"/>
          <w:bCs/>
          <w:szCs w:val="24"/>
          <w:lang w:val="en-US"/>
        </w:rPr>
        <w:t xml:space="preserve">. </w:t>
      </w:r>
      <w:r w:rsidRPr="005B2032">
        <w:rPr>
          <w:rFonts w:cstheme="minorHAnsi"/>
          <w:bCs/>
          <w:szCs w:val="24"/>
        </w:rPr>
        <w:t>нар</w:t>
      </w:r>
      <w:r w:rsidRPr="005B2032">
        <w:rPr>
          <w:rFonts w:cstheme="minorHAnsi"/>
          <w:bCs/>
          <w:szCs w:val="24"/>
          <w:lang w:val="en-US"/>
        </w:rPr>
        <w:t>.</w:t>
      </w:r>
      <w:r w:rsidRPr="005B2032">
        <w:rPr>
          <w:rFonts w:cstheme="minorHAnsi"/>
          <w:bCs/>
          <w:szCs w:val="24"/>
        </w:rPr>
        <w:t xml:space="preserve"> „вътрешносистемен коефициент на зависимост“ ще намалява, </w:t>
      </w:r>
      <w:r w:rsidRPr="005B2032">
        <w:rPr>
          <w:rFonts w:cstheme="minorHAnsi"/>
          <w:szCs w:val="24"/>
        </w:rPr>
        <w:t>като в периода между 2027</w:t>
      </w:r>
      <w:r w:rsidR="00DF07FD">
        <w:rPr>
          <w:rFonts w:cstheme="minorHAnsi"/>
          <w:szCs w:val="24"/>
        </w:rPr>
        <w:t> г.</w:t>
      </w:r>
      <w:r w:rsidRPr="005B2032">
        <w:rPr>
          <w:rFonts w:cstheme="minorHAnsi"/>
          <w:szCs w:val="24"/>
        </w:rPr>
        <w:t xml:space="preserve"> и 2037</w:t>
      </w:r>
      <w:r w:rsidR="00DF07FD">
        <w:rPr>
          <w:rFonts w:cstheme="minorHAnsi"/>
          <w:szCs w:val="24"/>
        </w:rPr>
        <w:t> г.</w:t>
      </w:r>
      <w:r w:rsidRPr="005B2032">
        <w:rPr>
          <w:rFonts w:cstheme="minorHAnsi"/>
          <w:szCs w:val="24"/>
        </w:rPr>
        <w:t>, когато пенсионната възраст за жените и мъжете ще се изравни на 65 години, съотношението между броя на пенсионерите и броя на осигурените лица ще остане под 65%. Това намаление е резултат от прогнозирания по-малък брой новоотпуснати пенсии през тези години, вследствие на увеличаването на пенсионната възраст и на изискуемия осигурителен стаж,</w:t>
      </w:r>
      <w:r w:rsidR="009C0E16" w:rsidRPr="005B2032">
        <w:rPr>
          <w:rFonts w:cstheme="minorHAnsi"/>
          <w:szCs w:val="24"/>
        </w:rPr>
        <w:t xml:space="preserve"> </w:t>
      </w:r>
      <w:r w:rsidRPr="005B2032">
        <w:rPr>
          <w:rFonts w:cstheme="minorHAnsi"/>
          <w:szCs w:val="24"/>
        </w:rPr>
        <w:t>ограничаването на ранното пенсиониране, както и</w:t>
      </w:r>
      <w:r w:rsidR="009C0E16" w:rsidRPr="005B2032">
        <w:rPr>
          <w:rFonts w:cstheme="minorHAnsi"/>
          <w:szCs w:val="24"/>
        </w:rPr>
        <w:t xml:space="preserve"> </w:t>
      </w:r>
      <w:r w:rsidRPr="005B2032">
        <w:rPr>
          <w:rFonts w:cstheme="minorHAnsi"/>
          <w:szCs w:val="24"/>
        </w:rPr>
        <w:t xml:space="preserve">поради наличието на стимули за по-дълго оставане на пазара на труда на възрастните работници. </w:t>
      </w:r>
      <w:r w:rsidRPr="005B2032">
        <w:rPr>
          <w:rFonts w:cstheme="minorHAnsi"/>
          <w:bCs/>
          <w:szCs w:val="24"/>
        </w:rPr>
        <w:t>След 2037</w:t>
      </w:r>
      <w:r w:rsidR="00DF07FD">
        <w:rPr>
          <w:rFonts w:cstheme="minorHAnsi"/>
          <w:bCs/>
          <w:szCs w:val="24"/>
        </w:rPr>
        <w:t> г.</w:t>
      </w:r>
      <w:r w:rsidRPr="005B2032">
        <w:rPr>
          <w:rFonts w:cstheme="minorHAnsi"/>
          <w:bCs/>
          <w:szCs w:val="24"/>
        </w:rPr>
        <w:t xml:space="preserve"> </w:t>
      </w:r>
      <w:r w:rsidRPr="005B2032">
        <w:rPr>
          <w:rFonts w:cstheme="minorHAnsi"/>
          <w:szCs w:val="24"/>
        </w:rPr>
        <w:t>под въздействието на фактори като застаряване на населението, увеличаваща се средна продължителност на живота и намаляващ брой на заетите лица,</w:t>
      </w:r>
      <w:r w:rsidRPr="005B2032">
        <w:rPr>
          <w:rFonts w:cstheme="minorHAnsi"/>
          <w:bCs/>
          <w:szCs w:val="24"/>
        </w:rPr>
        <w:t xml:space="preserve"> съотношението между броя на пенсионерите и броя на осигурените лица ще започне плавно да нараства, като най-високата</w:t>
      </w:r>
      <w:r w:rsidR="009C0E16" w:rsidRPr="005B2032">
        <w:rPr>
          <w:rFonts w:cstheme="minorHAnsi"/>
          <w:bCs/>
          <w:szCs w:val="24"/>
        </w:rPr>
        <w:t xml:space="preserve"> </w:t>
      </w:r>
      <w:r w:rsidRPr="005B2032">
        <w:rPr>
          <w:rFonts w:cstheme="minorHAnsi"/>
          <w:bCs/>
          <w:szCs w:val="24"/>
        </w:rPr>
        <w:t xml:space="preserve">стойност на показателя ще бъде </w:t>
      </w:r>
      <w:r w:rsidRPr="005B2032">
        <w:rPr>
          <w:rFonts w:cstheme="minorHAnsi"/>
          <w:bCs/>
          <w:szCs w:val="24"/>
        </w:rPr>
        <w:lastRenderedPageBreak/>
        <w:t>достигната около</w:t>
      </w:r>
      <w:r w:rsidR="009C0E16" w:rsidRPr="005B2032">
        <w:rPr>
          <w:rFonts w:cstheme="minorHAnsi"/>
          <w:bCs/>
          <w:szCs w:val="24"/>
        </w:rPr>
        <w:t xml:space="preserve"> </w:t>
      </w:r>
      <w:r w:rsidRPr="005B2032">
        <w:rPr>
          <w:rFonts w:cstheme="minorHAnsi"/>
          <w:bCs/>
          <w:szCs w:val="24"/>
        </w:rPr>
        <w:t>2060</w:t>
      </w:r>
      <w:r w:rsidR="00DF07FD">
        <w:rPr>
          <w:rFonts w:cstheme="minorHAnsi"/>
          <w:bCs/>
          <w:szCs w:val="24"/>
        </w:rPr>
        <w:t> г.</w:t>
      </w:r>
      <w:r w:rsidRPr="005B2032">
        <w:rPr>
          <w:rFonts w:cstheme="minorHAnsi"/>
          <w:bCs/>
          <w:szCs w:val="24"/>
        </w:rPr>
        <w:t>, когато на 100 осигурени лица ще съответстват 77 пенсионери за трудова дейност.</w:t>
      </w:r>
    </w:p>
    <w:p w14:paraId="5B0735A0" w14:textId="5856B3D2" w:rsidR="003A3017" w:rsidRPr="005B2032" w:rsidRDefault="0028482C" w:rsidP="00D23667">
      <w:pPr>
        <w:pStyle w:val="Caption"/>
      </w:pPr>
      <w:r>
        <w:t>Граф. 5-3</w:t>
      </w:r>
      <w:r w:rsidR="003A3017" w:rsidRPr="005B2032">
        <w:t>: Пенсионери за трудова дейност към осигурени лица (2021</w:t>
      </w:r>
      <w:r w:rsidR="008C4C14">
        <w:t>–</w:t>
      </w:r>
      <w:r w:rsidR="003A3017" w:rsidRPr="005B2032">
        <w:t>2070</w:t>
      </w:r>
      <w:r w:rsidR="00DF07FD">
        <w:t> г.</w:t>
      </w:r>
      <w:r w:rsidR="003A3017" w:rsidRPr="005B2032">
        <w:t>)</w:t>
      </w:r>
    </w:p>
    <w:p w14:paraId="495703BB" w14:textId="468C8209" w:rsidR="003A3017" w:rsidRPr="005B2032" w:rsidRDefault="00D23667" w:rsidP="005614C1">
      <w:pPr>
        <w:rPr>
          <w:rFonts w:cstheme="minorHAnsi"/>
          <w:bCs/>
          <w:szCs w:val="24"/>
        </w:rPr>
      </w:pPr>
      <w:r>
        <w:rPr>
          <w:noProof/>
        </w:rPr>
        <w:drawing>
          <wp:inline distT="0" distB="0" distL="0" distR="0" wp14:anchorId="17655C1A" wp14:editId="557F877E">
            <wp:extent cx="5759450" cy="2520000"/>
            <wp:effectExtent l="0" t="0" r="0" b="0"/>
            <wp:docPr id="23" name="Chart 23">
              <a:extLst xmlns:a="http://schemas.openxmlformats.org/drawingml/2006/main">
                <a:ext uri="{FF2B5EF4-FFF2-40B4-BE49-F238E27FC236}">
                  <a16:creationId xmlns:a16="http://schemas.microsoft.com/office/drawing/2014/main" id="{96A5E59C-53C0-48F3-9274-57C6C6EFC1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A37066F" w14:textId="77777777" w:rsidR="003A3017" w:rsidRPr="005B2032" w:rsidRDefault="003A3017" w:rsidP="005614C1">
      <w:pPr>
        <w:ind w:firstLine="708"/>
        <w:rPr>
          <w:rFonts w:cstheme="minorHAnsi"/>
          <w:iCs/>
          <w:szCs w:val="24"/>
        </w:rPr>
      </w:pPr>
    </w:p>
    <w:p w14:paraId="1BFEA093" w14:textId="3FF42F9B" w:rsidR="003A3017" w:rsidRPr="005B2032" w:rsidRDefault="003A3017" w:rsidP="0002274C">
      <w:pPr>
        <w:pStyle w:val="BodyTextIndent"/>
        <w:spacing w:line="240" w:lineRule="auto"/>
        <w:ind w:left="0"/>
        <w:rPr>
          <w:rFonts w:asciiTheme="minorHAnsi" w:eastAsia="MS Mincho" w:hAnsiTheme="minorHAnsi"/>
          <w:sz w:val="24"/>
        </w:rPr>
      </w:pPr>
      <w:r w:rsidRPr="005B2032">
        <w:rPr>
          <w:rFonts w:asciiTheme="minorHAnsi" w:eastAsia="MS Mincho" w:hAnsiTheme="minorHAnsi" w:cstheme="minorHAnsi"/>
          <w:sz w:val="24"/>
        </w:rPr>
        <w:t>Същевременно, фокусът на провежданите в последните години политики бе насочен предимно към повишаване на адекватността на пенсиите.</w:t>
      </w:r>
      <w:r w:rsidR="009C0E16" w:rsidRPr="005B2032">
        <w:rPr>
          <w:rFonts w:asciiTheme="minorHAnsi" w:eastAsia="MS Mincho" w:hAnsiTheme="minorHAnsi" w:cstheme="minorHAnsi"/>
          <w:sz w:val="24"/>
        </w:rPr>
        <w:t xml:space="preserve"> </w:t>
      </w:r>
      <w:r w:rsidRPr="005B2032">
        <w:rPr>
          <w:rFonts w:asciiTheme="minorHAnsi" w:eastAsia="MS Mincho" w:hAnsiTheme="minorHAnsi" w:cstheme="minorHAnsi"/>
          <w:sz w:val="24"/>
        </w:rPr>
        <w:t>През 202</w:t>
      </w:r>
      <w:r w:rsidR="0028482C">
        <w:rPr>
          <w:rFonts w:asciiTheme="minorHAnsi" w:eastAsia="MS Mincho" w:hAnsiTheme="minorHAnsi" w:cstheme="minorHAnsi"/>
          <w:sz w:val="24"/>
        </w:rPr>
        <w:t>1</w:t>
      </w:r>
      <w:r w:rsidR="00DF07FD">
        <w:rPr>
          <w:rFonts w:asciiTheme="minorHAnsi" w:eastAsia="MS Mincho" w:hAnsiTheme="minorHAnsi" w:cstheme="minorHAnsi"/>
          <w:sz w:val="24"/>
        </w:rPr>
        <w:t> г.</w:t>
      </w:r>
      <w:r w:rsidR="0028482C">
        <w:rPr>
          <w:rFonts w:asciiTheme="minorHAnsi" w:eastAsia="MS Mincho" w:hAnsiTheme="minorHAnsi" w:cstheme="minorHAnsi"/>
          <w:sz w:val="24"/>
        </w:rPr>
        <w:t xml:space="preserve"> разходите за пенсии бяха 8.</w:t>
      </w:r>
      <w:r w:rsidRPr="005B2032">
        <w:rPr>
          <w:rFonts w:asciiTheme="minorHAnsi" w:eastAsia="MS Mincho" w:hAnsiTheme="minorHAnsi" w:cstheme="minorHAnsi"/>
          <w:sz w:val="24"/>
        </w:rPr>
        <w:t>8% от БВП без изплащаните допъл</w:t>
      </w:r>
      <w:r w:rsidR="0028482C">
        <w:rPr>
          <w:rFonts w:asciiTheme="minorHAnsi" w:eastAsia="MS Mincho" w:hAnsiTheme="minorHAnsi" w:cstheme="minorHAnsi"/>
          <w:sz w:val="24"/>
        </w:rPr>
        <w:t>нителни суми към пенсиите, и 10.</w:t>
      </w:r>
      <w:r w:rsidRPr="005B2032">
        <w:rPr>
          <w:rFonts w:asciiTheme="minorHAnsi" w:eastAsia="MS Mincho" w:hAnsiTheme="minorHAnsi" w:cstheme="minorHAnsi"/>
          <w:sz w:val="24"/>
        </w:rPr>
        <w:t>7% от БВП с включени допълнителни суми от 50 лв. на всеки пенсионер в периода януари – септември и 120 лв. в периода октомври – декември. През 2022</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се очаква разходите за пенсии да достигнат 9</w:t>
      </w:r>
      <w:r w:rsidR="0028482C">
        <w:rPr>
          <w:rFonts w:asciiTheme="minorHAnsi" w:eastAsia="MS Mincho" w:hAnsiTheme="minorHAnsi" w:cstheme="minorHAnsi"/>
          <w:sz w:val="24"/>
        </w:rPr>
        <w:t>.</w:t>
      </w:r>
      <w:r w:rsidRPr="005B2032">
        <w:rPr>
          <w:rFonts w:asciiTheme="minorHAnsi" w:eastAsia="MS Mincho" w:hAnsiTheme="minorHAnsi" w:cstheme="minorHAnsi"/>
          <w:sz w:val="24"/>
        </w:rPr>
        <w:t>6% от БВП без допълнителните суми към пенсиите и 9</w:t>
      </w:r>
      <w:r w:rsidR="0028482C">
        <w:rPr>
          <w:rFonts w:asciiTheme="minorHAnsi" w:eastAsia="MS Mincho" w:hAnsiTheme="minorHAnsi" w:cstheme="minorHAnsi"/>
          <w:sz w:val="24"/>
        </w:rPr>
        <w:t>.</w:t>
      </w:r>
      <w:r w:rsidRPr="005B2032">
        <w:rPr>
          <w:rFonts w:asciiTheme="minorHAnsi" w:eastAsia="MS Mincho" w:hAnsiTheme="minorHAnsi" w:cstheme="minorHAnsi"/>
          <w:sz w:val="24"/>
        </w:rPr>
        <w:t>7% от БВП с включени допълнителни суми</w:t>
      </w:r>
      <w:r w:rsidRPr="005B2032">
        <w:rPr>
          <w:rStyle w:val="FootnoteReference"/>
          <w:rFonts w:asciiTheme="minorHAnsi" w:eastAsia="MS Mincho" w:hAnsiTheme="minorHAnsi" w:cstheme="minorHAnsi"/>
          <w:sz w:val="24"/>
        </w:rPr>
        <w:footnoteReference w:id="30"/>
      </w:r>
      <w:r w:rsidRPr="005B2032">
        <w:rPr>
          <w:rFonts w:asciiTheme="minorHAnsi" w:eastAsia="MS Mincho" w:hAnsiTheme="minorHAnsi" w:cstheme="minorHAnsi"/>
          <w:sz w:val="24"/>
        </w:rPr>
        <w:t xml:space="preserve">, </w:t>
      </w:r>
      <w:r w:rsidRPr="005B2032">
        <w:rPr>
          <w:rFonts w:asciiTheme="minorHAnsi" w:eastAsia="MS Mincho" w:hAnsiTheme="minorHAnsi"/>
          <w:sz w:val="24"/>
        </w:rPr>
        <w:t>които не бяха предвидени в ЗБДОО за 2022</w:t>
      </w:r>
      <w:r w:rsidR="00DF07FD">
        <w:rPr>
          <w:rFonts w:asciiTheme="minorHAnsi" w:eastAsia="MS Mincho" w:hAnsiTheme="minorHAnsi"/>
          <w:sz w:val="24"/>
        </w:rPr>
        <w:t> г.</w:t>
      </w:r>
      <w:r w:rsidRPr="005B2032">
        <w:rPr>
          <w:rFonts w:asciiTheme="minorHAnsi" w:eastAsia="MS Mincho" w:hAnsiTheme="minorHAnsi" w:cstheme="minorHAnsi"/>
          <w:sz w:val="24"/>
        </w:rPr>
        <w:t xml:space="preserve"> Увеличението от 8</w:t>
      </w:r>
      <w:r w:rsidR="0028482C">
        <w:rPr>
          <w:rFonts w:asciiTheme="minorHAnsi" w:eastAsia="MS Mincho" w:hAnsiTheme="minorHAnsi" w:cstheme="minorHAnsi"/>
          <w:sz w:val="24"/>
        </w:rPr>
        <w:t>.8% на 9.6</w:t>
      </w:r>
      <w:r w:rsidRPr="005B2032">
        <w:rPr>
          <w:rFonts w:asciiTheme="minorHAnsi" w:eastAsia="MS Mincho" w:hAnsiTheme="minorHAnsi" w:cstheme="minorHAnsi"/>
          <w:sz w:val="24"/>
        </w:rPr>
        <w:t>% се дължи основно на по-високите от началото на годината размери на пенсиите в резултат на увеличението на минималния</w:t>
      </w:r>
      <w:r w:rsidR="009C0E16" w:rsidRPr="005B2032">
        <w:rPr>
          <w:rFonts w:asciiTheme="minorHAnsi" w:eastAsia="MS Mincho" w:hAnsiTheme="minorHAnsi" w:cstheme="minorHAnsi"/>
          <w:sz w:val="24"/>
        </w:rPr>
        <w:t xml:space="preserve"> </w:t>
      </w:r>
      <w:r w:rsidRPr="005B2032">
        <w:rPr>
          <w:rFonts w:asciiTheme="minorHAnsi" w:eastAsia="MS Mincho" w:hAnsiTheme="minorHAnsi" w:cstheme="minorHAnsi"/>
          <w:sz w:val="24"/>
        </w:rPr>
        <w:t>размер на пенсията за осигурителен</w:t>
      </w:r>
      <w:r w:rsidRPr="005B2032">
        <w:rPr>
          <w:rFonts w:cstheme="minorHAnsi"/>
          <w:bCs/>
          <w:sz w:val="24"/>
        </w:rPr>
        <w:t xml:space="preserve"> </w:t>
      </w:r>
      <w:r w:rsidR="0028482C">
        <w:rPr>
          <w:rFonts w:asciiTheme="minorHAnsi" w:eastAsia="MS Mincho" w:hAnsiTheme="minorHAnsi" w:cstheme="minorHAnsi"/>
          <w:sz w:val="24"/>
        </w:rPr>
        <w:t>стаж и възраст от 300 лв. на 370</w:t>
      </w:r>
      <w:r w:rsidRPr="005B2032">
        <w:rPr>
          <w:rFonts w:asciiTheme="minorHAnsi" w:eastAsia="MS Mincho" w:hAnsiTheme="minorHAnsi" w:cstheme="minorHAnsi"/>
          <w:sz w:val="24"/>
        </w:rPr>
        <w:t xml:space="preserve"> лв. и на максималния</w:t>
      </w:r>
      <w:r w:rsidR="009C0E16" w:rsidRPr="005B2032">
        <w:rPr>
          <w:rFonts w:asciiTheme="minorHAnsi" w:eastAsia="MS Mincho" w:hAnsiTheme="minorHAnsi" w:cstheme="minorHAnsi"/>
          <w:sz w:val="24"/>
        </w:rPr>
        <w:t xml:space="preserve"> </w:t>
      </w:r>
      <w:r w:rsidRPr="005B2032">
        <w:rPr>
          <w:rFonts w:asciiTheme="minorHAnsi" w:eastAsia="MS Mincho" w:hAnsiTheme="minorHAnsi" w:cstheme="minorHAnsi"/>
          <w:sz w:val="24"/>
        </w:rPr>
        <w:t>размер на получаваните една или повече пенсии от 1440 лв. на 1500 лв., на увеличението на процента за година осигурителен стаж от 1</w:t>
      </w:r>
      <w:r w:rsidR="0028482C">
        <w:rPr>
          <w:rFonts w:asciiTheme="minorHAnsi" w:eastAsia="MS Mincho" w:hAnsiTheme="minorHAnsi" w:cstheme="minorHAnsi"/>
          <w:sz w:val="24"/>
        </w:rPr>
        <w:t>.</w:t>
      </w:r>
      <w:r w:rsidRPr="005B2032">
        <w:rPr>
          <w:rFonts w:asciiTheme="minorHAnsi" w:eastAsia="MS Mincho" w:hAnsiTheme="minorHAnsi" w:cstheme="minorHAnsi"/>
          <w:sz w:val="24"/>
        </w:rPr>
        <w:t>2 на 1</w:t>
      </w:r>
      <w:r w:rsidR="0028482C">
        <w:rPr>
          <w:rFonts w:asciiTheme="minorHAnsi" w:eastAsia="MS Mincho" w:hAnsiTheme="minorHAnsi" w:cstheme="minorHAnsi"/>
          <w:sz w:val="24"/>
        </w:rPr>
        <w:t>.</w:t>
      </w:r>
      <w:r w:rsidRPr="005B2032">
        <w:rPr>
          <w:rFonts w:asciiTheme="minorHAnsi" w:eastAsia="MS Mincho" w:hAnsiTheme="minorHAnsi" w:cstheme="minorHAnsi"/>
          <w:sz w:val="24"/>
        </w:rPr>
        <w:t>35, както и на предвиденото в ЗБДОО за 2022</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осъвременяване с 6</w:t>
      </w:r>
      <w:r w:rsidR="0028482C">
        <w:rPr>
          <w:rFonts w:asciiTheme="minorHAnsi" w:eastAsia="MS Mincho" w:hAnsiTheme="minorHAnsi" w:cstheme="minorHAnsi"/>
          <w:sz w:val="24"/>
        </w:rPr>
        <w:t>.</w:t>
      </w:r>
      <w:r w:rsidRPr="005B2032">
        <w:rPr>
          <w:rFonts w:asciiTheme="minorHAnsi" w:eastAsia="MS Mincho" w:hAnsiTheme="minorHAnsi" w:cstheme="minorHAnsi"/>
          <w:sz w:val="24"/>
        </w:rPr>
        <w:t>1% на размерите на пенсиите от 1 юли.</w:t>
      </w:r>
      <w:r w:rsidR="009C0E16" w:rsidRPr="005B2032">
        <w:rPr>
          <w:rFonts w:asciiTheme="minorHAnsi" w:eastAsia="MS Mincho" w:hAnsiTheme="minorHAnsi" w:cstheme="minorHAnsi"/>
          <w:sz w:val="24"/>
        </w:rPr>
        <w:t xml:space="preserve"> </w:t>
      </w:r>
      <w:r w:rsidRPr="005B2032">
        <w:rPr>
          <w:rFonts w:asciiTheme="minorHAnsi" w:eastAsia="MS Mincho" w:hAnsiTheme="minorHAnsi" w:cstheme="minorHAnsi"/>
          <w:sz w:val="24"/>
        </w:rPr>
        <w:t>Спад до 9</w:t>
      </w:r>
      <w:r w:rsidR="0028482C">
        <w:rPr>
          <w:rFonts w:asciiTheme="minorHAnsi" w:eastAsia="MS Mincho" w:hAnsiTheme="minorHAnsi" w:cstheme="minorHAnsi"/>
          <w:sz w:val="24"/>
        </w:rPr>
        <w:t>.</w:t>
      </w:r>
      <w:r w:rsidRPr="005B2032">
        <w:rPr>
          <w:rFonts w:asciiTheme="minorHAnsi" w:eastAsia="MS Mincho" w:hAnsiTheme="minorHAnsi" w:cstheme="minorHAnsi"/>
          <w:sz w:val="24"/>
        </w:rPr>
        <w:t>3% ще има в 2023</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поради допускането, че след 2022</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увеличение в</w:t>
      </w:r>
      <w:r w:rsidR="009C0E16" w:rsidRPr="005B2032">
        <w:rPr>
          <w:rFonts w:asciiTheme="minorHAnsi" w:eastAsia="MS Mincho" w:hAnsiTheme="minorHAnsi" w:cstheme="minorHAnsi"/>
          <w:sz w:val="24"/>
        </w:rPr>
        <w:t xml:space="preserve"> </w:t>
      </w:r>
      <w:r w:rsidRPr="005B2032">
        <w:rPr>
          <w:rFonts w:asciiTheme="minorHAnsi" w:eastAsia="MS Mincho" w:hAnsiTheme="minorHAnsi" w:cstheme="minorHAnsi"/>
          <w:sz w:val="24"/>
        </w:rPr>
        <w:t>размерите на пенсиите ще има само в резултат на ежегодното им осъвременяването от 1 юли. До 2025</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се очаква задържане на това ниво, след което делът на разходите за пенсии от БВП ще продължи да намалява, достигайки най-ниските си стойности от около 8</w:t>
      </w:r>
      <w:r w:rsidR="0028482C">
        <w:rPr>
          <w:rFonts w:asciiTheme="minorHAnsi" w:eastAsia="MS Mincho" w:hAnsiTheme="minorHAnsi" w:cstheme="minorHAnsi"/>
          <w:sz w:val="24"/>
        </w:rPr>
        <w:t>.</w:t>
      </w:r>
      <w:r w:rsidRPr="005B2032">
        <w:rPr>
          <w:rFonts w:asciiTheme="minorHAnsi" w:eastAsia="MS Mincho" w:hAnsiTheme="minorHAnsi" w:cstheme="minorHAnsi"/>
          <w:sz w:val="24"/>
        </w:rPr>
        <w:t>2% в периода 2035</w:t>
      </w:r>
      <w:r w:rsidR="008010F6">
        <w:rPr>
          <w:rFonts w:cstheme="minorHAnsi"/>
          <w:lang w:val="en-US"/>
        </w:rPr>
        <w:t>–</w:t>
      </w:r>
      <w:r w:rsidRPr="005B2032">
        <w:rPr>
          <w:rFonts w:asciiTheme="minorHAnsi" w:eastAsia="MS Mincho" w:hAnsiTheme="minorHAnsi" w:cstheme="minorHAnsi"/>
          <w:sz w:val="24"/>
        </w:rPr>
        <w:t>2040</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Най-съществено влияние върху този процес ще оказва намаляващият брой на новоотпуснатите пенсии поради постепенното нарастване на пенсионната възраст и на изискуемия осигурителен стаж. В периода от 2040</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до 2055</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в резултат на застаряването на населението и очакваната по-висока средна продължителност на живота, демографският натиск върху държавната пенсионната система ще се увеличи и разходите за пенсии като процент от БВП ще започнат да нарастват, достигайки най-високата си стойност от 9</w:t>
      </w:r>
      <w:r w:rsidR="0028482C">
        <w:rPr>
          <w:rFonts w:asciiTheme="minorHAnsi" w:eastAsia="MS Mincho" w:hAnsiTheme="minorHAnsi" w:cstheme="minorHAnsi"/>
          <w:sz w:val="24"/>
        </w:rPr>
        <w:t>.</w:t>
      </w:r>
      <w:r w:rsidRPr="005B2032">
        <w:rPr>
          <w:rFonts w:asciiTheme="minorHAnsi" w:eastAsia="MS Mincho" w:hAnsiTheme="minorHAnsi" w:cstheme="minorHAnsi"/>
          <w:sz w:val="24"/>
        </w:rPr>
        <w:t>2% около 2060</w:t>
      </w:r>
      <w:r w:rsidR="00DF07FD">
        <w:rPr>
          <w:rFonts w:asciiTheme="minorHAnsi" w:eastAsia="MS Mincho" w:hAnsiTheme="minorHAnsi" w:cstheme="minorHAnsi"/>
          <w:sz w:val="24"/>
        </w:rPr>
        <w:t> г.</w:t>
      </w:r>
      <w:r w:rsidRPr="005B2032">
        <w:rPr>
          <w:rFonts w:asciiTheme="minorHAnsi" w:eastAsia="MS Mincho" w:hAnsiTheme="minorHAnsi" w:cstheme="minorHAnsi"/>
          <w:sz w:val="24"/>
        </w:rPr>
        <w:t xml:space="preserve"> През последната декада от прогнозния период може се очаква известно намаление на дела на </w:t>
      </w:r>
      <w:r w:rsidR="0028482C">
        <w:rPr>
          <w:rFonts w:asciiTheme="minorHAnsi" w:eastAsia="MS Mincho" w:hAnsiTheme="minorHAnsi" w:cstheme="minorHAnsi"/>
          <w:sz w:val="24"/>
        </w:rPr>
        <w:t>разходите за пенсии до около 9</w:t>
      </w:r>
      <w:r w:rsidRPr="005B2032">
        <w:rPr>
          <w:rFonts w:asciiTheme="minorHAnsi" w:eastAsia="MS Mincho" w:hAnsiTheme="minorHAnsi" w:cstheme="minorHAnsi"/>
          <w:sz w:val="24"/>
        </w:rPr>
        <w:t>% от БВП.</w:t>
      </w:r>
    </w:p>
    <w:p w14:paraId="6B8871C1" w14:textId="7BA9C000" w:rsidR="003A3017" w:rsidRPr="005B2032" w:rsidRDefault="003A3017" w:rsidP="0002274C">
      <w:pPr>
        <w:rPr>
          <w:rFonts w:asciiTheme="minorHAnsi" w:hAnsiTheme="minorHAnsi" w:cstheme="minorHAnsi"/>
          <w:bCs/>
          <w:szCs w:val="24"/>
          <w:lang w:val="en-US"/>
        </w:rPr>
      </w:pPr>
      <w:r w:rsidRPr="005B2032">
        <w:rPr>
          <w:rFonts w:cstheme="minorHAnsi"/>
          <w:bCs/>
          <w:szCs w:val="24"/>
        </w:rPr>
        <w:lastRenderedPageBreak/>
        <w:t>На следващата графика са показани резултатите от дългосрочната прогноза за разходите за пенсии изплащани от държавното обществено осигуряване за периода 2021</w:t>
      </w:r>
      <w:r w:rsidR="008010F6">
        <w:rPr>
          <w:rFonts w:cstheme="minorHAnsi"/>
          <w:lang w:val="en-US"/>
        </w:rPr>
        <w:t>–</w:t>
      </w:r>
      <w:r w:rsidRPr="005B2032">
        <w:rPr>
          <w:rFonts w:cstheme="minorHAnsi"/>
          <w:bCs/>
          <w:szCs w:val="24"/>
        </w:rPr>
        <w:t>2070</w:t>
      </w:r>
      <w:r w:rsidR="00DF07FD">
        <w:rPr>
          <w:rFonts w:cstheme="minorHAnsi"/>
          <w:bCs/>
          <w:szCs w:val="24"/>
        </w:rPr>
        <w:t> г.</w:t>
      </w:r>
    </w:p>
    <w:p w14:paraId="6C80E1DC" w14:textId="6806D837" w:rsidR="003A3017" w:rsidRPr="005B2032" w:rsidRDefault="0028482C" w:rsidP="00A22085">
      <w:pPr>
        <w:pStyle w:val="Caption"/>
      </w:pPr>
      <w:r>
        <w:t>Граф. 5-4</w:t>
      </w:r>
      <w:r w:rsidR="003A3017" w:rsidRPr="005B2032">
        <w:t>: Разходи за пенсии в % от БВП (2021-2070</w:t>
      </w:r>
      <w:r w:rsidR="00DF07FD">
        <w:t> г.</w:t>
      </w:r>
      <w:r w:rsidR="003A3017" w:rsidRPr="005B2032">
        <w:t>)</w:t>
      </w:r>
    </w:p>
    <w:p w14:paraId="557E065E" w14:textId="1F54F9C1" w:rsidR="003A3017" w:rsidRPr="0002274C" w:rsidRDefault="003A3017" w:rsidP="0002274C">
      <w:pPr>
        <w:rPr>
          <w:rFonts w:cstheme="minorHAnsi"/>
          <w:b/>
          <w:szCs w:val="24"/>
        </w:rPr>
      </w:pPr>
      <w:r w:rsidRPr="005B2032">
        <w:rPr>
          <w:noProof/>
          <w:szCs w:val="24"/>
        </w:rPr>
        <w:drawing>
          <wp:inline distT="0" distB="0" distL="0" distR="0" wp14:anchorId="347574B7" wp14:editId="77E829B7">
            <wp:extent cx="5760000" cy="2520000"/>
            <wp:effectExtent l="0" t="0" r="0" b="0"/>
            <wp:docPr id="1" name="Chart 1">
              <a:extLst xmlns:a="http://schemas.openxmlformats.org/drawingml/2006/main">
                <a:ext uri="{FF2B5EF4-FFF2-40B4-BE49-F238E27FC236}">
                  <a16:creationId xmlns:a16="http://schemas.microsoft.com/office/drawing/2014/main" id="{A26E1502-DB50-45D1-8CED-5ACF33ECF6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328D76F" w14:textId="77777777" w:rsidR="001B4CE0" w:rsidRDefault="001B4CE0" w:rsidP="0002274C">
      <w:pPr>
        <w:rPr>
          <w:rFonts w:cstheme="minorHAnsi"/>
          <w:bCs/>
          <w:iCs/>
          <w:szCs w:val="24"/>
        </w:rPr>
      </w:pPr>
    </w:p>
    <w:p w14:paraId="5EC728A0" w14:textId="60CAE7BB" w:rsidR="003A3017" w:rsidRPr="0002274C" w:rsidRDefault="003A3017" w:rsidP="0002274C">
      <w:pPr>
        <w:rPr>
          <w:rFonts w:cstheme="minorHAnsi"/>
          <w:bCs/>
          <w:iCs/>
          <w:szCs w:val="24"/>
        </w:rPr>
      </w:pPr>
      <w:r w:rsidRPr="0002274C">
        <w:rPr>
          <w:rFonts w:cstheme="minorHAnsi"/>
          <w:bCs/>
          <w:iCs/>
          <w:szCs w:val="24"/>
        </w:rPr>
        <w:t>В дългосрочен план, най-силно влияние върху финансовото състояние на държавната пенсионна система в България ще оказват следните фактори:</w:t>
      </w:r>
    </w:p>
    <w:p w14:paraId="196E7238" w14:textId="77777777" w:rsidR="003A3017" w:rsidRPr="0002274C" w:rsidRDefault="003A3017" w:rsidP="005F0B57">
      <w:pPr>
        <w:pStyle w:val="ListParagraph"/>
        <w:numPr>
          <w:ilvl w:val="0"/>
          <w:numId w:val="10"/>
        </w:numPr>
        <w:tabs>
          <w:tab w:val="clear" w:pos="680"/>
        </w:tabs>
        <w:ind w:left="567" w:hanging="283"/>
        <w:rPr>
          <w:rFonts w:cstheme="minorHAnsi"/>
          <w:szCs w:val="24"/>
        </w:rPr>
      </w:pPr>
      <w:r w:rsidRPr="0002274C">
        <w:rPr>
          <w:rFonts w:cstheme="minorHAnsi"/>
          <w:bCs/>
          <w:szCs w:val="24"/>
        </w:rPr>
        <w:t>Демографските промени</w:t>
      </w:r>
      <w:r w:rsidRPr="0002274C">
        <w:rPr>
          <w:rFonts w:cstheme="minorHAnsi"/>
          <w:szCs w:val="24"/>
        </w:rPr>
        <w:t>, представени чрез коефициента на възрастова зависимост;</w:t>
      </w:r>
    </w:p>
    <w:p w14:paraId="3D209DFE" w14:textId="77777777" w:rsidR="003A3017" w:rsidRPr="0002274C" w:rsidRDefault="003A3017" w:rsidP="005F0B57">
      <w:pPr>
        <w:pStyle w:val="ListParagraph"/>
        <w:numPr>
          <w:ilvl w:val="0"/>
          <w:numId w:val="10"/>
        </w:numPr>
        <w:tabs>
          <w:tab w:val="clear" w:pos="680"/>
        </w:tabs>
        <w:ind w:left="567" w:hanging="283"/>
        <w:rPr>
          <w:rFonts w:cstheme="minorHAnsi"/>
          <w:szCs w:val="24"/>
        </w:rPr>
      </w:pPr>
      <w:r w:rsidRPr="0002274C">
        <w:rPr>
          <w:rFonts w:cstheme="minorHAnsi"/>
          <w:bCs/>
          <w:szCs w:val="24"/>
        </w:rPr>
        <w:t>Условията за пенсиониране</w:t>
      </w:r>
      <w:r w:rsidRPr="0002274C">
        <w:rPr>
          <w:rFonts w:cstheme="minorHAnsi"/>
          <w:szCs w:val="24"/>
        </w:rPr>
        <w:t>, представени чрез коефициента на покритие;</w:t>
      </w:r>
    </w:p>
    <w:p w14:paraId="2759F656" w14:textId="4331992D" w:rsidR="003A3017" w:rsidRPr="0002274C" w:rsidRDefault="003A3017" w:rsidP="005F0B57">
      <w:pPr>
        <w:pStyle w:val="ListParagraph"/>
        <w:numPr>
          <w:ilvl w:val="0"/>
          <w:numId w:val="10"/>
        </w:numPr>
        <w:tabs>
          <w:tab w:val="clear" w:pos="680"/>
        </w:tabs>
        <w:ind w:left="567" w:hanging="283"/>
        <w:rPr>
          <w:rFonts w:cstheme="minorHAnsi"/>
          <w:szCs w:val="24"/>
        </w:rPr>
      </w:pPr>
      <w:r w:rsidRPr="0002274C">
        <w:rPr>
          <w:rFonts w:cstheme="minorHAnsi"/>
          <w:bCs/>
          <w:szCs w:val="24"/>
        </w:rPr>
        <w:t>„Щедростта“ на публичната пенсионна схема</w:t>
      </w:r>
      <w:r w:rsidRPr="0002274C">
        <w:rPr>
          <w:rFonts w:cstheme="minorHAnsi"/>
          <w:szCs w:val="24"/>
        </w:rPr>
        <w:t>, представени чрез коефициента на заместване на дохода;</w:t>
      </w:r>
    </w:p>
    <w:p w14:paraId="1D67A0F2" w14:textId="79F49B6C" w:rsidR="003A3017" w:rsidRPr="0002274C" w:rsidRDefault="003A3017" w:rsidP="005F0B57">
      <w:pPr>
        <w:pStyle w:val="ListParagraph"/>
        <w:numPr>
          <w:ilvl w:val="0"/>
          <w:numId w:val="10"/>
        </w:numPr>
        <w:tabs>
          <w:tab w:val="clear" w:pos="680"/>
        </w:tabs>
        <w:ind w:left="567" w:hanging="283"/>
        <w:rPr>
          <w:rFonts w:cstheme="minorHAnsi"/>
          <w:szCs w:val="24"/>
        </w:rPr>
      </w:pPr>
      <w:r w:rsidRPr="0002274C">
        <w:rPr>
          <w:rFonts w:cstheme="minorHAnsi"/>
          <w:bCs/>
          <w:szCs w:val="24"/>
        </w:rPr>
        <w:t>Участието на хората над 65-годишна възраст на пазара на труда</w:t>
      </w:r>
      <w:r w:rsidRPr="0002274C">
        <w:rPr>
          <w:rFonts w:cstheme="minorHAnsi"/>
          <w:szCs w:val="24"/>
        </w:rPr>
        <w:t>.</w:t>
      </w:r>
    </w:p>
    <w:p w14:paraId="38B8A13E" w14:textId="259F2070" w:rsidR="003A3017" w:rsidRPr="0002274C" w:rsidRDefault="003A3017" w:rsidP="0002274C">
      <w:pPr>
        <w:rPr>
          <w:rFonts w:cstheme="minorHAnsi"/>
          <w:bCs/>
          <w:szCs w:val="24"/>
          <w:lang w:val="en-US"/>
        </w:rPr>
      </w:pPr>
      <w:r w:rsidRPr="0002274C">
        <w:rPr>
          <w:rFonts w:cstheme="minorHAnsi"/>
          <w:iCs/>
          <w:szCs w:val="24"/>
        </w:rPr>
        <w:t>Влияние върху динамиката на разходите за пенсии в дългосрочен план ще оказва и</w:t>
      </w:r>
      <w:r w:rsidR="009C0E16" w:rsidRPr="0002274C">
        <w:rPr>
          <w:rFonts w:cstheme="minorHAnsi"/>
          <w:iCs/>
          <w:szCs w:val="24"/>
        </w:rPr>
        <w:t xml:space="preserve"> </w:t>
      </w:r>
      <w:r w:rsidRPr="0002274C">
        <w:rPr>
          <w:rFonts w:cstheme="minorHAnsi"/>
          <w:iCs/>
          <w:szCs w:val="24"/>
        </w:rPr>
        <w:t>предоставената възможност</w:t>
      </w:r>
      <w:r w:rsidR="009C0E16" w:rsidRPr="0002274C">
        <w:rPr>
          <w:rFonts w:cstheme="minorHAnsi"/>
          <w:iCs/>
          <w:szCs w:val="24"/>
        </w:rPr>
        <w:t xml:space="preserve"> </w:t>
      </w:r>
      <w:r w:rsidRPr="0002274C">
        <w:rPr>
          <w:rFonts w:cstheme="minorHAnsi"/>
          <w:iCs/>
          <w:szCs w:val="24"/>
        </w:rPr>
        <w:t>на осигурените лица, родени след 1959</w:t>
      </w:r>
      <w:r w:rsidR="00DF07FD">
        <w:rPr>
          <w:rFonts w:cstheme="minorHAnsi"/>
          <w:iCs/>
          <w:szCs w:val="24"/>
        </w:rPr>
        <w:t> г.</w:t>
      </w:r>
      <w:r w:rsidRPr="0002274C">
        <w:rPr>
          <w:rFonts w:cstheme="minorHAnsi"/>
          <w:iCs/>
          <w:szCs w:val="24"/>
        </w:rPr>
        <w:t>, които до август 2015</w:t>
      </w:r>
      <w:r w:rsidR="00DF07FD">
        <w:rPr>
          <w:rFonts w:cstheme="minorHAnsi"/>
          <w:iCs/>
          <w:szCs w:val="24"/>
        </w:rPr>
        <w:t> г.</w:t>
      </w:r>
      <w:r w:rsidRPr="0002274C">
        <w:rPr>
          <w:rFonts w:cstheme="minorHAnsi"/>
          <w:iCs/>
          <w:szCs w:val="24"/>
        </w:rPr>
        <w:t xml:space="preserve"> се осигуряваха задължително в държавното обществено осигуряване (І стълб) и в универсален пенсионен фонд (ІІ стълб),</w:t>
      </w:r>
      <w:r w:rsidR="009C0E16" w:rsidRPr="0002274C">
        <w:rPr>
          <w:rFonts w:cstheme="minorHAnsi"/>
          <w:iCs/>
          <w:szCs w:val="24"/>
        </w:rPr>
        <w:t xml:space="preserve"> </w:t>
      </w:r>
      <w:r w:rsidRPr="0002274C">
        <w:rPr>
          <w:rFonts w:cstheme="minorHAnsi"/>
          <w:iCs/>
          <w:szCs w:val="24"/>
        </w:rPr>
        <w:t>да променят осигуряването си и да преминат към осигуряване само в първия стълб с увеличена осигурителна вноска</w:t>
      </w:r>
      <w:r w:rsidRPr="0002274C">
        <w:rPr>
          <w:rFonts w:cstheme="minorHAnsi"/>
          <w:iCs/>
          <w:szCs w:val="24"/>
          <w:lang w:val="en-US"/>
        </w:rPr>
        <w:t>.</w:t>
      </w:r>
      <w:r w:rsidRPr="0002274C">
        <w:rPr>
          <w:rFonts w:cstheme="minorHAnsi"/>
          <w:bCs/>
          <w:szCs w:val="24"/>
        </w:rPr>
        <w:t xml:space="preserve"> Поради факта, че наличните към момента данни не позволяват да се направи конкретно допускане за процента на лицата, родени след 1959</w:t>
      </w:r>
      <w:r w:rsidR="00DF07FD">
        <w:rPr>
          <w:rFonts w:cstheme="minorHAnsi"/>
          <w:bCs/>
          <w:szCs w:val="24"/>
        </w:rPr>
        <w:t> г.</w:t>
      </w:r>
      <w:r w:rsidRPr="0002274C">
        <w:rPr>
          <w:rFonts w:cstheme="minorHAnsi"/>
          <w:bCs/>
          <w:szCs w:val="24"/>
        </w:rPr>
        <w:t>, които в дългосрочен план биха преминали към осигуряване само в ДОО,</w:t>
      </w:r>
      <w:r w:rsidR="009C0E16" w:rsidRPr="0002274C">
        <w:rPr>
          <w:rFonts w:cstheme="minorHAnsi"/>
          <w:bCs/>
          <w:szCs w:val="24"/>
        </w:rPr>
        <w:t xml:space="preserve"> </w:t>
      </w:r>
      <w:r w:rsidRPr="0002274C">
        <w:rPr>
          <w:rFonts w:cstheme="minorHAnsi"/>
          <w:bCs/>
          <w:szCs w:val="24"/>
        </w:rPr>
        <w:t>прогнозата е разработена при предположението, че делът на осигурените лица, родени след 31 декември 1959</w:t>
      </w:r>
      <w:r w:rsidR="00DF07FD">
        <w:rPr>
          <w:rFonts w:cstheme="minorHAnsi"/>
          <w:bCs/>
          <w:szCs w:val="24"/>
        </w:rPr>
        <w:t> г.</w:t>
      </w:r>
      <w:r w:rsidRPr="0002274C">
        <w:rPr>
          <w:rFonts w:cstheme="minorHAnsi"/>
          <w:bCs/>
          <w:szCs w:val="24"/>
        </w:rPr>
        <w:t>, които ще продължават да се осигуряват и в държавното обществено осигуряване, и в универсални пенсионни фондове, остава без промяна спрямо 2021</w:t>
      </w:r>
      <w:r w:rsidR="00DF07FD">
        <w:rPr>
          <w:rFonts w:cstheme="minorHAnsi"/>
          <w:bCs/>
          <w:szCs w:val="24"/>
        </w:rPr>
        <w:t> г.</w:t>
      </w:r>
    </w:p>
    <w:p w14:paraId="1E0E8FD5" w14:textId="77777777" w:rsidR="003A3017" w:rsidRPr="0002274C" w:rsidRDefault="003A3017" w:rsidP="0002274C">
      <w:pPr>
        <w:rPr>
          <w:rFonts w:cstheme="minorHAnsi"/>
          <w:iCs/>
          <w:szCs w:val="24"/>
        </w:rPr>
      </w:pPr>
      <w:r w:rsidRPr="0002274C">
        <w:rPr>
          <w:rFonts w:cstheme="minorHAnsi"/>
          <w:iCs/>
          <w:szCs w:val="24"/>
        </w:rPr>
        <w:t>На базата на посоченото по-горе може да бъде направено следното обобщение:</w:t>
      </w:r>
    </w:p>
    <w:p w14:paraId="25791D7B" w14:textId="77777777" w:rsidR="003A3017" w:rsidRPr="0002274C" w:rsidRDefault="003A3017" w:rsidP="005F0B57">
      <w:pPr>
        <w:pStyle w:val="ListParagraph"/>
        <w:numPr>
          <w:ilvl w:val="0"/>
          <w:numId w:val="10"/>
        </w:numPr>
        <w:tabs>
          <w:tab w:val="clear" w:pos="680"/>
        </w:tabs>
        <w:ind w:left="567" w:hanging="283"/>
        <w:rPr>
          <w:rFonts w:cstheme="minorHAnsi"/>
          <w:bCs/>
          <w:szCs w:val="24"/>
        </w:rPr>
      </w:pPr>
      <w:r w:rsidRPr="0002274C">
        <w:rPr>
          <w:rFonts w:cstheme="minorHAnsi"/>
          <w:szCs w:val="24"/>
        </w:rPr>
        <w:t xml:space="preserve">В дългосрочен план </w:t>
      </w:r>
      <w:r w:rsidRPr="001B4CE0">
        <w:rPr>
          <w:rFonts w:cstheme="minorHAnsi"/>
          <w:bCs/>
          <w:szCs w:val="24"/>
        </w:rPr>
        <w:t>съотношението</w:t>
      </w:r>
      <w:r w:rsidRPr="0002274C">
        <w:rPr>
          <w:rFonts w:cstheme="minorHAnsi"/>
          <w:szCs w:val="24"/>
        </w:rPr>
        <w:t xml:space="preserve"> между броя на пенсионерите и броя на осигурените лица</w:t>
      </w:r>
      <w:r w:rsidRPr="0002274C">
        <w:rPr>
          <w:rFonts w:cstheme="minorHAnsi"/>
          <w:bCs/>
          <w:szCs w:val="24"/>
        </w:rPr>
        <w:t xml:space="preserve"> ще нараства.</w:t>
      </w:r>
    </w:p>
    <w:p w14:paraId="104D9A48" w14:textId="4D72A0CD" w:rsidR="003A3017" w:rsidRPr="0002274C" w:rsidRDefault="003A3017" w:rsidP="0002274C">
      <w:pPr>
        <w:rPr>
          <w:rFonts w:cstheme="minorHAnsi"/>
          <w:bCs/>
          <w:szCs w:val="24"/>
        </w:rPr>
      </w:pPr>
      <w:r w:rsidRPr="0002274C">
        <w:rPr>
          <w:rFonts w:cstheme="minorHAnsi"/>
          <w:bCs/>
          <w:szCs w:val="24"/>
        </w:rPr>
        <w:t>Пандемията от COVID-19 и свързаните с нея негативни процеси в развитието на пазара на труда се отразиха особено отчетливо върху динамиката на броя на осигурените лица. След близо 10-годишен период на ежегоден ръст, през 2020</w:t>
      </w:r>
      <w:r w:rsidR="00DF07FD">
        <w:rPr>
          <w:rFonts w:cstheme="minorHAnsi"/>
          <w:bCs/>
          <w:szCs w:val="24"/>
        </w:rPr>
        <w:t> г.</w:t>
      </w:r>
      <w:r w:rsidRPr="0002274C">
        <w:rPr>
          <w:rFonts w:cstheme="minorHAnsi"/>
          <w:bCs/>
          <w:szCs w:val="24"/>
        </w:rPr>
        <w:t xml:space="preserve"> средният брой на лицата, за които са платени осигурителни </w:t>
      </w:r>
      <w:r w:rsidR="0028482C" w:rsidRPr="0002274C">
        <w:rPr>
          <w:rFonts w:cstheme="minorHAnsi"/>
          <w:bCs/>
          <w:szCs w:val="24"/>
        </w:rPr>
        <w:t>вноски, намаля с повече от 100</w:t>
      </w:r>
      <w:r w:rsidRPr="0002274C">
        <w:rPr>
          <w:rFonts w:cstheme="minorHAnsi"/>
          <w:bCs/>
          <w:szCs w:val="24"/>
        </w:rPr>
        <w:t xml:space="preserve"> хиляди. През 2021</w:t>
      </w:r>
      <w:r w:rsidR="00DF07FD">
        <w:rPr>
          <w:rFonts w:cstheme="minorHAnsi"/>
          <w:bCs/>
          <w:szCs w:val="24"/>
        </w:rPr>
        <w:t> г.</w:t>
      </w:r>
      <w:r w:rsidRPr="0002274C">
        <w:rPr>
          <w:rFonts w:cstheme="minorHAnsi"/>
          <w:bCs/>
          <w:szCs w:val="24"/>
        </w:rPr>
        <w:t>, в резултат от възстановяването на икономиката, броят на осигурените лица достигна 2</w:t>
      </w:r>
      <w:r w:rsidR="0028482C" w:rsidRPr="0002274C">
        <w:rPr>
          <w:rFonts w:cstheme="minorHAnsi"/>
          <w:bCs/>
          <w:szCs w:val="24"/>
        </w:rPr>
        <w:t> </w:t>
      </w:r>
      <w:r w:rsidRPr="0002274C">
        <w:rPr>
          <w:rFonts w:cstheme="minorHAnsi"/>
          <w:bCs/>
          <w:szCs w:val="24"/>
        </w:rPr>
        <w:t>747</w:t>
      </w:r>
      <w:r w:rsidR="0028482C" w:rsidRPr="0002274C">
        <w:rPr>
          <w:rFonts w:cstheme="minorHAnsi"/>
          <w:bCs/>
          <w:szCs w:val="24"/>
        </w:rPr>
        <w:t>.</w:t>
      </w:r>
      <w:r w:rsidRPr="0002274C">
        <w:rPr>
          <w:rFonts w:cstheme="minorHAnsi"/>
          <w:bCs/>
          <w:szCs w:val="24"/>
        </w:rPr>
        <w:t>5 х</w:t>
      </w:r>
      <w:r w:rsidR="0028482C" w:rsidRPr="0002274C">
        <w:rPr>
          <w:rFonts w:cstheme="minorHAnsi"/>
          <w:bCs/>
          <w:szCs w:val="24"/>
        </w:rPr>
        <w:t>иляди, но все още остава над 46.5</w:t>
      </w:r>
      <w:r w:rsidRPr="0002274C">
        <w:rPr>
          <w:rFonts w:cstheme="minorHAnsi"/>
          <w:bCs/>
          <w:szCs w:val="24"/>
        </w:rPr>
        <w:t xml:space="preserve"> хиляди под нивата си отпреди пандемията. В </w:t>
      </w:r>
      <w:r w:rsidRPr="0002274C">
        <w:rPr>
          <w:rFonts w:cstheme="minorHAnsi"/>
          <w:bCs/>
          <w:szCs w:val="24"/>
        </w:rPr>
        <w:lastRenderedPageBreak/>
        <w:t>дългосрочен план броят на осигурените лица следва тенденцията в броя на заетите, като до 2026</w:t>
      </w:r>
      <w:r w:rsidR="00DF07FD">
        <w:rPr>
          <w:rFonts w:cstheme="minorHAnsi"/>
          <w:bCs/>
          <w:szCs w:val="24"/>
        </w:rPr>
        <w:t> г.</w:t>
      </w:r>
      <w:r w:rsidRPr="0002274C">
        <w:rPr>
          <w:rFonts w:cstheme="minorHAnsi"/>
          <w:bCs/>
          <w:szCs w:val="24"/>
        </w:rPr>
        <w:t xml:space="preserve"> се очаква увеличение, а след това до 2070</w:t>
      </w:r>
      <w:r w:rsidR="00DF07FD">
        <w:rPr>
          <w:rFonts w:cstheme="minorHAnsi"/>
          <w:bCs/>
          <w:szCs w:val="24"/>
        </w:rPr>
        <w:t> г.</w:t>
      </w:r>
      <w:r w:rsidRPr="0002274C">
        <w:rPr>
          <w:rFonts w:cstheme="minorHAnsi"/>
          <w:bCs/>
          <w:szCs w:val="24"/>
        </w:rPr>
        <w:t xml:space="preserve"> тенденцията е намаляваща, което е резултат от намалението на населението в трудоспособна възраст, водещо от своя страна до свиване на работната сила и намаление в броя на заетите.</w:t>
      </w:r>
    </w:p>
    <w:p w14:paraId="0C247C00" w14:textId="193A372A" w:rsidR="003A3017" w:rsidRPr="0002274C" w:rsidRDefault="003A3017" w:rsidP="0002274C">
      <w:pPr>
        <w:rPr>
          <w:rFonts w:cstheme="minorHAnsi"/>
          <w:bCs/>
          <w:szCs w:val="24"/>
        </w:rPr>
      </w:pPr>
      <w:r w:rsidRPr="0002274C">
        <w:rPr>
          <w:rFonts w:cstheme="minorHAnsi"/>
          <w:bCs/>
          <w:szCs w:val="24"/>
        </w:rPr>
        <w:t xml:space="preserve">Общият брой на пенсионерите с пенсии за трудова дейност, изплащани от ДОО, в дългосрочен план ще намалява. Този резултат е следствие от повишаването на законовите изисквания за достъп до пенсия и от негативните демографски тенденции в страната. Относителният дял на пенсионерите от общото население на страната обаче, ще се увеличи от около </w:t>
      </w:r>
      <w:r w:rsidRPr="0002274C">
        <w:rPr>
          <w:rFonts w:cstheme="minorHAnsi"/>
          <w:bCs/>
          <w:szCs w:val="24"/>
          <w:lang w:val="en-US"/>
        </w:rPr>
        <w:t>29</w:t>
      </w:r>
      <w:r w:rsidRPr="0002274C">
        <w:rPr>
          <w:rFonts w:cstheme="minorHAnsi"/>
          <w:bCs/>
          <w:szCs w:val="24"/>
        </w:rPr>
        <w:t>% през 20</w:t>
      </w:r>
      <w:r w:rsidRPr="0002274C">
        <w:rPr>
          <w:rFonts w:cstheme="minorHAnsi"/>
          <w:bCs/>
          <w:szCs w:val="24"/>
          <w:lang w:val="en-US"/>
        </w:rPr>
        <w:t>21</w:t>
      </w:r>
      <w:r w:rsidR="00DF07FD">
        <w:rPr>
          <w:rFonts w:cstheme="minorHAnsi"/>
          <w:bCs/>
          <w:szCs w:val="24"/>
        </w:rPr>
        <w:t> г.</w:t>
      </w:r>
      <w:r w:rsidRPr="0002274C">
        <w:rPr>
          <w:rFonts w:cstheme="minorHAnsi"/>
          <w:bCs/>
          <w:szCs w:val="24"/>
        </w:rPr>
        <w:t xml:space="preserve"> до 32% през 2070</w:t>
      </w:r>
      <w:r w:rsidR="00DF07FD">
        <w:rPr>
          <w:rFonts w:cstheme="minorHAnsi"/>
          <w:bCs/>
          <w:szCs w:val="24"/>
        </w:rPr>
        <w:t> г.</w:t>
      </w:r>
    </w:p>
    <w:p w14:paraId="6EB5B62F" w14:textId="77777777" w:rsidR="003A3017" w:rsidRPr="0002274C" w:rsidRDefault="003A3017" w:rsidP="0002274C">
      <w:pPr>
        <w:rPr>
          <w:rFonts w:cstheme="minorHAnsi"/>
          <w:bCs/>
          <w:szCs w:val="24"/>
        </w:rPr>
      </w:pPr>
      <w:r w:rsidRPr="0002274C">
        <w:rPr>
          <w:rFonts w:cstheme="minorHAnsi"/>
          <w:bCs/>
          <w:szCs w:val="24"/>
        </w:rPr>
        <w:t>Съотношението между броя на пенсионерите и броя на осигурените лица, наричано още (системен) коефициент на зависимост, е ключов индикатор за финансовото състояние на пенсионните схеми от разходопокривен тип. Застаряването на населението и нарастването на средната продължителност на живота от една страна, и намаляването на населението в трудоспособна възраст от друга, оказват съществено влияние върху държавната осигурителна система в дългосрочен план.</w:t>
      </w:r>
    </w:p>
    <w:p w14:paraId="4C1B0D07" w14:textId="0AC07DF9" w:rsidR="003A3017" w:rsidRPr="0002274C" w:rsidRDefault="003A3017" w:rsidP="0002274C">
      <w:pPr>
        <w:rPr>
          <w:rFonts w:cstheme="minorHAnsi"/>
          <w:bCs/>
          <w:szCs w:val="24"/>
        </w:rPr>
      </w:pPr>
      <w:r w:rsidRPr="0002274C">
        <w:rPr>
          <w:rFonts w:cstheme="minorHAnsi"/>
          <w:bCs/>
          <w:szCs w:val="24"/>
        </w:rPr>
        <w:t>Прогнозите показват, че негативното влияние на този фактор ще започне да се усилва след 2035</w:t>
      </w:r>
      <w:r w:rsidR="00DF07FD">
        <w:rPr>
          <w:rFonts w:cstheme="minorHAnsi"/>
          <w:bCs/>
          <w:szCs w:val="24"/>
        </w:rPr>
        <w:t> г.</w:t>
      </w:r>
      <w:r w:rsidRPr="0002274C">
        <w:rPr>
          <w:rFonts w:cstheme="minorHAnsi"/>
          <w:bCs/>
          <w:szCs w:val="24"/>
        </w:rPr>
        <w:t>, достигайки най-голям интензитет в периода 2045-2060</w:t>
      </w:r>
      <w:r w:rsidR="00DF07FD">
        <w:rPr>
          <w:rFonts w:cstheme="minorHAnsi"/>
          <w:bCs/>
          <w:szCs w:val="24"/>
        </w:rPr>
        <w:t> г.</w:t>
      </w:r>
      <w:r w:rsidRPr="0002274C">
        <w:rPr>
          <w:rFonts w:cstheme="minorHAnsi"/>
          <w:bCs/>
          <w:szCs w:val="24"/>
        </w:rPr>
        <w:t>, когато в рамките на петнадесет години стойността на съотношението между броя на пенсионерите и броя на осигурените лица ще нарасне с</w:t>
      </w:r>
      <w:r w:rsidR="009C0E16" w:rsidRPr="0002274C">
        <w:rPr>
          <w:rFonts w:cstheme="minorHAnsi"/>
          <w:bCs/>
          <w:szCs w:val="24"/>
        </w:rPr>
        <w:t xml:space="preserve"> </w:t>
      </w:r>
      <w:r w:rsidRPr="0002274C">
        <w:rPr>
          <w:rFonts w:cstheme="minorHAnsi"/>
          <w:bCs/>
          <w:szCs w:val="24"/>
        </w:rPr>
        <w:t>9</w:t>
      </w:r>
      <w:r w:rsidR="0028482C" w:rsidRPr="0002274C">
        <w:rPr>
          <w:rFonts w:cstheme="minorHAnsi"/>
          <w:bCs/>
          <w:szCs w:val="24"/>
        </w:rPr>
        <w:t>.</w:t>
      </w:r>
      <w:r w:rsidRPr="0002274C">
        <w:rPr>
          <w:rFonts w:cstheme="minorHAnsi"/>
          <w:bCs/>
          <w:szCs w:val="24"/>
        </w:rPr>
        <w:t>3 пункта от 67</w:t>
      </w:r>
      <w:r w:rsidR="0028482C" w:rsidRPr="0002274C">
        <w:rPr>
          <w:rFonts w:cstheme="minorHAnsi"/>
          <w:bCs/>
          <w:szCs w:val="24"/>
        </w:rPr>
        <w:t>.</w:t>
      </w:r>
      <w:r w:rsidRPr="0002274C">
        <w:rPr>
          <w:rFonts w:cstheme="minorHAnsi"/>
          <w:bCs/>
          <w:szCs w:val="24"/>
        </w:rPr>
        <w:t>7% до 77%.</w:t>
      </w:r>
    </w:p>
    <w:p w14:paraId="65A43953" w14:textId="20DA5AA0" w:rsidR="003A3017" w:rsidRPr="0002274C" w:rsidRDefault="003A3017" w:rsidP="005F0B57">
      <w:pPr>
        <w:pStyle w:val="ListParagraph"/>
        <w:numPr>
          <w:ilvl w:val="0"/>
          <w:numId w:val="10"/>
        </w:numPr>
        <w:tabs>
          <w:tab w:val="clear" w:pos="680"/>
        </w:tabs>
        <w:ind w:left="567" w:hanging="283"/>
        <w:rPr>
          <w:rFonts w:cstheme="minorHAnsi"/>
          <w:szCs w:val="24"/>
        </w:rPr>
      </w:pPr>
      <w:r w:rsidRPr="0002274C">
        <w:rPr>
          <w:rFonts w:cstheme="minorHAnsi"/>
          <w:szCs w:val="24"/>
        </w:rPr>
        <w:t xml:space="preserve">Коефициентът на </w:t>
      </w:r>
      <w:r w:rsidRPr="001B4CE0">
        <w:rPr>
          <w:rFonts w:cstheme="minorHAnsi"/>
          <w:bCs/>
          <w:szCs w:val="24"/>
        </w:rPr>
        <w:t>заместване</w:t>
      </w:r>
      <w:r w:rsidRPr="0002274C">
        <w:rPr>
          <w:rFonts w:cstheme="minorHAnsi"/>
          <w:szCs w:val="24"/>
        </w:rPr>
        <w:t xml:space="preserve"> на дохода в дългосрочен план ще намалява.</w:t>
      </w:r>
    </w:p>
    <w:p w14:paraId="68380908" w14:textId="79D2A4A2" w:rsidR="003A3017" w:rsidRPr="0002274C" w:rsidRDefault="003A3017" w:rsidP="0002274C">
      <w:pPr>
        <w:rPr>
          <w:rFonts w:cstheme="minorHAnsi"/>
          <w:bCs/>
          <w:szCs w:val="24"/>
        </w:rPr>
      </w:pPr>
      <w:r w:rsidRPr="0002274C">
        <w:rPr>
          <w:rFonts w:cstheme="minorHAnsi"/>
          <w:bCs/>
          <w:szCs w:val="24"/>
        </w:rPr>
        <w:t>В следващия тригодишен период, в резултат от приетите мерки в сила от 25 декември 2021</w:t>
      </w:r>
      <w:r w:rsidR="00DF07FD">
        <w:rPr>
          <w:rFonts w:cstheme="minorHAnsi"/>
          <w:bCs/>
          <w:szCs w:val="24"/>
        </w:rPr>
        <w:t> г.</w:t>
      </w:r>
      <w:r w:rsidRPr="0002274C">
        <w:rPr>
          <w:rFonts w:cstheme="minorHAnsi"/>
          <w:bCs/>
          <w:szCs w:val="24"/>
        </w:rPr>
        <w:t xml:space="preserve"> размерите на пенсиите ще нараснат значително.</w:t>
      </w:r>
      <w:r w:rsidR="009C0E16" w:rsidRPr="0002274C">
        <w:rPr>
          <w:rFonts w:cstheme="minorHAnsi"/>
          <w:bCs/>
          <w:szCs w:val="24"/>
        </w:rPr>
        <w:t xml:space="preserve"> </w:t>
      </w:r>
      <w:r w:rsidRPr="0002274C">
        <w:rPr>
          <w:rFonts w:cstheme="minorHAnsi"/>
          <w:bCs/>
          <w:szCs w:val="24"/>
        </w:rPr>
        <w:t>През 2022</w:t>
      </w:r>
      <w:r w:rsidR="00DF07FD">
        <w:rPr>
          <w:rFonts w:cstheme="minorHAnsi"/>
          <w:bCs/>
          <w:szCs w:val="24"/>
        </w:rPr>
        <w:t> г.</w:t>
      </w:r>
      <w:r w:rsidRPr="0002274C">
        <w:rPr>
          <w:rFonts w:cstheme="minorHAnsi"/>
          <w:bCs/>
          <w:szCs w:val="24"/>
        </w:rPr>
        <w:t xml:space="preserve"> коефициентът на заместване на дохода</w:t>
      </w:r>
      <w:r w:rsidRPr="0002274C">
        <w:rPr>
          <w:rStyle w:val="FootnoteReference"/>
          <w:rFonts w:cstheme="minorHAnsi"/>
          <w:bCs/>
          <w:szCs w:val="24"/>
        </w:rPr>
        <w:footnoteReference w:id="31"/>
      </w:r>
      <w:r w:rsidRPr="0002274C">
        <w:rPr>
          <w:rFonts w:cstheme="minorHAnsi"/>
          <w:bCs/>
          <w:szCs w:val="24"/>
        </w:rPr>
        <w:t xml:space="preserve"> ще достигне 46</w:t>
      </w:r>
      <w:r w:rsidR="0028482C" w:rsidRPr="0002274C">
        <w:rPr>
          <w:rFonts w:cstheme="minorHAnsi"/>
          <w:bCs/>
          <w:szCs w:val="24"/>
        </w:rPr>
        <w:t>.</w:t>
      </w:r>
      <w:r w:rsidRPr="0002274C">
        <w:rPr>
          <w:rFonts w:cstheme="minorHAnsi"/>
          <w:bCs/>
          <w:szCs w:val="24"/>
        </w:rPr>
        <w:t>3% при отчетена стойност от 40</w:t>
      </w:r>
      <w:r w:rsidR="0028482C" w:rsidRPr="0002274C">
        <w:rPr>
          <w:rFonts w:cstheme="minorHAnsi"/>
          <w:bCs/>
          <w:szCs w:val="24"/>
        </w:rPr>
        <w:t>.</w:t>
      </w:r>
      <w:r w:rsidRPr="0002274C">
        <w:rPr>
          <w:rFonts w:cstheme="minorHAnsi"/>
          <w:bCs/>
          <w:szCs w:val="24"/>
        </w:rPr>
        <w:t>7% за 2021</w:t>
      </w:r>
      <w:r w:rsidR="00DF07FD">
        <w:rPr>
          <w:rFonts w:cstheme="minorHAnsi"/>
          <w:bCs/>
          <w:szCs w:val="24"/>
        </w:rPr>
        <w:t> г.</w:t>
      </w:r>
      <w:r w:rsidRPr="0002274C">
        <w:rPr>
          <w:rFonts w:cstheme="minorHAnsi"/>
          <w:bCs/>
          <w:szCs w:val="24"/>
        </w:rPr>
        <w:t xml:space="preserve"> Върху стойността на този показател, влияние оказва и изплащането на допълнителни суми на всеки пенсионер през 2021</w:t>
      </w:r>
      <w:r w:rsidR="00DF07FD">
        <w:rPr>
          <w:rFonts w:cstheme="minorHAnsi"/>
          <w:bCs/>
          <w:szCs w:val="24"/>
        </w:rPr>
        <w:t> г.</w:t>
      </w:r>
      <w:r w:rsidRPr="0002274C">
        <w:rPr>
          <w:rFonts w:cstheme="minorHAnsi"/>
          <w:bCs/>
          <w:szCs w:val="24"/>
        </w:rPr>
        <w:t xml:space="preserve"> и 2022</w:t>
      </w:r>
      <w:r w:rsidR="00DF07FD">
        <w:rPr>
          <w:rFonts w:cstheme="minorHAnsi"/>
          <w:bCs/>
          <w:szCs w:val="24"/>
        </w:rPr>
        <w:t> г.</w:t>
      </w:r>
      <w:r w:rsidRPr="0002274C">
        <w:rPr>
          <w:rFonts w:cstheme="minorHAnsi"/>
          <w:bCs/>
          <w:szCs w:val="24"/>
        </w:rPr>
        <w:t xml:space="preserve"> С включени допълнителни суми към пенсиите, коефициентът на заместване за 2021</w:t>
      </w:r>
      <w:r w:rsidR="00DF07FD">
        <w:rPr>
          <w:rFonts w:cstheme="minorHAnsi"/>
          <w:bCs/>
          <w:szCs w:val="24"/>
        </w:rPr>
        <w:t> г.</w:t>
      </w:r>
      <w:r w:rsidRPr="0002274C">
        <w:rPr>
          <w:rFonts w:cstheme="minorHAnsi"/>
          <w:bCs/>
          <w:szCs w:val="24"/>
        </w:rPr>
        <w:t xml:space="preserve"> е 46</w:t>
      </w:r>
      <w:r w:rsidR="0028482C" w:rsidRPr="0002274C">
        <w:rPr>
          <w:rFonts w:cstheme="minorHAnsi"/>
          <w:bCs/>
          <w:szCs w:val="24"/>
        </w:rPr>
        <w:t>.</w:t>
      </w:r>
      <w:r w:rsidRPr="0002274C">
        <w:rPr>
          <w:rFonts w:cstheme="minorHAnsi"/>
          <w:bCs/>
          <w:szCs w:val="24"/>
        </w:rPr>
        <w:t>6%, а за 2022</w:t>
      </w:r>
      <w:r w:rsidR="00DF07FD">
        <w:rPr>
          <w:rFonts w:cstheme="minorHAnsi"/>
          <w:bCs/>
          <w:szCs w:val="24"/>
        </w:rPr>
        <w:t> г.</w:t>
      </w:r>
      <w:r w:rsidRPr="0002274C">
        <w:rPr>
          <w:rFonts w:cstheme="minorHAnsi"/>
          <w:bCs/>
          <w:szCs w:val="24"/>
        </w:rPr>
        <w:t xml:space="preserve"> 49%.</w:t>
      </w:r>
    </w:p>
    <w:p w14:paraId="172C53CF" w14:textId="6A5D468D" w:rsidR="005C4ADE" w:rsidRPr="0002274C" w:rsidRDefault="003A3017" w:rsidP="0002274C">
      <w:pPr>
        <w:rPr>
          <w:rFonts w:asciiTheme="minorHAnsi" w:hAnsiTheme="minorHAnsi" w:cstheme="minorHAnsi"/>
          <w:szCs w:val="24"/>
        </w:rPr>
      </w:pPr>
      <w:r w:rsidRPr="0002274C">
        <w:rPr>
          <w:rFonts w:cstheme="minorHAnsi"/>
          <w:bCs/>
          <w:szCs w:val="24"/>
        </w:rPr>
        <w:t>В дългосрочен план коефициентът на заместване на дохода п</w:t>
      </w:r>
      <w:r w:rsidR="0028482C" w:rsidRPr="0002274C">
        <w:rPr>
          <w:rFonts w:cstheme="minorHAnsi"/>
          <w:bCs/>
          <w:szCs w:val="24"/>
        </w:rPr>
        <w:t>лавно ще намалява, до около 36</w:t>
      </w:r>
      <w:r w:rsidRPr="0002274C">
        <w:rPr>
          <w:rFonts w:cstheme="minorHAnsi"/>
          <w:bCs/>
          <w:szCs w:val="24"/>
        </w:rPr>
        <w:t>% в 2070</w:t>
      </w:r>
      <w:r w:rsidR="00DF07FD">
        <w:rPr>
          <w:rFonts w:cstheme="minorHAnsi"/>
          <w:bCs/>
          <w:szCs w:val="24"/>
        </w:rPr>
        <w:t> г.</w:t>
      </w:r>
      <w:r w:rsidRPr="0002274C">
        <w:rPr>
          <w:rFonts w:cstheme="minorHAnsi"/>
          <w:bCs/>
          <w:szCs w:val="24"/>
        </w:rPr>
        <w:t xml:space="preserve"> Върху този процес най-съществено влияние оказва законодателното изискване за редукция на индивидуалния коефициент на пенсионерите, на които ще бъде отпусната пенсия и от ДОО, и от универсален пенсионен фонд. Коефициентът на заместване ще бъде по-нисък за пенсионерите, които се осигуряват и в двата стълба. Техните пенсии ще бъдат редуцирани, според процента на</w:t>
      </w:r>
      <w:r w:rsidR="009C0E16" w:rsidRPr="0002274C">
        <w:rPr>
          <w:rFonts w:cstheme="minorHAnsi"/>
          <w:bCs/>
          <w:szCs w:val="24"/>
        </w:rPr>
        <w:t xml:space="preserve"> </w:t>
      </w:r>
      <w:r w:rsidRPr="0002274C">
        <w:rPr>
          <w:rFonts w:cstheme="minorHAnsi"/>
          <w:bCs/>
          <w:szCs w:val="24"/>
        </w:rPr>
        <w:t>осигурителната вноска, която е била прехвърляна към втория стълб, при отчитане на броя на месеците, през които лицето е било осигурявано в универсален пенсионен фонд спрямо общата продължителност на осигурителния му стаж, но те ще получат втора пенсия от универсален пенсионен фонд. Намалението в размера на пенсиите, отпуснати на жените, родени в началото на 1960</w:t>
      </w:r>
      <w:r w:rsidR="00DF07FD">
        <w:rPr>
          <w:rFonts w:cstheme="minorHAnsi"/>
          <w:bCs/>
          <w:szCs w:val="24"/>
        </w:rPr>
        <w:t> г.</w:t>
      </w:r>
      <w:r w:rsidRPr="0002274C">
        <w:rPr>
          <w:rFonts w:cstheme="minorHAnsi"/>
          <w:bCs/>
          <w:szCs w:val="24"/>
        </w:rPr>
        <w:t>, които придобиват право на пенсия за осигурителен стаж и въ</w:t>
      </w:r>
      <w:r w:rsidR="0028482C" w:rsidRPr="0002274C">
        <w:rPr>
          <w:rFonts w:cstheme="minorHAnsi"/>
          <w:bCs/>
          <w:szCs w:val="24"/>
        </w:rPr>
        <w:t>зраст през 2022</w:t>
      </w:r>
      <w:r w:rsidR="00DF07FD">
        <w:rPr>
          <w:rFonts w:cstheme="minorHAnsi"/>
          <w:bCs/>
          <w:szCs w:val="24"/>
        </w:rPr>
        <w:t> г.</w:t>
      </w:r>
      <w:r w:rsidR="0028482C" w:rsidRPr="0002274C">
        <w:rPr>
          <w:rFonts w:cstheme="minorHAnsi"/>
          <w:bCs/>
          <w:szCs w:val="24"/>
        </w:rPr>
        <w:t>, е около 10</w:t>
      </w:r>
      <w:r w:rsidRPr="0002274C">
        <w:rPr>
          <w:rFonts w:cstheme="minorHAnsi"/>
          <w:bCs/>
          <w:szCs w:val="24"/>
        </w:rPr>
        <w:t xml:space="preserve"> на сто, като този процент ще нараства достигайки до около 25 на сто за пенсиите, отпуснати след 2050</w:t>
      </w:r>
      <w:r w:rsidR="00DF07FD">
        <w:rPr>
          <w:rFonts w:cstheme="minorHAnsi"/>
          <w:bCs/>
          <w:szCs w:val="24"/>
        </w:rPr>
        <w:t> г.</w:t>
      </w:r>
      <w:r w:rsidRPr="0002274C">
        <w:rPr>
          <w:rFonts w:cstheme="minorHAnsi"/>
          <w:bCs/>
          <w:szCs w:val="24"/>
        </w:rPr>
        <w:t xml:space="preserve"> Това е така, защото целият осигурителен стаж на лицата, които ще се пенсионират тогава, ще обхваща периоди след 2001</w:t>
      </w:r>
      <w:r w:rsidR="00DF07FD">
        <w:rPr>
          <w:rFonts w:cstheme="minorHAnsi"/>
          <w:bCs/>
          <w:szCs w:val="24"/>
        </w:rPr>
        <w:t> г.</w:t>
      </w:r>
      <w:r w:rsidRPr="0002274C">
        <w:rPr>
          <w:rFonts w:cstheme="minorHAnsi"/>
          <w:bCs/>
          <w:szCs w:val="24"/>
        </w:rPr>
        <w:t xml:space="preserve"> с осигуряване в универсален пенсионен фонд.</w:t>
      </w:r>
      <w:r w:rsidR="009C0E16" w:rsidRPr="0002274C">
        <w:rPr>
          <w:rFonts w:cstheme="minorHAnsi"/>
          <w:bCs/>
          <w:szCs w:val="24"/>
        </w:rPr>
        <w:t xml:space="preserve"> </w:t>
      </w:r>
      <w:r w:rsidRPr="0002274C">
        <w:rPr>
          <w:rFonts w:cstheme="minorHAnsi"/>
          <w:bCs/>
          <w:szCs w:val="24"/>
        </w:rPr>
        <w:t>Важно е да се отбележи, че стойността на намалението е различна за всеки отделен пенсионер и зависи от конкретния период, който обхваща осигурителния му стаж.</w:t>
      </w:r>
    </w:p>
    <w:p w14:paraId="1A97F675" w14:textId="77777777" w:rsidR="00354366" w:rsidRPr="00E360FF" w:rsidRDefault="00354366" w:rsidP="00E360FF">
      <w:pPr>
        <w:pStyle w:val="Heading3"/>
      </w:pPr>
      <w:r w:rsidRPr="00E360FF">
        <w:lastRenderedPageBreak/>
        <w:t>Здравеопазване</w:t>
      </w:r>
    </w:p>
    <w:p w14:paraId="5EA7CCD0" w14:textId="79DD484D" w:rsidR="00F61E7F" w:rsidRPr="005B2032" w:rsidRDefault="00F61E7F" w:rsidP="0002274C">
      <w:r w:rsidRPr="005B2032">
        <w:t>В дългосрочен план се очаква делът на общите разходи за здравеопазване</w:t>
      </w:r>
      <w:r w:rsidR="0028482C">
        <w:t xml:space="preserve"> </w:t>
      </w:r>
      <w:r w:rsidRPr="005B2032">
        <w:t>да достигне</w:t>
      </w:r>
      <w:r w:rsidR="00BD2C3E">
        <w:t xml:space="preserve"> </w:t>
      </w:r>
      <w:r w:rsidRPr="005B2032">
        <w:t>5.1% от БВП през 2050</w:t>
      </w:r>
      <w:r w:rsidR="00DF07FD">
        <w:t> г.</w:t>
      </w:r>
      <w:r w:rsidRPr="005B2032">
        <w:t xml:space="preserve"> и след това леко да намалее до 4.9% през 2070</w:t>
      </w:r>
      <w:r w:rsidR="00DF07FD">
        <w:t> г.</w:t>
      </w:r>
      <w:r w:rsidRPr="005B2032">
        <w:t xml:space="preserve"> Подобна динамика се очаква и в Доклада по застаряване на населението 2021</w:t>
      </w:r>
      <w:r w:rsidR="00DF07FD">
        <w:t> г.</w:t>
      </w:r>
      <w:r w:rsidRPr="005B2032">
        <w:t xml:space="preserve"> Прогнозата за дългосрочните разходи за здравеопазване е базирана единствено на прогнозата на населението. Подобен сценарий е силно ограничителен. Той не предполага промяна в политиката на публичните разходи за здравеопазване в контекста на разширяване на финансираните от бюджета здравни услуги. Също така, според доста иконометрични изследвания, техническият прогрес и други недемографски фактори са сред основните причини за нарастване на разходите за здравеопазване в развитите страни. Поради тази причина в Доклада по застаряване на населението освен базовия са разгледани още 11 сценария за развитие на разходите за здравеопазване, свързани с различна демографска и икономическа динамика. При тях разходите на България в периода 2019</w:t>
      </w:r>
      <w:r w:rsidR="00256E91">
        <w:t>–</w:t>
      </w:r>
      <w:r w:rsidRPr="005B2032">
        <w:t>2070</w:t>
      </w:r>
      <w:r w:rsidR="00DF07FD">
        <w:t> г.</w:t>
      </w:r>
      <w:r w:rsidRPr="005B2032">
        <w:t xml:space="preserve"> се увеличават с от 0.2 пр.п. до 2.2 пр.п., като най-голямо увеличение има при сценарий с включени фактори различни от демографските като иновации в медицинските технологии.</w:t>
      </w:r>
    </w:p>
    <w:p w14:paraId="66693136" w14:textId="02F0ABD6" w:rsidR="00F61E7F" w:rsidRPr="001B4CE0" w:rsidRDefault="0028482C" w:rsidP="001B4CE0">
      <w:pPr>
        <w:pStyle w:val="Caption"/>
      </w:pPr>
      <w:r w:rsidRPr="001B4CE0">
        <w:t>Табл</w:t>
      </w:r>
      <w:r w:rsidR="00F61E7F" w:rsidRPr="001B4CE0">
        <w:t xml:space="preserve">. </w:t>
      </w:r>
      <w:fldSimple w:instr=" STYLEREF 1 \s ">
        <w:r w:rsidR="004C3B04">
          <w:rPr>
            <w:noProof/>
          </w:rPr>
          <w:t>5</w:t>
        </w:r>
      </w:fldSimple>
      <w:r w:rsidR="00F61E7F" w:rsidRPr="001B4CE0">
        <w:noBreakHyphen/>
      </w:r>
      <w:fldSimple w:instr=" SEQ Граф. \* ARABIC \s 1 ">
        <w:r w:rsidR="004C3B04">
          <w:rPr>
            <w:noProof/>
          </w:rPr>
          <w:t>2</w:t>
        </w:r>
      </w:fldSimple>
      <w:r w:rsidR="00F61E7F" w:rsidRPr="001B4CE0">
        <w:t xml:space="preserve">: </w:t>
      </w:r>
      <w:r w:rsidR="00F61E7F" w:rsidRPr="001B4CE0">
        <w:tab/>
        <w:t>Разходи за здравеопазване</w:t>
      </w:r>
      <w:r w:rsidR="00F61E7F" w:rsidRPr="001B4CE0">
        <w:rPr>
          <w:rStyle w:val="FootnoteReference"/>
          <w:vertAlign w:val="baseline"/>
        </w:rPr>
        <w:footnoteReference w:id="32"/>
      </w:r>
      <w:r w:rsidR="00F61E7F" w:rsidRPr="001B4CE0">
        <w:t xml:space="preserve"> % от БВП</w:t>
      </w:r>
    </w:p>
    <w:tbl>
      <w:tblPr>
        <w:tblStyle w:val="Style19"/>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620" w:firstRow="1" w:lastRow="0" w:firstColumn="0" w:lastColumn="0" w:noHBand="1" w:noVBand="1"/>
      </w:tblPr>
      <w:tblGrid>
        <w:gridCol w:w="2431"/>
        <w:gridCol w:w="1135"/>
        <w:gridCol w:w="1128"/>
        <w:gridCol w:w="1133"/>
        <w:gridCol w:w="975"/>
        <w:gridCol w:w="1133"/>
        <w:gridCol w:w="1129"/>
      </w:tblGrid>
      <w:tr w:rsidR="005B2032" w:rsidRPr="00A750B5" w14:paraId="34B8159F" w14:textId="77777777" w:rsidTr="00EC7010">
        <w:trPr>
          <w:trHeight w:val="397"/>
          <w:jc w:val="center"/>
        </w:trPr>
        <w:tc>
          <w:tcPr>
            <w:tcW w:w="1341" w:type="pct"/>
            <w:shd w:val="clear" w:color="auto" w:fill="D7D4F1"/>
            <w:vAlign w:val="center"/>
          </w:tcPr>
          <w:p w14:paraId="6C91C2CD" w14:textId="77777777" w:rsidR="00F61E7F" w:rsidRPr="00A750B5" w:rsidRDefault="00F61E7F" w:rsidP="001B4CE0">
            <w:pPr>
              <w:spacing w:after="0"/>
              <w:jc w:val="left"/>
              <w:rPr>
                <w:rFonts w:ascii="Calibri" w:hAnsi="Calibri"/>
                <w:b/>
                <w:sz w:val="20"/>
                <w:szCs w:val="20"/>
              </w:rPr>
            </w:pPr>
          </w:p>
        </w:tc>
        <w:tc>
          <w:tcPr>
            <w:tcW w:w="626" w:type="pct"/>
            <w:shd w:val="clear" w:color="auto" w:fill="D7D4F1"/>
            <w:vAlign w:val="center"/>
            <w:hideMark/>
          </w:tcPr>
          <w:p w14:paraId="2EEB18AD" w14:textId="77777777" w:rsidR="00F61E7F" w:rsidRPr="00A750B5" w:rsidRDefault="00F61E7F" w:rsidP="001B4CE0">
            <w:pPr>
              <w:spacing w:after="0"/>
              <w:jc w:val="center"/>
              <w:rPr>
                <w:b/>
                <w:sz w:val="20"/>
                <w:szCs w:val="20"/>
              </w:rPr>
            </w:pPr>
            <w:r w:rsidRPr="00A750B5">
              <w:rPr>
                <w:b/>
                <w:sz w:val="20"/>
                <w:szCs w:val="20"/>
              </w:rPr>
              <w:t>2019</w:t>
            </w:r>
          </w:p>
        </w:tc>
        <w:tc>
          <w:tcPr>
            <w:tcW w:w="622" w:type="pct"/>
            <w:shd w:val="clear" w:color="auto" w:fill="D7D4F1"/>
            <w:vAlign w:val="center"/>
            <w:hideMark/>
          </w:tcPr>
          <w:p w14:paraId="0C1E7566" w14:textId="77777777" w:rsidR="00F61E7F" w:rsidRPr="00A750B5" w:rsidRDefault="00F61E7F" w:rsidP="001B4CE0">
            <w:pPr>
              <w:spacing w:after="0"/>
              <w:jc w:val="center"/>
              <w:rPr>
                <w:b/>
                <w:sz w:val="20"/>
                <w:szCs w:val="20"/>
              </w:rPr>
            </w:pPr>
            <w:r w:rsidRPr="00A750B5">
              <w:rPr>
                <w:b/>
                <w:sz w:val="20"/>
                <w:szCs w:val="20"/>
              </w:rPr>
              <w:t>2030</w:t>
            </w:r>
          </w:p>
        </w:tc>
        <w:tc>
          <w:tcPr>
            <w:tcW w:w="625" w:type="pct"/>
            <w:shd w:val="clear" w:color="auto" w:fill="D7D4F1"/>
            <w:vAlign w:val="center"/>
            <w:hideMark/>
          </w:tcPr>
          <w:p w14:paraId="078A87A6" w14:textId="77777777" w:rsidR="00F61E7F" w:rsidRPr="00A750B5" w:rsidRDefault="00F61E7F" w:rsidP="001B4CE0">
            <w:pPr>
              <w:spacing w:after="0"/>
              <w:jc w:val="center"/>
              <w:rPr>
                <w:b/>
                <w:sz w:val="20"/>
                <w:szCs w:val="20"/>
              </w:rPr>
            </w:pPr>
            <w:r w:rsidRPr="00A750B5">
              <w:rPr>
                <w:b/>
                <w:sz w:val="20"/>
                <w:szCs w:val="20"/>
              </w:rPr>
              <w:t>2040</w:t>
            </w:r>
          </w:p>
        </w:tc>
        <w:tc>
          <w:tcPr>
            <w:tcW w:w="538" w:type="pct"/>
            <w:shd w:val="clear" w:color="auto" w:fill="D7D4F1"/>
            <w:vAlign w:val="center"/>
            <w:hideMark/>
          </w:tcPr>
          <w:p w14:paraId="6882AA9E" w14:textId="77777777" w:rsidR="00F61E7F" w:rsidRPr="00A750B5" w:rsidRDefault="00F61E7F" w:rsidP="001B4CE0">
            <w:pPr>
              <w:spacing w:after="0"/>
              <w:jc w:val="center"/>
              <w:rPr>
                <w:b/>
                <w:sz w:val="20"/>
                <w:szCs w:val="20"/>
              </w:rPr>
            </w:pPr>
            <w:r w:rsidRPr="00A750B5">
              <w:rPr>
                <w:b/>
                <w:sz w:val="20"/>
                <w:szCs w:val="20"/>
              </w:rPr>
              <w:t>2050</w:t>
            </w:r>
          </w:p>
        </w:tc>
        <w:tc>
          <w:tcPr>
            <w:tcW w:w="625" w:type="pct"/>
            <w:shd w:val="clear" w:color="auto" w:fill="D7D4F1"/>
            <w:vAlign w:val="center"/>
            <w:hideMark/>
          </w:tcPr>
          <w:p w14:paraId="77D85BE4" w14:textId="77777777" w:rsidR="00F61E7F" w:rsidRPr="00A750B5" w:rsidRDefault="00F61E7F" w:rsidP="001B4CE0">
            <w:pPr>
              <w:spacing w:after="0"/>
              <w:jc w:val="center"/>
              <w:rPr>
                <w:b/>
                <w:sz w:val="20"/>
                <w:szCs w:val="20"/>
              </w:rPr>
            </w:pPr>
            <w:r w:rsidRPr="00A750B5">
              <w:rPr>
                <w:b/>
                <w:sz w:val="20"/>
                <w:szCs w:val="20"/>
              </w:rPr>
              <w:t>2060</w:t>
            </w:r>
          </w:p>
        </w:tc>
        <w:tc>
          <w:tcPr>
            <w:tcW w:w="623" w:type="pct"/>
            <w:shd w:val="clear" w:color="auto" w:fill="D7D4F1"/>
            <w:vAlign w:val="center"/>
            <w:hideMark/>
          </w:tcPr>
          <w:p w14:paraId="424A3AA1" w14:textId="77777777" w:rsidR="00F61E7F" w:rsidRPr="00A750B5" w:rsidRDefault="00F61E7F" w:rsidP="001B4CE0">
            <w:pPr>
              <w:spacing w:after="0"/>
              <w:jc w:val="center"/>
              <w:rPr>
                <w:b/>
                <w:sz w:val="20"/>
                <w:szCs w:val="20"/>
              </w:rPr>
            </w:pPr>
            <w:r w:rsidRPr="00A750B5">
              <w:rPr>
                <w:b/>
                <w:sz w:val="20"/>
                <w:szCs w:val="20"/>
              </w:rPr>
              <w:t>2070</w:t>
            </w:r>
          </w:p>
        </w:tc>
      </w:tr>
      <w:tr w:rsidR="005B2032" w:rsidRPr="00A750B5" w14:paraId="25D72C7B" w14:textId="77777777" w:rsidTr="00EC7010">
        <w:trPr>
          <w:trHeight w:val="397"/>
          <w:jc w:val="center"/>
        </w:trPr>
        <w:tc>
          <w:tcPr>
            <w:tcW w:w="1341" w:type="pct"/>
            <w:vAlign w:val="center"/>
            <w:hideMark/>
          </w:tcPr>
          <w:p w14:paraId="15223427" w14:textId="77777777" w:rsidR="00F61E7F" w:rsidRPr="00A750B5" w:rsidRDefault="00F61E7F" w:rsidP="001B4CE0">
            <w:pPr>
              <w:spacing w:after="0"/>
              <w:jc w:val="left"/>
              <w:rPr>
                <w:b/>
                <w:sz w:val="20"/>
                <w:szCs w:val="20"/>
              </w:rPr>
            </w:pPr>
            <w:r w:rsidRPr="00A750B5">
              <w:rPr>
                <w:b/>
                <w:sz w:val="20"/>
                <w:szCs w:val="20"/>
              </w:rPr>
              <w:t>МФ</w:t>
            </w:r>
          </w:p>
        </w:tc>
        <w:tc>
          <w:tcPr>
            <w:tcW w:w="626" w:type="pct"/>
            <w:vAlign w:val="center"/>
            <w:hideMark/>
          </w:tcPr>
          <w:p w14:paraId="5C378945" w14:textId="77777777" w:rsidR="00F61E7F" w:rsidRPr="00A750B5" w:rsidRDefault="00F61E7F" w:rsidP="001B4CE0">
            <w:pPr>
              <w:spacing w:after="0"/>
              <w:jc w:val="center"/>
              <w:rPr>
                <w:sz w:val="20"/>
                <w:szCs w:val="20"/>
              </w:rPr>
            </w:pPr>
            <w:r w:rsidRPr="00A750B5">
              <w:rPr>
                <w:sz w:val="20"/>
              </w:rPr>
              <w:t>4.6</w:t>
            </w:r>
          </w:p>
        </w:tc>
        <w:tc>
          <w:tcPr>
            <w:tcW w:w="622" w:type="pct"/>
            <w:vAlign w:val="center"/>
            <w:hideMark/>
          </w:tcPr>
          <w:p w14:paraId="5999F262" w14:textId="77777777" w:rsidR="00F61E7F" w:rsidRPr="00A750B5" w:rsidRDefault="00F61E7F" w:rsidP="001B4CE0">
            <w:pPr>
              <w:spacing w:after="0"/>
              <w:jc w:val="center"/>
              <w:rPr>
                <w:sz w:val="20"/>
                <w:szCs w:val="20"/>
              </w:rPr>
            </w:pPr>
            <w:r w:rsidRPr="00A750B5">
              <w:rPr>
                <w:sz w:val="20"/>
              </w:rPr>
              <w:t>4.8</w:t>
            </w:r>
          </w:p>
        </w:tc>
        <w:tc>
          <w:tcPr>
            <w:tcW w:w="625" w:type="pct"/>
            <w:vAlign w:val="center"/>
            <w:hideMark/>
          </w:tcPr>
          <w:p w14:paraId="01F47D09" w14:textId="77777777" w:rsidR="00F61E7F" w:rsidRPr="00A750B5" w:rsidRDefault="00F61E7F" w:rsidP="001B4CE0">
            <w:pPr>
              <w:spacing w:after="0"/>
              <w:jc w:val="center"/>
              <w:rPr>
                <w:sz w:val="20"/>
                <w:szCs w:val="20"/>
              </w:rPr>
            </w:pPr>
            <w:r w:rsidRPr="00A750B5">
              <w:rPr>
                <w:sz w:val="20"/>
              </w:rPr>
              <w:t>5.0</w:t>
            </w:r>
          </w:p>
        </w:tc>
        <w:tc>
          <w:tcPr>
            <w:tcW w:w="538" w:type="pct"/>
            <w:vAlign w:val="center"/>
            <w:hideMark/>
          </w:tcPr>
          <w:p w14:paraId="1B6D772C" w14:textId="77777777" w:rsidR="00F61E7F" w:rsidRPr="00A750B5" w:rsidRDefault="00F61E7F" w:rsidP="001B4CE0">
            <w:pPr>
              <w:spacing w:after="0"/>
              <w:jc w:val="center"/>
              <w:rPr>
                <w:sz w:val="20"/>
                <w:szCs w:val="20"/>
              </w:rPr>
            </w:pPr>
            <w:r w:rsidRPr="00A750B5">
              <w:rPr>
                <w:sz w:val="20"/>
              </w:rPr>
              <w:t>5.1</w:t>
            </w:r>
          </w:p>
        </w:tc>
        <w:tc>
          <w:tcPr>
            <w:tcW w:w="625" w:type="pct"/>
            <w:vAlign w:val="center"/>
            <w:hideMark/>
          </w:tcPr>
          <w:p w14:paraId="51818F9A" w14:textId="77777777" w:rsidR="00F61E7F" w:rsidRPr="00A750B5" w:rsidRDefault="00F61E7F" w:rsidP="001B4CE0">
            <w:pPr>
              <w:spacing w:after="0"/>
              <w:jc w:val="center"/>
              <w:rPr>
                <w:sz w:val="20"/>
                <w:szCs w:val="20"/>
              </w:rPr>
            </w:pPr>
            <w:r w:rsidRPr="00A750B5">
              <w:rPr>
                <w:sz w:val="20"/>
              </w:rPr>
              <w:t>5.0</w:t>
            </w:r>
          </w:p>
        </w:tc>
        <w:tc>
          <w:tcPr>
            <w:tcW w:w="623" w:type="pct"/>
            <w:vAlign w:val="center"/>
            <w:hideMark/>
          </w:tcPr>
          <w:p w14:paraId="726EF5C3" w14:textId="77777777" w:rsidR="00F61E7F" w:rsidRPr="00A750B5" w:rsidRDefault="00F61E7F" w:rsidP="001B4CE0">
            <w:pPr>
              <w:spacing w:after="0"/>
              <w:jc w:val="center"/>
              <w:rPr>
                <w:sz w:val="20"/>
                <w:szCs w:val="20"/>
              </w:rPr>
            </w:pPr>
            <w:r w:rsidRPr="00A750B5">
              <w:rPr>
                <w:sz w:val="20"/>
              </w:rPr>
              <w:t>4.9</w:t>
            </w:r>
          </w:p>
        </w:tc>
      </w:tr>
      <w:tr w:rsidR="005B2032" w:rsidRPr="00A750B5" w14:paraId="39444527" w14:textId="77777777" w:rsidTr="00EC7010">
        <w:trPr>
          <w:trHeight w:val="397"/>
          <w:jc w:val="center"/>
        </w:trPr>
        <w:tc>
          <w:tcPr>
            <w:tcW w:w="1341" w:type="pct"/>
            <w:vAlign w:val="center"/>
            <w:hideMark/>
          </w:tcPr>
          <w:p w14:paraId="4AD2413A" w14:textId="77777777" w:rsidR="00F61E7F" w:rsidRPr="00A750B5" w:rsidRDefault="00F61E7F" w:rsidP="001B4CE0">
            <w:pPr>
              <w:spacing w:after="0"/>
              <w:jc w:val="left"/>
              <w:rPr>
                <w:b/>
                <w:sz w:val="20"/>
                <w:szCs w:val="20"/>
              </w:rPr>
            </w:pPr>
            <w:r w:rsidRPr="00A750B5">
              <w:rPr>
                <w:b/>
                <w:sz w:val="20"/>
                <w:szCs w:val="20"/>
              </w:rPr>
              <w:t>Доклад 2021</w:t>
            </w:r>
          </w:p>
        </w:tc>
        <w:tc>
          <w:tcPr>
            <w:tcW w:w="626" w:type="pct"/>
            <w:vAlign w:val="center"/>
            <w:hideMark/>
          </w:tcPr>
          <w:p w14:paraId="7F1D200A" w14:textId="77777777" w:rsidR="00F61E7F" w:rsidRPr="00A750B5" w:rsidRDefault="00F61E7F" w:rsidP="001B4CE0">
            <w:pPr>
              <w:spacing w:after="0"/>
              <w:jc w:val="center"/>
              <w:rPr>
                <w:sz w:val="20"/>
                <w:szCs w:val="20"/>
              </w:rPr>
            </w:pPr>
            <w:r w:rsidRPr="00A750B5">
              <w:rPr>
                <w:sz w:val="20"/>
                <w:szCs w:val="20"/>
              </w:rPr>
              <w:t>4.9</w:t>
            </w:r>
          </w:p>
        </w:tc>
        <w:tc>
          <w:tcPr>
            <w:tcW w:w="622" w:type="pct"/>
            <w:vAlign w:val="center"/>
            <w:hideMark/>
          </w:tcPr>
          <w:p w14:paraId="1B6314E6" w14:textId="77777777" w:rsidR="00F61E7F" w:rsidRPr="00A750B5" w:rsidRDefault="00F61E7F" w:rsidP="001B4CE0">
            <w:pPr>
              <w:spacing w:after="0"/>
              <w:jc w:val="center"/>
              <w:rPr>
                <w:sz w:val="20"/>
                <w:szCs w:val="20"/>
              </w:rPr>
            </w:pPr>
            <w:r w:rsidRPr="00A750B5">
              <w:rPr>
                <w:sz w:val="20"/>
                <w:szCs w:val="20"/>
              </w:rPr>
              <w:t>5.1</w:t>
            </w:r>
          </w:p>
        </w:tc>
        <w:tc>
          <w:tcPr>
            <w:tcW w:w="625" w:type="pct"/>
            <w:vAlign w:val="center"/>
            <w:hideMark/>
          </w:tcPr>
          <w:p w14:paraId="4325795F" w14:textId="77777777" w:rsidR="00F61E7F" w:rsidRPr="00A750B5" w:rsidRDefault="00F61E7F" w:rsidP="001B4CE0">
            <w:pPr>
              <w:spacing w:after="0"/>
              <w:jc w:val="center"/>
              <w:rPr>
                <w:sz w:val="20"/>
                <w:szCs w:val="20"/>
              </w:rPr>
            </w:pPr>
            <w:r w:rsidRPr="00A750B5">
              <w:rPr>
                <w:sz w:val="20"/>
                <w:szCs w:val="20"/>
              </w:rPr>
              <w:t>5.3</w:t>
            </w:r>
          </w:p>
        </w:tc>
        <w:tc>
          <w:tcPr>
            <w:tcW w:w="538" w:type="pct"/>
            <w:vAlign w:val="center"/>
            <w:hideMark/>
          </w:tcPr>
          <w:p w14:paraId="0FAE05BC" w14:textId="77777777" w:rsidR="00F61E7F" w:rsidRPr="00A750B5" w:rsidRDefault="00F61E7F" w:rsidP="001B4CE0">
            <w:pPr>
              <w:spacing w:after="0"/>
              <w:jc w:val="center"/>
              <w:rPr>
                <w:sz w:val="20"/>
                <w:szCs w:val="20"/>
              </w:rPr>
            </w:pPr>
            <w:r w:rsidRPr="00A750B5">
              <w:rPr>
                <w:sz w:val="20"/>
                <w:szCs w:val="20"/>
              </w:rPr>
              <w:t>5.5</w:t>
            </w:r>
          </w:p>
        </w:tc>
        <w:tc>
          <w:tcPr>
            <w:tcW w:w="625" w:type="pct"/>
            <w:vAlign w:val="center"/>
            <w:hideMark/>
          </w:tcPr>
          <w:p w14:paraId="221EB712" w14:textId="77777777" w:rsidR="00F61E7F" w:rsidRPr="00A750B5" w:rsidRDefault="00F61E7F" w:rsidP="001B4CE0">
            <w:pPr>
              <w:spacing w:after="0"/>
              <w:jc w:val="center"/>
              <w:rPr>
                <w:sz w:val="20"/>
                <w:szCs w:val="20"/>
              </w:rPr>
            </w:pPr>
            <w:r w:rsidRPr="00A750B5">
              <w:rPr>
                <w:sz w:val="20"/>
                <w:szCs w:val="20"/>
              </w:rPr>
              <w:t>5.4</w:t>
            </w:r>
          </w:p>
        </w:tc>
        <w:tc>
          <w:tcPr>
            <w:tcW w:w="623" w:type="pct"/>
            <w:vAlign w:val="center"/>
            <w:hideMark/>
          </w:tcPr>
          <w:p w14:paraId="0F61E2BE" w14:textId="77777777" w:rsidR="00F61E7F" w:rsidRPr="00A750B5" w:rsidRDefault="00F61E7F" w:rsidP="001B4CE0">
            <w:pPr>
              <w:spacing w:after="0"/>
              <w:jc w:val="center"/>
              <w:rPr>
                <w:sz w:val="20"/>
                <w:szCs w:val="20"/>
              </w:rPr>
            </w:pPr>
            <w:r w:rsidRPr="00A750B5">
              <w:rPr>
                <w:sz w:val="20"/>
                <w:szCs w:val="20"/>
              </w:rPr>
              <w:t>5.4</w:t>
            </w:r>
          </w:p>
        </w:tc>
      </w:tr>
    </w:tbl>
    <w:p w14:paraId="5869CF02" w14:textId="46394AC2" w:rsidR="00F61E7F" w:rsidRDefault="00F61E7F" w:rsidP="001B4CE0">
      <w:pPr>
        <w:pStyle w:val="a"/>
        <w:rPr>
          <w:lang w:val="en-US"/>
        </w:rPr>
      </w:pPr>
      <w:r w:rsidRPr="0028482C">
        <w:t>Източник: МФ</w:t>
      </w:r>
      <w:r w:rsidRPr="0028482C">
        <w:rPr>
          <w:lang w:val="en-US"/>
        </w:rPr>
        <w:t xml:space="preserve">, Ageing report 2021 </w:t>
      </w:r>
    </w:p>
    <w:p w14:paraId="1EF5BDAF" w14:textId="2D65949E" w:rsidR="00EC7010" w:rsidRDefault="00EC7010" w:rsidP="001B4CE0">
      <w:pPr>
        <w:pStyle w:val="a"/>
      </w:pPr>
    </w:p>
    <w:p w14:paraId="2D0345C5" w14:textId="77777777" w:rsidR="00B61D43" w:rsidRPr="0028482C" w:rsidRDefault="00B61D43" w:rsidP="001B4CE0">
      <w:pPr>
        <w:pStyle w:val="a"/>
      </w:pPr>
    </w:p>
    <w:p w14:paraId="50584D47" w14:textId="120A1053" w:rsidR="00354366" w:rsidRPr="00E360FF" w:rsidRDefault="00354366" w:rsidP="00E360FF">
      <w:pPr>
        <w:pStyle w:val="Heading3"/>
      </w:pPr>
      <w:r w:rsidRPr="00E360FF">
        <w:t>Образование</w:t>
      </w:r>
    </w:p>
    <w:p w14:paraId="49E5FBA0" w14:textId="79F23440" w:rsidR="00F61E7F" w:rsidRPr="001B4CE0" w:rsidRDefault="0028482C" w:rsidP="001B4CE0">
      <w:pPr>
        <w:pStyle w:val="Caption"/>
      </w:pPr>
      <w:r w:rsidRPr="001B4CE0">
        <w:t>Табл</w:t>
      </w:r>
      <w:r w:rsidR="00F61E7F" w:rsidRPr="001B4CE0">
        <w:t xml:space="preserve">. </w:t>
      </w:r>
      <w:fldSimple w:instr=" STYLEREF 1 \s ">
        <w:r w:rsidR="004C3B04">
          <w:rPr>
            <w:noProof/>
          </w:rPr>
          <w:t>5</w:t>
        </w:r>
      </w:fldSimple>
      <w:r w:rsidR="00F61E7F" w:rsidRPr="001B4CE0">
        <w:noBreakHyphen/>
      </w:r>
      <w:fldSimple w:instr=" SEQ Граф. \* ARABIC \s 1 ">
        <w:r w:rsidR="004C3B04">
          <w:rPr>
            <w:noProof/>
          </w:rPr>
          <w:t>3</w:t>
        </w:r>
      </w:fldSimple>
      <w:r w:rsidR="00F61E7F" w:rsidRPr="001B4CE0">
        <w:t xml:space="preserve">: </w:t>
      </w:r>
      <w:r w:rsidR="00F61E7F" w:rsidRPr="001B4CE0">
        <w:tab/>
        <w:t>Разходи за образование % от БВП</w:t>
      </w:r>
    </w:p>
    <w:tbl>
      <w:tblPr>
        <w:tblStyle w:val="Style19"/>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620" w:firstRow="1" w:lastRow="0" w:firstColumn="0" w:lastColumn="0" w:noHBand="1" w:noVBand="1"/>
      </w:tblPr>
      <w:tblGrid>
        <w:gridCol w:w="2550"/>
        <w:gridCol w:w="1121"/>
        <w:gridCol w:w="1119"/>
        <w:gridCol w:w="1118"/>
        <w:gridCol w:w="917"/>
        <w:gridCol w:w="1222"/>
        <w:gridCol w:w="1017"/>
      </w:tblGrid>
      <w:tr w:rsidR="005B2032" w:rsidRPr="00A750B5" w14:paraId="343C1566" w14:textId="77777777" w:rsidTr="00EC7010">
        <w:trPr>
          <w:trHeight w:val="397"/>
          <w:jc w:val="center"/>
        </w:trPr>
        <w:tc>
          <w:tcPr>
            <w:tcW w:w="1406" w:type="pct"/>
            <w:shd w:val="clear" w:color="auto" w:fill="D7D4F1"/>
            <w:vAlign w:val="center"/>
          </w:tcPr>
          <w:p w14:paraId="16F2F27C" w14:textId="77777777" w:rsidR="00F61E7F" w:rsidRPr="00A750B5" w:rsidRDefault="00F61E7F" w:rsidP="001B4CE0">
            <w:pPr>
              <w:spacing w:before="20" w:after="20"/>
              <w:jc w:val="left"/>
              <w:rPr>
                <w:rFonts w:ascii="Calibri" w:hAnsi="Calibri"/>
                <w:b/>
                <w:sz w:val="20"/>
                <w:szCs w:val="20"/>
              </w:rPr>
            </w:pPr>
          </w:p>
        </w:tc>
        <w:tc>
          <w:tcPr>
            <w:tcW w:w="618" w:type="pct"/>
            <w:shd w:val="clear" w:color="auto" w:fill="D7D4F1"/>
            <w:vAlign w:val="center"/>
            <w:hideMark/>
          </w:tcPr>
          <w:p w14:paraId="014D2BDC" w14:textId="77777777" w:rsidR="00F61E7F" w:rsidRPr="00A750B5" w:rsidRDefault="00F61E7F" w:rsidP="001B4CE0">
            <w:pPr>
              <w:spacing w:after="0"/>
              <w:jc w:val="center"/>
              <w:rPr>
                <w:b/>
                <w:sz w:val="20"/>
                <w:szCs w:val="20"/>
              </w:rPr>
            </w:pPr>
            <w:r w:rsidRPr="00A750B5">
              <w:rPr>
                <w:b/>
                <w:sz w:val="20"/>
                <w:szCs w:val="20"/>
              </w:rPr>
              <w:t>2019</w:t>
            </w:r>
          </w:p>
        </w:tc>
        <w:tc>
          <w:tcPr>
            <w:tcW w:w="617" w:type="pct"/>
            <w:shd w:val="clear" w:color="auto" w:fill="D7D4F1"/>
            <w:vAlign w:val="center"/>
            <w:hideMark/>
          </w:tcPr>
          <w:p w14:paraId="08983BDE" w14:textId="77777777" w:rsidR="00F61E7F" w:rsidRPr="00A750B5" w:rsidRDefault="00F61E7F" w:rsidP="001B4CE0">
            <w:pPr>
              <w:spacing w:after="0"/>
              <w:jc w:val="center"/>
              <w:rPr>
                <w:b/>
                <w:sz w:val="20"/>
                <w:szCs w:val="20"/>
              </w:rPr>
            </w:pPr>
            <w:r w:rsidRPr="00A750B5">
              <w:rPr>
                <w:b/>
                <w:sz w:val="20"/>
                <w:szCs w:val="20"/>
              </w:rPr>
              <w:t>2030</w:t>
            </w:r>
          </w:p>
        </w:tc>
        <w:tc>
          <w:tcPr>
            <w:tcW w:w="617" w:type="pct"/>
            <w:shd w:val="clear" w:color="auto" w:fill="D7D4F1"/>
            <w:vAlign w:val="center"/>
            <w:hideMark/>
          </w:tcPr>
          <w:p w14:paraId="533D55D1" w14:textId="77777777" w:rsidR="00F61E7F" w:rsidRPr="00A750B5" w:rsidRDefault="00F61E7F" w:rsidP="001B4CE0">
            <w:pPr>
              <w:spacing w:after="0"/>
              <w:jc w:val="center"/>
              <w:rPr>
                <w:b/>
                <w:sz w:val="20"/>
                <w:szCs w:val="20"/>
              </w:rPr>
            </w:pPr>
            <w:r w:rsidRPr="00A750B5">
              <w:rPr>
                <w:b/>
                <w:sz w:val="20"/>
                <w:szCs w:val="20"/>
              </w:rPr>
              <w:t>2040</w:t>
            </w:r>
          </w:p>
        </w:tc>
        <w:tc>
          <w:tcPr>
            <w:tcW w:w="506" w:type="pct"/>
            <w:shd w:val="clear" w:color="auto" w:fill="D7D4F1"/>
            <w:vAlign w:val="center"/>
            <w:hideMark/>
          </w:tcPr>
          <w:p w14:paraId="731211AB" w14:textId="77777777" w:rsidR="00F61E7F" w:rsidRPr="00A750B5" w:rsidRDefault="00F61E7F" w:rsidP="001B4CE0">
            <w:pPr>
              <w:spacing w:after="0"/>
              <w:jc w:val="center"/>
              <w:rPr>
                <w:b/>
                <w:sz w:val="20"/>
                <w:szCs w:val="20"/>
              </w:rPr>
            </w:pPr>
            <w:r w:rsidRPr="00A750B5">
              <w:rPr>
                <w:b/>
                <w:sz w:val="20"/>
                <w:szCs w:val="20"/>
              </w:rPr>
              <w:t>2050</w:t>
            </w:r>
          </w:p>
        </w:tc>
        <w:tc>
          <w:tcPr>
            <w:tcW w:w="674" w:type="pct"/>
            <w:shd w:val="clear" w:color="auto" w:fill="D7D4F1"/>
            <w:vAlign w:val="center"/>
            <w:hideMark/>
          </w:tcPr>
          <w:p w14:paraId="173CD472" w14:textId="77777777" w:rsidR="00F61E7F" w:rsidRPr="00A750B5" w:rsidRDefault="00F61E7F" w:rsidP="001B4CE0">
            <w:pPr>
              <w:spacing w:after="0"/>
              <w:jc w:val="center"/>
              <w:rPr>
                <w:b/>
                <w:sz w:val="20"/>
                <w:szCs w:val="20"/>
              </w:rPr>
            </w:pPr>
            <w:r w:rsidRPr="00A750B5">
              <w:rPr>
                <w:b/>
                <w:sz w:val="20"/>
                <w:szCs w:val="20"/>
              </w:rPr>
              <w:t>2060</w:t>
            </w:r>
          </w:p>
        </w:tc>
        <w:tc>
          <w:tcPr>
            <w:tcW w:w="561" w:type="pct"/>
            <w:shd w:val="clear" w:color="auto" w:fill="D7D4F1"/>
            <w:vAlign w:val="center"/>
            <w:hideMark/>
          </w:tcPr>
          <w:p w14:paraId="13AECEB1" w14:textId="77777777" w:rsidR="00F61E7F" w:rsidRPr="00A750B5" w:rsidRDefault="00F61E7F" w:rsidP="001B4CE0">
            <w:pPr>
              <w:spacing w:after="0"/>
              <w:jc w:val="center"/>
              <w:rPr>
                <w:b/>
                <w:sz w:val="20"/>
                <w:szCs w:val="20"/>
              </w:rPr>
            </w:pPr>
            <w:r w:rsidRPr="00A750B5">
              <w:rPr>
                <w:b/>
                <w:sz w:val="20"/>
                <w:szCs w:val="20"/>
              </w:rPr>
              <w:t>2070</w:t>
            </w:r>
          </w:p>
        </w:tc>
      </w:tr>
      <w:tr w:rsidR="005B2032" w:rsidRPr="00A750B5" w14:paraId="63E00892" w14:textId="77777777" w:rsidTr="00EC7010">
        <w:trPr>
          <w:trHeight w:val="397"/>
          <w:jc w:val="center"/>
        </w:trPr>
        <w:tc>
          <w:tcPr>
            <w:tcW w:w="1406" w:type="pct"/>
            <w:vAlign w:val="center"/>
            <w:hideMark/>
          </w:tcPr>
          <w:p w14:paraId="000DAD45" w14:textId="77777777" w:rsidR="00F61E7F" w:rsidRPr="00A750B5" w:rsidRDefault="00F61E7F" w:rsidP="001B4CE0">
            <w:pPr>
              <w:spacing w:after="0"/>
              <w:jc w:val="left"/>
              <w:rPr>
                <w:b/>
                <w:sz w:val="20"/>
                <w:szCs w:val="20"/>
              </w:rPr>
            </w:pPr>
            <w:r w:rsidRPr="00A750B5">
              <w:rPr>
                <w:b/>
                <w:sz w:val="20"/>
                <w:szCs w:val="20"/>
              </w:rPr>
              <w:t>МФ</w:t>
            </w:r>
            <w:r w:rsidRPr="00A750B5">
              <w:rPr>
                <w:rStyle w:val="FootnoteReference"/>
                <w:b/>
                <w:sz w:val="20"/>
                <w:szCs w:val="20"/>
              </w:rPr>
              <w:footnoteReference w:id="33"/>
            </w:r>
          </w:p>
        </w:tc>
        <w:tc>
          <w:tcPr>
            <w:tcW w:w="618" w:type="pct"/>
            <w:vAlign w:val="center"/>
            <w:hideMark/>
          </w:tcPr>
          <w:p w14:paraId="27BCE0EC" w14:textId="77777777" w:rsidR="00F61E7F" w:rsidRPr="00A750B5" w:rsidRDefault="00F61E7F" w:rsidP="001B4CE0">
            <w:pPr>
              <w:spacing w:after="0"/>
              <w:jc w:val="center"/>
              <w:rPr>
                <w:sz w:val="20"/>
                <w:szCs w:val="20"/>
              </w:rPr>
            </w:pPr>
            <w:r w:rsidRPr="00A750B5">
              <w:rPr>
                <w:sz w:val="20"/>
              </w:rPr>
              <w:t>3.8</w:t>
            </w:r>
          </w:p>
        </w:tc>
        <w:tc>
          <w:tcPr>
            <w:tcW w:w="617" w:type="pct"/>
            <w:vAlign w:val="center"/>
            <w:hideMark/>
          </w:tcPr>
          <w:p w14:paraId="140D81B3" w14:textId="77777777" w:rsidR="00F61E7F" w:rsidRPr="00A750B5" w:rsidRDefault="00F61E7F" w:rsidP="001B4CE0">
            <w:pPr>
              <w:spacing w:after="0"/>
              <w:jc w:val="center"/>
              <w:rPr>
                <w:sz w:val="20"/>
                <w:szCs w:val="20"/>
              </w:rPr>
            </w:pPr>
            <w:r w:rsidRPr="00A750B5">
              <w:rPr>
                <w:sz w:val="20"/>
              </w:rPr>
              <w:t>4.0</w:t>
            </w:r>
          </w:p>
        </w:tc>
        <w:tc>
          <w:tcPr>
            <w:tcW w:w="617" w:type="pct"/>
            <w:vAlign w:val="center"/>
            <w:hideMark/>
          </w:tcPr>
          <w:p w14:paraId="65356779" w14:textId="77777777" w:rsidR="00F61E7F" w:rsidRPr="00A750B5" w:rsidRDefault="00F61E7F" w:rsidP="001B4CE0">
            <w:pPr>
              <w:spacing w:after="0"/>
              <w:jc w:val="center"/>
              <w:rPr>
                <w:sz w:val="20"/>
                <w:szCs w:val="20"/>
              </w:rPr>
            </w:pPr>
            <w:r w:rsidRPr="00A750B5">
              <w:rPr>
                <w:sz w:val="20"/>
              </w:rPr>
              <w:t>3.9</w:t>
            </w:r>
          </w:p>
        </w:tc>
        <w:tc>
          <w:tcPr>
            <w:tcW w:w="506" w:type="pct"/>
            <w:vAlign w:val="center"/>
            <w:hideMark/>
          </w:tcPr>
          <w:p w14:paraId="4CCF76AE" w14:textId="77777777" w:rsidR="00F61E7F" w:rsidRPr="00A750B5" w:rsidRDefault="00F61E7F" w:rsidP="001B4CE0">
            <w:pPr>
              <w:spacing w:after="0"/>
              <w:jc w:val="center"/>
              <w:rPr>
                <w:sz w:val="20"/>
                <w:szCs w:val="20"/>
              </w:rPr>
            </w:pPr>
            <w:r w:rsidRPr="00A750B5">
              <w:rPr>
                <w:sz w:val="20"/>
              </w:rPr>
              <w:t>4.1</w:t>
            </w:r>
          </w:p>
        </w:tc>
        <w:tc>
          <w:tcPr>
            <w:tcW w:w="674" w:type="pct"/>
            <w:vAlign w:val="center"/>
            <w:hideMark/>
          </w:tcPr>
          <w:p w14:paraId="4E08D65D" w14:textId="77777777" w:rsidR="00F61E7F" w:rsidRPr="00A750B5" w:rsidRDefault="00F61E7F" w:rsidP="001B4CE0">
            <w:pPr>
              <w:spacing w:after="0"/>
              <w:jc w:val="center"/>
              <w:rPr>
                <w:sz w:val="20"/>
                <w:szCs w:val="20"/>
              </w:rPr>
            </w:pPr>
            <w:r w:rsidRPr="00A750B5">
              <w:rPr>
                <w:sz w:val="20"/>
              </w:rPr>
              <w:t>4.3</w:t>
            </w:r>
          </w:p>
        </w:tc>
        <w:tc>
          <w:tcPr>
            <w:tcW w:w="561" w:type="pct"/>
            <w:vAlign w:val="center"/>
            <w:hideMark/>
          </w:tcPr>
          <w:p w14:paraId="44148FDE" w14:textId="77777777" w:rsidR="00F61E7F" w:rsidRPr="00A750B5" w:rsidRDefault="00F61E7F" w:rsidP="001B4CE0">
            <w:pPr>
              <w:spacing w:after="0"/>
              <w:jc w:val="center"/>
              <w:rPr>
                <w:sz w:val="20"/>
                <w:szCs w:val="20"/>
              </w:rPr>
            </w:pPr>
            <w:r w:rsidRPr="00A750B5">
              <w:rPr>
                <w:sz w:val="20"/>
              </w:rPr>
              <w:t>4.2</w:t>
            </w:r>
          </w:p>
        </w:tc>
      </w:tr>
      <w:tr w:rsidR="005B2032" w:rsidRPr="00A750B5" w14:paraId="30FD6A2C" w14:textId="77777777" w:rsidTr="00EC7010">
        <w:trPr>
          <w:trHeight w:val="397"/>
          <w:jc w:val="center"/>
        </w:trPr>
        <w:tc>
          <w:tcPr>
            <w:tcW w:w="1406" w:type="pct"/>
            <w:vAlign w:val="center"/>
            <w:hideMark/>
          </w:tcPr>
          <w:p w14:paraId="24B5A979" w14:textId="77777777" w:rsidR="00F61E7F" w:rsidRPr="00A750B5" w:rsidRDefault="00F61E7F" w:rsidP="001B4CE0">
            <w:pPr>
              <w:spacing w:after="0"/>
              <w:jc w:val="left"/>
              <w:rPr>
                <w:b/>
                <w:sz w:val="20"/>
                <w:szCs w:val="20"/>
              </w:rPr>
            </w:pPr>
            <w:r w:rsidRPr="00A750B5">
              <w:rPr>
                <w:b/>
                <w:sz w:val="20"/>
                <w:szCs w:val="20"/>
              </w:rPr>
              <w:t>Доклад 2021</w:t>
            </w:r>
          </w:p>
        </w:tc>
        <w:tc>
          <w:tcPr>
            <w:tcW w:w="618" w:type="pct"/>
            <w:vAlign w:val="center"/>
            <w:hideMark/>
          </w:tcPr>
          <w:p w14:paraId="68335807" w14:textId="77777777" w:rsidR="00F61E7F" w:rsidRPr="00A750B5" w:rsidRDefault="00F61E7F" w:rsidP="001B4CE0">
            <w:pPr>
              <w:spacing w:after="0"/>
              <w:jc w:val="center"/>
              <w:rPr>
                <w:sz w:val="20"/>
                <w:szCs w:val="20"/>
              </w:rPr>
            </w:pPr>
            <w:r w:rsidRPr="00A750B5">
              <w:rPr>
                <w:sz w:val="20"/>
                <w:szCs w:val="20"/>
              </w:rPr>
              <w:t>2.9</w:t>
            </w:r>
          </w:p>
        </w:tc>
        <w:tc>
          <w:tcPr>
            <w:tcW w:w="617" w:type="pct"/>
            <w:vAlign w:val="center"/>
            <w:hideMark/>
          </w:tcPr>
          <w:p w14:paraId="14C4F2EA" w14:textId="77777777" w:rsidR="00F61E7F" w:rsidRPr="00A750B5" w:rsidRDefault="00F61E7F" w:rsidP="001B4CE0">
            <w:pPr>
              <w:spacing w:after="0"/>
              <w:jc w:val="center"/>
              <w:rPr>
                <w:sz w:val="20"/>
                <w:szCs w:val="20"/>
              </w:rPr>
            </w:pPr>
            <w:r w:rsidRPr="00A750B5">
              <w:rPr>
                <w:sz w:val="20"/>
                <w:szCs w:val="20"/>
              </w:rPr>
              <w:t>3.1</w:t>
            </w:r>
          </w:p>
        </w:tc>
        <w:tc>
          <w:tcPr>
            <w:tcW w:w="617" w:type="pct"/>
            <w:vAlign w:val="center"/>
            <w:hideMark/>
          </w:tcPr>
          <w:p w14:paraId="62A7C3D6" w14:textId="77777777" w:rsidR="00F61E7F" w:rsidRPr="00A750B5" w:rsidRDefault="00F61E7F" w:rsidP="001B4CE0">
            <w:pPr>
              <w:spacing w:after="0"/>
              <w:jc w:val="center"/>
              <w:rPr>
                <w:sz w:val="20"/>
                <w:szCs w:val="20"/>
              </w:rPr>
            </w:pPr>
            <w:r w:rsidRPr="00A750B5">
              <w:rPr>
                <w:sz w:val="20"/>
                <w:szCs w:val="20"/>
              </w:rPr>
              <w:t>3.0</w:t>
            </w:r>
          </w:p>
        </w:tc>
        <w:tc>
          <w:tcPr>
            <w:tcW w:w="506" w:type="pct"/>
            <w:vAlign w:val="center"/>
            <w:hideMark/>
          </w:tcPr>
          <w:p w14:paraId="5910D7DC" w14:textId="77777777" w:rsidR="00F61E7F" w:rsidRPr="00A750B5" w:rsidRDefault="00F61E7F" w:rsidP="001B4CE0">
            <w:pPr>
              <w:spacing w:after="0"/>
              <w:jc w:val="center"/>
              <w:rPr>
                <w:sz w:val="20"/>
                <w:szCs w:val="20"/>
              </w:rPr>
            </w:pPr>
            <w:r w:rsidRPr="00A750B5">
              <w:rPr>
                <w:sz w:val="20"/>
                <w:szCs w:val="20"/>
              </w:rPr>
              <w:t>3.2</w:t>
            </w:r>
          </w:p>
        </w:tc>
        <w:tc>
          <w:tcPr>
            <w:tcW w:w="674" w:type="pct"/>
            <w:vAlign w:val="center"/>
            <w:hideMark/>
          </w:tcPr>
          <w:p w14:paraId="7635FB12" w14:textId="77777777" w:rsidR="00F61E7F" w:rsidRPr="00A750B5" w:rsidRDefault="00F61E7F" w:rsidP="001B4CE0">
            <w:pPr>
              <w:spacing w:after="0"/>
              <w:jc w:val="center"/>
              <w:rPr>
                <w:sz w:val="20"/>
                <w:szCs w:val="20"/>
              </w:rPr>
            </w:pPr>
            <w:r w:rsidRPr="00A750B5">
              <w:rPr>
                <w:sz w:val="20"/>
                <w:szCs w:val="20"/>
              </w:rPr>
              <w:t>3.4</w:t>
            </w:r>
          </w:p>
        </w:tc>
        <w:tc>
          <w:tcPr>
            <w:tcW w:w="561" w:type="pct"/>
            <w:vAlign w:val="center"/>
            <w:hideMark/>
          </w:tcPr>
          <w:p w14:paraId="0FEDCDD0" w14:textId="77777777" w:rsidR="00F61E7F" w:rsidRPr="00A750B5" w:rsidRDefault="00F61E7F" w:rsidP="001B4CE0">
            <w:pPr>
              <w:spacing w:after="0"/>
              <w:jc w:val="center"/>
              <w:rPr>
                <w:sz w:val="20"/>
                <w:szCs w:val="20"/>
              </w:rPr>
            </w:pPr>
            <w:r w:rsidRPr="00A750B5">
              <w:rPr>
                <w:sz w:val="20"/>
                <w:szCs w:val="20"/>
              </w:rPr>
              <w:t>3.3</w:t>
            </w:r>
          </w:p>
        </w:tc>
      </w:tr>
    </w:tbl>
    <w:p w14:paraId="04DEEA03" w14:textId="77777777" w:rsidR="00F61E7F" w:rsidRPr="0028482C" w:rsidRDefault="00F61E7F" w:rsidP="001B4CE0">
      <w:pPr>
        <w:pStyle w:val="a"/>
      </w:pPr>
      <w:r w:rsidRPr="0028482C">
        <w:t xml:space="preserve">Източник: МФ, Ageing report 2021 </w:t>
      </w:r>
    </w:p>
    <w:p w14:paraId="76C42843" w14:textId="2575DF03" w:rsidR="00F61E7F" w:rsidRPr="005B2032" w:rsidRDefault="00F61E7F" w:rsidP="00E360FF">
      <w:pPr>
        <w:rPr>
          <w:rFonts w:asciiTheme="minorHAnsi" w:hAnsiTheme="minorHAnsi"/>
        </w:rPr>
      </w:pPr>
      <w:r w:rsidRPr="005B2032">
        <w:t>Прогнозата на МФ за публичните разходи за образование е базирана на дългосрочната демографска прогноза и на предположението, че разходите ще се индексират с нарастването на номиналната производителност на труда. В периода след 2040</w:t>
      </w:r>
      <w:r w:rsidR="00DF07FD">
        <w:t> г.</w:t>
      </w:r>
      <w:r w:rsidRPr="005B2032">
        <w:t xml:space="preserve"> стабилизирането на демографската динамика на населението до 18 години се очаква да доведе до плавно нарастване на общите разходи за образование.</w:t>
      </w:r>
    </w:p>
    <w:p w14:paraId="5E4994DD" w14:textId="77777777" w:rsidR="00F61E7F" w:rsidRPr="005B2032" w:rsidRDefault="00F61E7F" w:rsidP="00F61E7F">
      <w:pPr>
        <w:spacing w:after="0"/>
        <w:jc w:val="left"/>
        <w:rPr>
          <w:rFonts w:asciiTheme="minorHAnsi" w:hAnsiTheme="minorHAnsi"/>
        </w:rPr>
        <w:sectPr w:rsidR="00F61E7F" w:rsidRPr="005B2032" w:rsidSect="00F61E7F">
          <w:type w:val="continuous"/>
          <w:pgSz w:w="11906" w:h="16838"/>
          <w:pgMar w:top="1418" w:right="1418" w:bottom="851" w:left="1418" w:header="680" w:footer="680" w:gutter="0"/>
          <w:cols w:space="708"/>
        </w:sectPr>
      </w:pPr>
    </w:p>
    <w:p w14:paraId="39DB14DE" w14:textId="6677E438" w:rsidR="005702A5" w:rsidRPr="00E360FF" w:rsidRDefault="00D359FF" w:rsidP="00B61D43">
      <w:pPr>
        <w:pStyle w:val="Heading2"/>
        <w:spacing w:before="0"/>
      </w:pPr>
      <w:bookmarkStart w:id="115" w:name="_Toc100906081"/>
      <w:r w:rsidRPr="00E360FF">
        <w:lastRenderedPageBreak/>
        <w:t>Условни задължения</w:t>
      </w:r>
      <w:bookmarkEnd w:id="112"/>
      <w:bookmarkEnd w:id="113"/>
      <w:bookmarkEnd w:id="114"/>
      <w:bookmarkEnd w:id="115"/>
    </w:p>
    <w:p w14:paraId="7561AE31" w14:textId="38D26C34" w:rsidR="00E63FF4" w:rsidRPr="005B2032" w:rsidRDefault="00E63FF4" w:rsidP="00E360FF">
      <w:r w:rsidRPr="005B2032">
        <w:t>Гарантираният дълг на сектор „Държавно управление“ към края на 2022</w:t>
      </w:r>
      <w:r w:rsidR="00DF07FD">
        <w:t> г.</w:t>
      </w:r>
      <w:r w:rsidRPr="005B2032">
        <w:t xml:space="preserve"> се очаква да възлезе на 623</w:t>
      </w:r>
      <w:r w:rsidR="0028482C">
        <w:t>.</w:t>
      </w:r>
      <w:r w:rsidRPr="005B2032">
        <w:t>5 млн. лв. или 0</w:t>
      </w:r>
      <w:r w:rsidR="0028482C">
        <w:t>.</w:t>
      </w:r>
      <w:r w:rsidRPr="005B2032">
        <w:t>4% от БВП, като отбелязва ръст в номинално изражение спрямо нивото</w:t>
      </w:r>
      <w:r w:rsidR="005561C4">
        <w:t>,</w:t>
      </w:r>
      <w:r w:rsidRPr="005B2032">
        <w:t xml:space="preserve"> отчетено в края на 2021</w:t>
      </w:r>
      <w:r w:rsidR="00DF07FD">
        <w:t> г.</w:t>
      </w:r>
      <w:r w:rsidRPr="005B2032">
        <w:t xml:space="preserve"> (556</w:t>
      </w:r>
      <w:r w:rsidR="0028482C">
        <w:t>.</w:t>
      </w:r>
      <w:r w:rsidRPr="005B2032">
        <w:t>1 млн. лв. или 0</w:t>
      </w:r>
      <w:r w:rsidR="0028482C">
        <w:t>.</w:t>
      </w:r>
      <w:r w:rsidRPr="005B2032">
        <w:t>4% от БВП). В отрасловата структура на гаранциите на сектора доминиращ дял от 49</w:t>
      </w:r>
      <w:r w:rsidR="0028482C">
        <w:t>.</w:t>
      </w:r>
      <w:r w:rsidRPr="005B2032">
        <w:t>8% заемат издадените гаранции по двата Европейски инструмента, създадени след избухването на пандемията от COVID-19</w:t>
      </w:r>
      <w:r w:rsidR="00DF07FD">
        <w:t xml:space="preserve"> – </w:t>
      </w:r>
      <w:r w:rsidRPr="005B2032">
        <w:t>по Европейският инструмент за временна подкрепа с цел смекчаване на рисковете от безработица при извънредни обстоятелства (SURE) и в рамките на Паневропейския гаранционен фонд. Значителен дял от 34</w:t>
      </w:r>
      <w:r w:rsidR="0028482C">
        <w:t>.</w:t>
      </w:r>
      <w:r w:rsidRPr="005B2032">
        <w:t>5</w:t>
      </w:r>
      <w:r w:rsidR="000F033A">
        <w:t>%</w:t>
      </w:r>
      <w:r w:rsidRPr="005B2032">
        <w:t xml:space="preserve"> заемат гаранциите на сектор „Енергетика“, следвани от вътрешните гаранции по реда на Закона за кредитиране на студенти и докторанти с дял от 11</w:t>
      </w:r>
      <w:r w:rsidR="0028482C">
        <w:t>.</w:t>
      </w:r>
      <w:r w:rsidRPr="005B2032">
        <w:t>2</w:t>
      </w:r>
      <w:r w:rsidR="000F033A">
        <w:t>%</w:t>
      </w:r>
      <w:r w:rsidRPr="005B2032">
        <w:t xml:space="preserve"> и другите гаранции с дял от 4</w:t>
      </w:r>
      <w:r w:rsidR="0028482C">
        <w:t>.</w:t>
      </w:r>
      <w:r w:rsidRPr="005B2032">
        <w:t>5</w:t>
      </w:r>
      <w:r w:rsidR="000F033A">
        <w:t>%</w:t>
      </w:r>
      <w:r w:rsidRPr="005B2032">
        <w:t>.</w:t>
      </w:r>
    </w:p>
    <w:p w14:paraId="3F6473C7" w14:textId="2753B0CB" w:rsidR="00E63FF4" w:rsidRPr="005B2032" w:rsidRDefault="00E63FF4" w:rsidP="0002274C">
      <w:pPr>
        <w:tabs>
          <w:tab w:val="num" w:pos="741"/>
          <w:tab w:val="left" w:pos="2736"/>
          <w:tab w:val="center" w:pos="4153"/>
          <w:tab w:val="right" w:pos="8306"/>
        </w:tabs>
        <w:rPr>
          <w:bCs/>
          <w:szCs w:val="24"/>
        </w:rPr>
      </w:pPr>
      <w:r w:rsidRPr="005B2032">
        <w:rPr>
          <w:bCs/>
          <w:szCs w:val="24"/>
        </w:rPr>
        <w:t>През 2022</w:t>
      </w:r>
      <w:r w:rsidR="00DF07FD">
        <w:rPr>
          <w:bCs/>
          <w:szCs w:val="24"/>
        </w:rPr>
        <w:t> г.</w:t>
      </w:r>
      <w:r w:rsidRPr="005B2032">
        <w:rPr>
          <w:bCs/>
          <w:szCs w:val="24"/>
        </w:rPr>
        <w:t xml:space="preserve"> се планира да се извършват усвоявания основно по държавногарантирания заем от Европейската инвестиционна банка</w:t>
      </w:r>
      <w:r w:rsidR="009D5B59">
        <w:rPr>
          <w:bCs/>
          <w:szCs w:val="24"/>
        </w:rPr>
        <w:t xml:space="preserve"> (ЕИБ)</w:t>
      </w:r>
      <w:r w:rsidRPr="005B2032">
        <w:rPr>
          <w:bCs/>
          <w:szCs w:val="24"/>
        </w:rPr>
        <w:t xml:space="preserve"> за реализация на проекта „Междусистемна газова връзка Гърция-България“ и по Европейския инструмент за временна подкрепа SURE.</w:t>
      </w:r>
    </w:p>
    <w:p w14:paraId="0BBA7B61" w14:textId="296FC494" w:rsidR="00E63FF4" w:rsidRPr="005B2032" w:rsidRDefault="00E63FF4" w:rsidP="0002274C">
      <w:pPr>
        <w:tabs>
          <w:tab w:val="num" w:pos="741"/>
          <w:tab w:val="left" w:pos="2736"/>
          <w:tab w:val="center" w:pos="4153"/>
          <w:tab w:val="right" w:pos="8306"/>
        </w:tabs>
        <w:rPr>
          <w:bCs/>
          <w:szCs w:val="24"/>
        </w:rPr>
      </w:pPr>
      <w:r w:rsidRPr="005B2032">
        <w:rPr>
          <w:bCs/>
          <w:szCs w:val="24"/>
        </w:rPr>
        <w:t>Гарантираният дълг на сектор „Държавно управление“ се формира главно от издадените от подсектор „Централно управление“ гаранции с дял от 99</w:t>
      </w:r>
      <w:r w:rsidR="0028482C">
        <w:rPr>
          <w:bCs/>
          <w:szCs w:val="24"/>
        </w:rPr>
        <w:t>.</w:t>
      </w:r>
      <w:r w:rsidRPr="005B2032">
        <w:rPr>
          <w:bCs/>
          <w:szCs w:val="24"/>
        </w:rPr>
        <w:t>7</w:t>
      </w:r>
      <w:r w:rsidR="000F033A">
        <w:rPr>
          <w:bCs/>
          <w:szCs w:val="24"/>
        </w:rPr>
        <w:t>%</w:t>
      </w:r>
      <w:r w:rsidRPr="005B2032">
        <w:rPr>
          <w:bCs/>
          <w:szCs w:val="24"/>
        </w:rPr>
        <w:t xml:space="preserve"> и от подсектор „Местно управление“ с дял от около 0</w:t>
      </w:r>
      <w:r w:rsidR="0028482C">
        <w:rPr>
          <w:bCs/>
          <w:szCs w:val="24"/>
        </w:rPr>
        <w:t>.</w:t>
      </w:r>
      <w:r w:rsidRPr="005B2032">
        <w:rPr>
          <w:bCs/>
          <w:szCs w:val="24"/>
        </w:rPr>
        <w:t>3</w:t>
      </w:r>
      <w:r w:rsidR="000F033A">
        <w:rPr>
          <w:bCs/>
          <w:szCs w:val="24"/>
        </w:rPr>
        <w:t>%</w:t>
      </w:r>
      <w:r w:rsidRPr="005B2032">
        <w:rPr>
          <w:bCs/>
          <w:szCs w:val="24"/>
        </w:rPr>
        <w:t>.</w:t>
      </w:r>
    </w:p>
    <w:p w14:paraId="0D05AB9F" w14:textId="1926C58C" w:rsidR="00E63FF4" w:rsidRPr="005B2032" w:rsidRDefault="00E63FF4" w:rsidP="0002274C">
      <w:pPr>
        <w:tabs>
          <w:tab w:val="num" w:pos="741"/>
          <w:tab w:val="left" w:pos="2736"/>
          <w:tab w:val="center" w:pos="4153"/>
          <w:tab w:val="right" w:pos="8306"/>
        </w:tabs>
        <w:rPr>
          <w:bCs/>
          <w:szCs w:val="24"/>
        </w:rPr>
      </w:pPr>
      <w:r w:rsidRPr="005B2032">
        <w:rPr>
          <w:bCs/>
          <w:szCs w:val="24"/>
        </w:rPr>
        <w:t>През 2023</w:t>
      </w:r>
      <w:r w:rsidR="008010F6">
        <w:rPr>
          <w:rFonts w:cstheme="minorHAnsi"/>
          <w:lang w:val="en-US"/>
        </w:rPr>
        <w:t>–</w:t>
      </w:r>
      <w:r w:rsidRPr="005B2032">
        <w:rPr>
          <w:bCs/>
          <w:szCs w:val="24"/>
        </w:rPr>
        <w:t>2025</w:t>
      </w:r>
      <w:r w:rsidR="00DF07FD">
        <w:rPr>
          <w:bCs/>
          <w:szCs w:val="24"/>
        </w:rPr>
        <w:t> г.</w:t>
      </w:r>
      <w:r w:rsidRPr="005B2032">
        <w:rPr>
          <w:bCs/>
          <w:szCs w:val="24"/>
        </w:rPr>
        <w:t xml:space="preserve"> се очаква номиналният размер на гарантирания дълг на сектор „Държавно управление“ слабо да намалее и в края на периода да достигне до около 621</w:t>
      </w:r>
      <w:r w:rsidR="0028482C">
        <w:rPr>
          <w:bCs/>
          <w:szCs w:val="24"/>
        </w:rPr>
        <w:t>.</w:t>
      </w:r>
      <w:r w:rsidRPr="005B2032">
        <w:rPr>
          <w:bCs/>
          <w:szCs w:val="24"/>
        </w:rPr>
        <w:t>4 млн. лв., а като съотношение спрямо прогнозния БВП да възлезе на около 0</w:t>
      </w:r>
      <w:r w:rsidR="0028482C">
        <w:rPr>
          <w:bCs/>
          <w:szCs w:val="24"/>
        </w:rPr>
        <w:t>.</w:t>
      </w:r>
      <w:r w:rsidRPr="005B2032">
        <w:rPr>
          <w:bCs/>
          <w:szCs w:val="24"/>
        </w:rPr>
        <w:t>3</w:t>
      </w:r>
      <w:r w:rsidR="000F033A">
        <w:rPr>
          <w:bCs/>
          <w:szCs w:val="24"/>
        </w:rPr>
        <w:t>%</w:t>
      </w:r>
      <w:r w:rsidR="005561C4">
        <w:rPr>
          <w:bCs/>
          <w:szCs w:val="24"/>
        </w:rPr>
        <w:t>. Очакваното намаление е в</w:t>
      </w:r>
      <w:r w:rsidRPr="005B2032">
        <w:rPr>
          <w:bCs/>
          <w:szCs w:val="24"/>
        </w:rPr>
        <w:t>следствие предимно на извършваните регулярни погашения по договорите за заеми. Към момента не се планира издаване на нови държавни гаранции за финансиране на проекти или програми от международни или европейски институции. По отношение на вътрешния гарантиран дълг, държавата ще продължи да осигурява финансова подкрепа при кредитирането на студенти и докторанти по реда на Закона за кредитиране на студентите и докторантите.</w:t>
      </w:r>
    </w:p>
    <w:p w14:paraId="4D6DD632" w14:textId="2CCE9A64" w:rsidR="008C7B61" w:rsidRPr="005561C4" w:rsidRDefault="008C7B61" w:rsidP="0002274C">
      <w:pPr>
        <w:tabs>
          <w:tab w:val="num" w:pos="741"/>
          <w:tab w:val="left" w:pos="2736"/>
          <w:tab w:val="center" w:pos="4153"/>
          <w:tab w:val="right" w:pos="8306"/>
        </w:tabs>
        <w:rPr>
          <w:b/>
          <w:bCs/>
          <w:szCs w:val="24"/>
        </w:rPr>
      </w:pPr>
      <w:r w:rsidRPr="005561C4">
        <w:rPr>
          <w:b/>
          <w:bCs/>
          <w:szCs w:val="24"/>
        </w:rPr>
        <w:t>Условни задължения,</w:t>
      </w:r>
      <w:r w:rsidRPr="005561C4">
        <w:rPr>
          <w:b/>
        </w:rPr>
        <w:t xml:space="preserve"> </w:t>
      </w:r>
      <w:r w:rsidRPr="005561C4">
        <w:rPr>
          <w:b/>
          <w:bCs/>
          <w:szCs w:val="24"/>
        </w:rPr>
        <w:t>с потенциално значително въздействие върху сектор „Държавно управление“:</w:t>
      </w:r>
    </w:p>
    <w:p w14:paraId="09BF1EB3" w14:textId="3A8CEFF6" w:rsidR="008C7B61" w:rsidRPr="005B2032" w:rsidRDefault="008C7B61" w:rsidP="00E360FF">
      <w:pPr>
        <w:rPr>
          <w:noProof/>
        </w:rPr>
      </w:pPr>
      <w:r w:rsidRPr="005B2032">
        <w:rPr>
          <w:noProof/>
        </w:rPr>
        <w:t>В съответствие с т. 1.7 от Решение № 38 на МС от 27 януари 2022</w:t>
      </w:r>
      <w:r w:rsidR="00DF07FD">
        <w:rPr>
          <w:noProof/>
        </w:rPr>
        <w:t> г.</w:t>
      </w:r>
      <w:r w:rsidRPr="005B2032">
        <w:rPr>
          <w:noProof/>
        </w:rPr>
        <w:t xml:space="preserve"> за бюджетната процедура за 2023</w:t>
      </w:r>
      <w:r w:rsidR="00DF07FD">
        <w:rPr>
          <w:noProof/>
        </w:rPr>
        <w:t> г.</w:t>
      </w:r>
      <w:r w:rsidRPr="005B2032">
        <w:rPr>
          <w:noProof/>
        </w:rPr>
        <w:t xml:space="preserve"> и във връзка с чл. 73, т. 8 от Закона за публичните финанси, обект на наблюдение са всички държавни и общински предприятия с общ размер на задълженията към 31.12.2020</w:t>
      </w:r>
      <w:r w:rsidR="00DF07FD">
        <w:rPr>
          <w:noProof/>
        </w:rPr>
        <w:t> г.</w:t>
      </w:r>
      <w:r w:rsidRPr="005B2032">
        <w:rPr>
          <w:noProof/>
        </w:rPr>
        <w:t xml:space="preserve"> над 0</w:t>
      </w:r>
      <w:r w:rsidR="0028482C">
        <w:rPr>
          <w:noProof/>
        </w:rPr>
        <w:t>.</w:t>
      </w:r>
      <w:r w:rsidRPr="005B2032">
        <w:rPr>
          <w:noProof/>
        </w:rPr>
        <w:t>1% от Брутния вътрешен продукт на страната, които не са част от консолидираната фискална програма и не попадат в обхвата на сектор „Държавно управление“. Същите следва да представят информация и оценка на прогнозите за приходите и разходите и за активите и пасивите с отчетни данни за 2020 и 2021</w:t>
      </w:r>
      <w:r w:rsidR="00DF07FD">
        <w:rPr>
          <w:noProof/>
        </w:rPr>
        <w:t> г.</w:t>
      </w:r>
      <w:r w:rsidRPr="005B2032">
        <w:rPr>
          <w:noProof/>
        </w:rPr>
        <w:t>, разчет за 2022</w:t>
      </w:r>
      <w:r w:rsidR="00DF07FD">
        <w:rPr>
          <w:noProof/>
        </w:rPr>
        <w:t> г.</w:t>
      </w:r>
      <w:r w:rsidRPr="005B2032">
        <w:rPr>
          <w:noProof/>
        </w:rPr>
        <w:t xml:space="preserve"> и прогноза за периода 2023</w:t>
      </w:r>
      <w:r w:rsidR="00F25F58" w:rsidRPr="005B2032">
        <w:rPr>
          <w:noProof/>
        </w:rPr>
        <w:t>–</w:t>
      </w:r>
      <w:r w:rsidRPr="005B2032">
        <w:rPr>
          <w:noProof/>
        </w:rPr>
        <w:t>2025</w:t>
      </w:r>
      <w:r w:rsidR="00DF07FD">
        <w:rPr>
          <w:noProof/>
        </w:rPr>
        <w:t> г.</w:t>
      </w:r>
    </w:p>
    <w:p w14:paraId="77C28BF9" w14:textId="674F9EED" w:rsidR="008C7B61" w:rsidRPr="005B2032" w:rsidRDefault="008C7B61" w:rsidP="00E360FF">
      <w:pPr>
        <w:rPr>
          <w:noProof/>
        </w:rPr>
      </w:pPr>
      <w:r w:rsidRPr="005B2032">
        <w:rPr>
          <w:noProof/>
        </w:rPr>
        <w:t xml:space="preserve">На база на получената информация, </w:t>
      </w:r>
      <w:r w:rsidR="008010F6">
        <w:rPr>
          <w:noProof/>
        </w:rPr>
        <w:t>за четиригодишния период 2022–</w:t>
      </w:r>
      <w:r w:rsidRPr="005B2032">
        <w:rPr>
          <w:noProof/>
        </w:rPr>
        <w:t>2025</w:t>
      </w:r>
      <w:r w:rsidR="00DF07FD">
        <w:rPr>
          <w:noProof/>
        </w:rPr>
        <w:t> г.</w:t>
      </w:r>
      <w:r w:rsidRPr="005B2032">
        <w:rPr>
          <w:noProof/>
        </w:rPr>
        <w:t xml:space="preserve"> се прогнозира намаление на задълженията на държавните дружества от нефинансовия сектор, обект на наблюдение, със 35</w:t>
      </w:r>
      <w:r w:rsidR="0028482C">
        <w:rPr>
          <w:noProof/>
        </w:rPr>
        <w:t>.</w:t>
      </w:r>
      <w:r w:rsidRPr="005B2032">
        <w:rPr>
          <w:noProof/>
        </w:rPr>
        <w:t>45%. Отчетеният към 31.12.2021</w:t>
      </w:r>
      <w:r w:rsidR="00DF07FD">
        <w:rPr>
          <w:noProof/>
        </w:rPr>
        <w:t> г.</w:t>
      </w:r>
      <w:r w:rsidRPr="005B2032">
        <w:rPr>
          <w:noProof/>
        </w:rPr>
        <w:t xml:space="preserve"> размер на дългосрочните и краткосрочните задължения на тези дружества е общо 9</w:t>
      </w:r>
      <w:r w:rsidR="0028482C">
        <w:rPr>
          <w:noProof/>
        </w:rPr>
        <w:t>.</w:t>
      </w:r>
      <w:r w:rsidRPr="005B2032">
        <w:rPr>
          <w:noProof/>
        </w:rPr>
        <w:t>4 млрд. лв., като към 31.12.2025</w:t>
      </w:r>
      <w:r w:rsidR="00DF07FD">
        <w:rPr>
          <w:noProof/>
        </w:rPr>
        <w:t> г.</w:t>
      </w:r>
      <w:r w:rsidRPr="005B2032">
        <w:rPr>
          <w:noProof/>
        </w:rPr>
        <w:t xml:space="preserve"> прогнозите са същите да са в размер на 6 млрд. лв.</w:t>
      </w:r>
    </w:p>
    <w:p w14:paraId="36C52438" w14:textId="1A0DDD33" w:rsidR="006109E4" w:rsidRPr="005B2032" w:rsidRDefault="008C7B61" w:rsidP="00E360FF">
      <w:pPr>
        <w:rPr>
          <w:rFonts w:asciiTheme="minorHAnsi" w:eastAsia="Times New Roman" w:hAnsiTheme="minorHAnsi" w:cstheme="minorHAnsi"/>
          <w:bCs/>
          <w:highlight w:val="yellow"/>
        </w:rPr>
      </w:pPr>
      <w:r w:rsidRPr="005B2032">
        <w:rPr>
          <w:noProof/>
        </w:rPr>
        <w:t>Сумарният коефициент на задлъжнялост се понижава от 0</w:t>
      </w:r>
      <w:r w:rsidR="0028482C">
        <w:rPr>
          <w:noProof/>
        </w:rPr>
        <w:t>.</w:t>
      </w:r>
      <w:r w:rsidRPr="005B2032">
        <w:rPr>
          <w:noProof/>
        </w:rPr>
        <w:t>76 към 31.12.2021</w:t>
      </w:r>
      <w:r w:rsidR="00DF07FD">
        <w:rPr>
          <w:noProof/>
        </w:rPr>
        <w:t> г.</w:t>
      </w:r>
      <w:r w:rsidRPr="005B2032">
        <w:rPr>
          <w:noProof/>
        </w:rPr>
        <w:t xml:space="preserve"> до 0</w:t>
      </w:r>
      <w:r w:rsidR="0071309E">
        <w:rPr>
          <w:noProof/>
        </w:rPr>
        <w:t>.</w:t>
      </w:r>
      <w:r w:rsidRPr="005B2032">
        <w:rPr>
          <w:noProof/>
        </w:rPr>
        <w:t>50 в края на периода. Сумарното съотношение на дълга на тези дружества спрямо активите им намалява с 0</w:t>
      </w:r>
      <w:r w:rsidR="0028482C">
        <w:rPr>
          <w:noProof/>
        </w:rPr>
        <w:t>.</w:t>
      </w:r>
      <w:r w:rsidRPr="005B2032">
        <w:rPr>
          <w:noProof/>
        </w:rPr>
        <w:t>10 през прогнозния период до 0</w:t>
      </w:r>
      <w:r w:rsidR="0028482C">
        <w:rPr>
          <w:noProof/>
        </w:rPr>
        <w:t>.</w:t>
      </w:r>
      <w:r w:rsidRPr="005B2032">
        <w:rPr>
          <w:noProof/>
        </w:rPr>
        <w:t>33. Коефициентът на ликвидност остава стабилен на ниво от над 1</w:t>
      </w:r>
      <w:r w:rsidR="0028482C">
        <w:rPr>
          <w:noProof/>
        </w:rPr>
        <w:t>.</w:t>
      </w:r>
      <w:r w:rsidR="00E360FF">
        <w:rPr>
          <w:noProof/>
        </w:rPr>
        <w:t>6 през целия период 2021</w:t>
      </w:r>
      <w:r w:rsidRPr="005B2032">
        <w:rPr>
          <w:noProof/>
        </w:rPr>
        <w:t>–2025</w:t>
      </w:r>
      <w:r w:rsidR="00DF07FD">
        <w:rPr>
          <w:noProof/>
        </w:rPr>
        <w:t> г.</w:t>
      </w:r>
    </w:p>
    <w:p w14:paraId="440B382F" w14:textId="77777777" w:rsidR="006109E4" w:rsidRPr="005B2032" w:rsidRDefault="006109E4" w:rsidP="000E4274">
      <w:pPr>
        <w:rPr>
          <w:rFonts w:asciiTheme="minorHAnsi" w:hAnsiTheme="minorHAnsi" w:cstheme="minorHAnsi"/>
        </w:rPr>
        <w:sectPr w:rsidR="006109E4" w:rsidRPr="005B2032" w:rsidSect="00202EFA">
          <w:headerReference w:type="default" r:id="rId60"/>
          <w:type w:val="continuous"/>
          <w:pgSz w:w="11906" w:h="16838" w:code="9"/>
          <w:pgMar w:top="1418" w:right="1418" w:bottom="851" w:left="1418" w:header="680" w:footer="680" w:gutter="0"/>
          <w:cols w:space="708"/>
          <w:docGrid w:linePitch="360"/>
        </w:sectPr>
      </w:pPr>
    </w:p>
    <w:p w14:paraId="7D77339E" w14:textId="77777777" w:rsidR="00D359FF" w:rsidRPr="00E360FF" w:rsidRDefault="00D359FF" w:rsidP="00E360FF">
      <w:pPr>
        <w:pStyle w:val="Heading1"/>
      </w:pPr>
      <w:bookmarkStart w:id="116" w:name="_Toc352851611"/>
      <w:bookmarkStart w:id="117" w:name="_Toc448227300"/>
      <w:bookmarkStart w:id="118" w:name="_Toc479332452"/>
      <w:bookmarkStart w:id="119" w:name="_Toc100906082"/>
      <w:r w:rsidRPr="00E360FF">
        <w:lastRenderedPageBreak/>
        <w:t xml:space="preserve">Качество на публичните </w:t>
      </w:r>
      <w:r w:rsidR="00894746" w:rsidRPr="00E360FF">
        <w:br/>
      </w:r>
      <w:r w:rsidRPr="00E360FF">
        <w:t>финанси</w:t>
      </w:r>
      <w:bookmarkEnd w:id="116"/>
      <w:bookmarkEnd w:id="117"/>
      <w:bookmarkEnd w:id="118"/>
      <w:bookmarkEnd w:id="119"/>
    </w:p>
    <w:p w14:paraId="61043EB7" w14:textId="77777777" w:rsidR="0021315B" w:rsidRPr="00E360FF" w:rsidRDefault="00D359FF" w:rsidP="00E360FF">
      <w:pPr>
        <w:pStyle w:val="Heading2"/>
      </w:pPr>
      <w:bookmarkStart w:id="120" w:name="_Toc352851612"/>
      <w:bookmarkStart w:id="121" w:name="_Toc448227301"/>
      <w:bookmarkStart w:id="122" w:name="_Toc479332453"/>
      <w:bookmarkStart w:id="123" w:name="_Toc100906083"/>
      <w:r w:rsidRPr="00E360FF">
        <w:t>Стратегия на политиката</w:t>
      </w:r>
      <w:bookmarkEnd w:id="120"/>
      <w:bookmarkEnd w:id="121"/>
      <w:bookmarkEnd w:id="122"/>
      <w:bookmarkEnd w:id="123"/>
    </w:p>
    <w:p w14:paraId="1FFB1C35" w14:textId="77777777" w:rsidR="003E05B8" w:rsidRPr="00682446" w:rsidRDefault="003E05B8" w:rsidP="00E360FF">
      <w:bookmarkStart w:id="124" w:name="_Toc352851613"/>
      <w:bookmarkStart w:id="125" w:name="_Toc448227302"/>
      <w:bookmarkStart w:id="126" w:name="_Toc479332454"/>
      <w:r w:rsidRPr="00682446">
        <w:t>Стратегията на политиката в областта на качеството на публичните финанси следва последователните действия за институционални, нормативни и методологически промени в посока на подобряване управлението на публичните финанси.</w:t>
      </w:r>
    </w:p>
    <w:p w14:paraId="7F75D718" w14:textId="77777777" w:rsidR="003E05B8" w:rsidRPr="00682446" w:rsidRDefault="003E05B8" w:rsidP="00E360FF">
      <w:r w:rsidRPr="00682446">
        <w:t>Постигането на устойчива средносрочна фискална рамка и нейното реализиране са свързани с реализирането на мерки за повишаване на качеството на публичните финанси, изразяващи се в подобряване на бюджетния процес, усъвършенстване на бюджетните документи, утвърждаване прилагането на добри бюджетни практики и проследяване на ефектите от провежданите секторни политики чрез мониторинг на ключовите индикатори за измерване на напредъка по отношение изпълнението на стратегическите цели на политиките и постигането на очакваните ползи/ефекти за обществото.</w:t>
      </w:r>
    </w:p>
    <w:p w14:paraId="66C9BC9C" w14:textId="77777777" w:rsidR="003E05B8" w:rsidRPr="00682446" w:rsidRDefault="003E05B8" w:rsidP="003E05B8">
      <w:pPr>
        <w:rPr>
          <w:rFonts w:eastAsia="Batang" w:cstheme="minorHAnsi"/>
        </w:rPr>
      </w:pPr>
      <w:r w:rsidRPr="00682446">
        <w:rPr>
          <w:rFonts w:eastAsia="Batang" w:cstheme="minorHAnsi"/>
        </w:rPr>
        <w:t>Въпреки</w:t>
      </w:r>
      <w:r w:rsidRPr="00682446">
        <w:rPr>
          <w:rFonts w:cstheme="minorHAnsi"/>
        </w:rPr>
        <w:t xml:space="preserve"> глобалните предизвикателства и свързаните с тях рискове, пораждащи </w:t>
      </w:r>
      <w:r w:rsidRPr="00682446">
        <w:rPr>
          <w:rFonts w:eastAsia="Batang" w:cstheme="minorHAnsi"/>
        </w:rPr>
        <w:t>несигурност относно макроикономическото и фискално развитие, продължават усилията за постигане на по-добра обвързаност между финансирането на провежданите политики и постигнатите резултати от изпълнението им. Пр</w:t>
      </w:r>
      <w:r>
        <w:rPr>
          <w:rFonts w:eastAsia="Batang" w:cstheme="minorHAnsi"/>
        </w:rPr>
        <w:t xml:space="preserve">одължава наложилата се през последните години добра </w:t>
      </w:r>
      <w:r w:rsidRPr="00682446">
        <w:rPr>
          <w:rFonts w:eastAsia="Batang" w:cstheme="minorHAnsi"/>
        </w:rPr>
        <w:t>практика в средносрочната бюджетна прогноза и в нейната актуализация да се помества информация за</w:t>
      </w:r>
      <w:r>
        <w:rPr>
          <w:rFonts w:eastAsia="Batang" w:cstheme="minorHAnsi"/>
        </w:rPr>
        <w:t xml:space="preserve"> развитието на разходните политики и съответстващите им </w:t>
      </w:r>
      <w:r w:rsidRPr="00682446">
        <w:rPr>
          <w:rFonts w:eastAsia="Batang" w:cstheme="minorHAnsi"/>
        </w:rPr>
        <w:t>ключови индикатори за измерване на степента на постигане на целите на политиките, провеждани от ор</w:t>
      </w:r>
      <w:r>
        <w:rPr>
          <w:rFonts w:eastAsia="Batang" w:cstheme="minorHAnsi"/>
        </w:rPr>
        <w:t>ганите на изпълнителната власт.</w:t>
      </w:r>
      <w:r w:rsidRPr="00682446">
        <w:rPr>
          <w:rFonts w:eastAsia="Batang" w:cstheme="minorHAnsi"/>
        </w:rPr>
        <w:t xml:space="preserve"> Тяхното последващо надграждане ще бъде обвързано със залагането на нови и ревизирани политики и провеждането на реформи, след по-задълбочен преглед и </w:t>
      </w:r>
      <w:r>
        <w:rPr>
          <w:rFonts w:eastAsia="Batang" w:cstheme="minorHAnsi"/>
        </w:rPr>
        <w:t xml:space="preserve">във </w:t>
      </w:r>
      <w:r w:rsidRPr="00682446">
        <w:rPr>
          <w:rFonts w:eastAsia="Batang" w:cstheme="minorHAnsi"/>
        </w:rPr>
        <w:t xml:space="preserve">връзка с предстоящото приемане на програма на правителството, като промяната на политики, мерки и допускания ще бъде обвързана и с </w:t>
      </w:r>
      <w:r>
        <w:rPr>
          <w:rFonts w:eastAsia="Batang" w:cstheme="minorHAnsi"/>
        </w:rPr>
        <w:t>актуализация</w:t>
      </w:r>
      <w:r w:rsidRPr="00682446">
        <w:rPr>
          <w:rFonts w:eastAsia="Batang" w:cstheme="minorHAnsi"/>
        </w:rPr>
        <w:t xml:space="preserve"> на съответстващите им ключови индикатори и целеви стойности.</w:t>
      </w:r>
    </w:p>
    <w:p w14:paraId="6455A77A" w14:textId="77777777" w:rsidR="003E05B8" w:rsidRPr="00682446" w:rsidRDefault="003E05B8" w:rsidP="003E05B8">
      <w:pPr>
        <w:rPr>
          <w:rFonts w:eastAsia="Batang" w:cstheme="minorHAnsi"/>
        </w:rPr>
      </w:pPr>
      <w:r w:rsidRPr="00682446">
        <w:rPr>
          <w:rFonts w:eastAsia="Batang" w:cstheme="minorHAnsi"/>
        </w:rPr>
        <w:t>В средносрочен план се очаква натрупването на информация по дефинираните ключови индикатори за изпълнение да допринесе за създаване на устойчива база за мониторинг и проследяване на тенденции</w:t>
      </w:r>
      <w:r>
        <w:rPr>
          <w:rFonts w:eastAsia="Batang" w:cstheme="minorHAnsi"/>
        </w:rPr>
        <w:t>, в т.ч. прегледи на разходите</w:t>
      </w:r>
      <w:r w:rsidRPr="00682446">
        <w:rPr>
          <w:rFonts w:eastAsia="Batang" w:cstheme="minorHAnsi"/>
        </w:rPr>
        <w:t>, както и за оценка на връзката между стратегическите цели на бюджетните организации и изпълняваните от тях политики/бюджетни програми.</w:t>
      </w:r>
    </w:p>
    <w:p w14:paraId="4506E85C" w14:textId="0EF06279" w:rsidR="003E05B8" w:rsidRPr="00682446" w:rsidRDefault="003E05B8" w:rsidP="003E05B8">
      <w:pPr>
        <w:rPr>
          <w:rFonts w:eastAsia="Batang" w:cstheme="minorHAnsi"/>
        </w:rPr>
      </w:pPr>
      <w:r w:rsidRPr="00682446">
        <w:rPr>
          <w:rFonts w:eastAsia="Batang" w:cstheme="minorHAnsi"/>
        </w:rPr>
        <w:t>Независимо от установената трайна уредба на бюджетната рамка с приемането на Закона за публичните финанси през 2013</w:t>
      </w:r>
      <w:r w:rsidR="00DF07FD">
        <w:rPr>
          <w:rFonts w:eastAsia="Batang" w:cstheme="minorHAnsi"/>
        </w:rPr>
        <w:t> г.</w:t>
      </w:r>
      <w:r w:rsidRPr="00682446">
        <w:rPr>
          <w:rFonts w:eastAsia="Batang" w:cstheme="minorHAnsi"/>
        </w:rPr>
        <w:t>, продължават усилията за усъвършенстване на нормативната база в областта на бюджета, които са съпроводени от наблюдение и анализ на прилагането на бюджетното законодателство и на бюджетните практики, както и на спазването на фискалните правила.</w:t>
      </w:r>
    </w:p>
    <w:p w14:paraId="350CE09F" w14:textId="0C7CB5EA" w:rsidR="003E05B8" w:rsidRPr="00682446" w:rsidRDefault="003E05B8" w:rsidP="003E05B8">
      <w:pPr>
        <w:rPr>
          <w:rFonts w:eastAsia="Batang" w:cstheme="minorHAnsi"/>
        </w:rPr>
      </w:pPr>
      <w:r w:rsidRPr="00682446">
        <w:rPr>
          <w:rFonts w:eastAsia="Batang" w:cstheme="minorHAnsi"/>
          <w:bCs/>
        </w:rPr>
        <w:t>Във връзка с проведените парламентарни избори в края на 2021</w:t>
      </w:r>
      <w:r w:rsidR="00DF07FD">
        <w:rPr>
          <w:rFonts w:eastAsia="Batang" w:cstheme="minorHAnsi"/>
          <w:bCs/>
        </w:rPr>
        <w:t> г.</w:t>
      </w:r>
      <w:r w:rsidRPr="00682446">
        <w:rPr>
          <w:rFonts w:eastAsia="Batang" w:cstheme="minorHAnsi"/>
          <w:bCs/>
        </w:rPr>
        <w:t xml:space="preserve"> и решенията на Народното събрание за избиране на Министерския съвет и приемане на неговата структура, както и необходимостта от дефиниране на политики в средносрочен хоризонт в съответствие с приоритетите, залегнали в Споразумението за управление на Република България </w:t>
      </w:r>
      <w:r w:rsidRPr="00682446">
        <w:rPr>
          <w:rFonts w:eastAsia="Batang" w:cstheme="minorHAnsi"/>
          <w:bCs/>
        </w:rPr>
        <w:lastRenderedPageBreak/>
        <w:t>в период 2021</w:t>
      </w:r>
      <w:r w:rsidR="008010F6">
        <w:rPr>
          <w:rFonts w:cstheme="minorHAnsi"/>
          <w:lang w:val="en-US"/>
        </w:rPr>
        <w:t>–</w:t>
      </w:r>
      <w:r w:rsidRPr="00682446">
        <w:rPr>
          <w:rFonts w:eastAsia="Batang" w:cstheme="minorHAnsi"/>
          <w:bCs/>
        </w:rPr>
        <w:t>2025</w:t>
      </w:r>
      <w:r w:rsidR="00DF07FD">
        <w:rPr>
          <w:rFonts w:eastAsia="Batang" w:cstheme="minorHAnsi"/>
          <w:bCs/>
        </w:rPr>
        <w:t> г.</w:t>
      </w:r>
      <w:r w:rsidRPr="00682446">
        <w:rPr>
          <w:rFonts w:eastAsia="Batang" w:cstheme="minorHAnsi"/>
          <w:bCs/>
        </w:rPr>
        <w:t>, Министерският съвет с Решение № 52 от 2022</w:t>
      </w:r>
      <w:r w:rsidR="00DF07FD">
        <w:rPr>
          <w:rFonts w:eastAsia="Batang" w:cstheme="minorHAnsi"/>
          <w:bCs/>
        </w:rPr>
        <w:t> г.</w:t>
      </w:r>
      <w:r w:rsidRPr="00682446">
        <w:rPr>
          <w:rFonts w:eastAsia="Batang" w:cstheme="minorHAnsi"/>
          <w:bCs/>
        </w:rPr>
        <w:t xml:space="preserve"> утвърди класификация на областите на политики/функционалните области и бюджетните програми от компетентността и отговорността на съответния първостепенен разпоредител с бюджет, чийто бюджет се включва в държавния бюджет, с изключение на първостепенните разпоредители с бюджет по бюджетите на Народното събрание и на съдебната власт, за периода 2022</w:t>
      </w:r>
      <w:r w:rsidR="008010F6">
        <w:rPr>
          <w:rFonts w:cstheme="minorHAnsi"/>
          <w:lang w:val="en-US"/>
        </w:rPr>
        <w:t>–</w:t>
      </w:r>
      <w:r w:rsidRPr="00682446">
        <w:rPr>
          <w:rFonts w:eastAsia="Batang" w:cstheme="minorHAnsi"/>
          <w:bCs/>
        </w:rPr>
        <w:t>2025</w:t>
      </w:r>
      <w:r w:rsidR="00DF07FD">
        <w:rPr>
          <w:rFonts w:eastAsia="Batang" w:cstheme="minorHAnsi"/>
          <w:bCs/>
        </w:rPr>
        <w:t> г.</w:t>
      </w:r>
      <w:r w:rsidRPr="00682446">
        <w:rPr>
          <w:rFonts w:eastAsia="Batang" w:cstheme="minorHAnsi"/>
        </w:rPr>
        <w:t xml:space="preserve"> </w:t>
      </w:r>
    </w:p>
    <w:p w14:paraId="4A120D60" w14:textId="77777777" w:rsidR="003E05B8" w:rsidRDefault="003E05B8" w:rsidP="003E05B8">
      <w:pPr>
        <w:rPr>
          <w:rFonts w:eastAsia="Batang" w:cstheme="minorHAnsi"/>
        </w:rPr>
      </w:pPr>
      <w:r w:rsidRPr="00682446">
        <w:rPr>
          <w:rFonts w:eastAsia="Batang" w:cstheme="minorHAnsi"/>
        </w:rPr>
        <w:t>Качеството на публичните финанси се гради на основата на разработваните макроикономически и бюджетни прогнози в подкрепа на провежданата от правителството благоразумна фискална политика, като за целта е необходим коректив – независим орган, който със своите функции да насърчава устойчивостта на бюджетната рамка, в т.ч. и като следи за спазването на фискалните правила, както за наличието на корективни механизми в случаи на отклонения от поставените цели.</w:t>
      </w:r>
      <w:r>
        <w:rPr>
          <w:rFonts w:eastAsia="Batang" w:cstheme="minorHAnsi"/>
        </w:rPr>
        <w:t xml:space="preserve"> </w:t>
      </w:r>
    </w:p>
    <w:p w14:paraId="3197FF02" w14:textId="77777777" w:rsidR="003E05B8" w:rsidRPr="00682446" w:rsidRDefault="003E05B8" w:rsidP="003E05B8">
      <w:pPr>
        <w:rPr>
          <w:rFonts w:eastAsia="Batang" w:cstheme="minorHAnsi"/>
        </w:rPr>
      </w:pPr>
      <w:r w:rsidRPr="00682446">
        <w:rPr>
          <w:rFonts w:eastAsia="Batang" w:cstheme="minorHAnsi"/>
        </w:rPr>
        <w:t>Засилената рамка за фискално управление в рамките на ЕС разшири ролята и официализира задачите на националните независими фискални институции, което намери място в националното законодателство.</w:t>
      </w:r>
      <w:r>
        <w:rPr>
          <w:rFonts w:eastAsia="Batang" w:cstheme="minorHAnsi"/>
        </w:rPr>
        <w:t xml:space="preserve"> А</w:t>
      </w:r>
      <w:r w:rsidRPr="00682446">
        <w:rPr>
          <w:rFonts w:eastAsia="Batang" w:cstheme="minorHAnsi"/>
        </w:rPr>
        <w:t>нализи</w:t>
      </w:r>
      <w:r>
        <w:rPr>
          <w:rFonts w:eastAsia="Batang" w:cstheme="minorHAnsi"/>
        </w:rPr>
        <w:t>те</w:t>
      </w:r>
      <w:r w:rsidRPr="00682446">
        <w:rPr>
          <w:rFonts w:eastAsia="Batang" w:cstheme="minorHAnsi"/>
        </w:rPr>
        <w:t>, оценки</w:t>
      </w:r>
      <w:r>
        <w:rPr>
          <w:rFonts w:eastAsia="Batang" w:cstheme="minorHAnsi"/>
        </w:rPr>
        <w:t>те</w:t>
      </w:r>
      <w:r w:rsidRPr="00682446">
        <w:rPr>
          <w:rFonts w:eastAsia="Batang" w:cstheme="minorHAnsi"/>
        </w:rPr>
        <w:t xml:space="preserve"> и препоръки</w:t>
      </w:r>
      <w:r>
        <w:rPr>
          <w:rFonts w:eastAsia="Batang" w:cstheme="minorHAnsi"/>
        </w:rPr>
        <w:t>те</w:t>
      </w:r>
      <w:r w:rsidRPr="00682446">
        <w:rPr>
          <w:rFonts w:eastAsia="Batang" w:cstheme="minorHAnsi"/>
        </w:rPr>
        <w:t xml:space="preserve"> на Фискалния съвет</w:t>
      </w:r>
      <w:r>
        <w:rPr>
          <w:rFonts w:eastAsia="Batang" w:cstheme="minorHAnsi"/>
        </w:rPr>
        <w:t xml:space="preserve"> по проектите на основните бюджетни документи на правителството са надежден ориентир за провежданата фискална политика, включително и по отношение на идентифицирането на потенциални рискове и предизвикателства</w:t>
      </w:r>
      <w:r w:rsidRPr="00682446">
        <w:rPr>
          <w:rFonts w:eastAsia="Batang" w:cstheme="minorHAnsi"/>
        </w:rPr>
        <w:t>. Фискалният съвет допринася и за повишаване на отчетността и подобряване на фискалната прозрачност посредством наблюдението за спазването на числовите фискални</w:t>
      </w:r>
      <w:r w:rsidRPr="00B37AC6">
        <w:rPr>
          <w:rFonts w:eastAsia="Batang" w:cstheme="minorHAnsi"/>
        </w:rPr>
        <w:t xml:space="preserve"> </w:t>
      </w:r>
      <w:r>
        <w:rPr>
          <w:rFonts w:eastAsia="Batang" w:cstheme="minorHAnsi"/>
        </w:rPr>
        <w:t>правила и ограничения</w:t>
      </w:r>
      <w:r w:rsidRPr="00682446">
        <w:rPr>
          <w:rFonts w:eastAsia="Batang" w:cstheme="minorHAnsi"/>
        </w:rPr>
        <w:t>.</w:t>
      </w:r>
    </w:p>
    <w:p w14:paraId="2F1EAF1E" w14:textId="1ADEA032" w:rsidR="003E05B8" w:rsidRPr="00A555BC" w:rsidRDefault="003E05B8" w:rsidP="003E05B8">
      <w:pPr>
        <w:rPr>
          <w:rFonts w:eastAsia="Batang" w:cstheme="minorHAnsi"/>
        </w:rPr>
      </w:pPr>
      <w:r w:rsidRPr="00A555BC">
        <w:rPr>
          <w:rFonts w:eastAsia="Batang" w:cstheme="minorHAnsi"/>
        </w:rPr>
        <w:t>С решението на Съвета на ОИСР от 25 януари 2022</w:t>
      </w:r>
      <w:r w:rsidR="00DF07FD">
        <w:rPr>
          <w:rFonts w:eastAsia="Batang" w:cstheme="minorHAnsi"/>
        </w:rPr>
        <w:t> г.</w:t>
      </w:r>
      <w:r w:rsidRPr="00A555BC">
        <w:rPr>
          <w:rFonts w:eastAsia="Batang" w:cstheme="minorHAnsi"/>
        </w:rPr>
        <w:t xml:space="preserve"> за започване на разговори за присъединяване с държавите кандидатки, между които и България</w:t>
      </w:r>
      <w:r>
        <w:rPr>
          <w:rFonts w:eastAsia="Batang" w:cstheme="minorHAnsi"/>
        </w:rPr>
        <w:t>,</w:t>
      </w:r>
      <w:r w:rsidRPr="00A555BC">
        <w:rPr>
          <w:rFonts w:eastAsia="Batang" w:cstheme="minorHAnsi"/>
        </w:rPr>
        <w:t xml:space="preserve"> беше изпратена покана от генералния секретар на ОИСР до българската страна. Предстоящите разговори за членство очертават края на един дълъг период от 2007</w:t>
      </w:r>
      <w:r w:rsidR="00DF07FD">
        <w:rPr>
          <w:rFonts w:eastAsia="Batang" w:cstheme="minorHAnsi"/>
        </w:rPr>
        <w:t> г.</w:t>
      </w:r>
      <w:r w:rsidRPr="00A555BC">
        <w:rPr>
          <w:rFonts w:eastAsia="Batang" w:cstheme="minorHAnsi"/>
        </w:rPr>
        <w:t xml:space="preserve"> насам, в който страната ни има желание да се присъедини към Организацията. Крайната цел на процеса на присъединяване е България да идентифицира и извърши нужните реформи, които не само ще доведат до членство в ОИСР, но ще бъдат и в интерес на страната и обществото за подобряване качеството и ефективността на прилаганите политики. </w:t>
      </w:r>
    </w:p>
    <w:p w14:paraId="4730DF00" w14:textId="61C096C6" w:rsidR="003E05B8" w:rsidRPr="00A555BC" w:rsidRDefault="003E05B8" w:rsidP="003E05B8">
      <w:pPr>
        <w:rPr>
          <w:rFonts w:eastAsia="Batang" w:cstheme="minorHAnsi"/>
        </w:rPr>
      </w:pPr>
      <w:r w:rsidRPr="00A555BC">
        <w:rPr>
          <w:rFonts w:eastAsia="Batang" w:cstheme="minorHAnsi"/>
        </w:rPr>
        <w:t>България като държава</w:t>
      </w:r>
      <w:r w:rsidR="005561C4">
        <w:rPr>
          <w:rFonts w:eastAsia="Batang" w:cstheme="minorHAnsi"/>
        </w:rPr>
        <w:t>-</w:t>
      </w:r>
      <w:r w:rsidRPr="00A555BC">
        <w:rPr>
          <w:rFonts w:eastAsia="Batang" w:cstheme="minorHAnsi"/>
        </w:rPr>
        <w:t>членка на ЕС до голяма степен следва съвместими с правните инструменти на ОИСР политики и добри практики. Съответствието на европейското законодателство с целите и принципите на ОИСР дава предимство на държавите</w:t>
      </w:r>
      <w:r w:rsidR="005561C4">
        <w:rPr>
          <w:rFonts w:eastAsia="Batang" w:cstheme="minorHAnsi"/>
        </w:rPr>
        <w:t>-</w:t>
      </w:r>
      <w:r w:rsidRPr="00A555BC">
        <w:rPr>
          <w:rFonts w:eastAsia="Batang" w:cstheme="minorHAnsi"/>
        </w:rPr>
        <w:t>кандидатки от ЕС.</w:t>
      </w:r>
    </w:p>
    <w:p w14:paraId="38E7D951" w14:textId="4819B651" w:rsidR="003E05B8" w:rsidRPr="00682446" w:rsidRDefault="003E05B8" w:rsidP="003E05B8">
      <w:pPr>
        <w:rPr>
          <w:rFonts w:eastAsia="Batang" w:cstheme="minorHAnsi"/>
        </w:rPr>
      </w:pPr>
      <w:r w:rsidRPr="00682446">
        <w:rPr>
          <w:rFonts w:eastAsia="Batang" w:cstheme="minorHAnsi"/>
        </w:rPr>
        <w:t>На основата на подписаното през м. март 2019</w:t>
      </w:r>
      <w:r w:rsidR="00DF07FD">
        <w:rPr>
          <w:rFonts w:eastAsia="Batang" w:cstheme="minorHAnsi"/>
        </w:rPr>
        <w:t> г.</w:t>
      </w:r>
      <w:r w:rsidRPr="00682446">
        <w:rPr>
          <w:rFonts w:eastAsia="Batang" w:cstheme="minorHAnsi"/>
        </w:rPr>
        <w:t xml:space="preserve"> Споразумение между Министерството на финансите на Република България и Организацията за икономическо сътрудничество и развитие за извършване на бюджетен преглед на България, страната ни получи възможност да бъде оценявана по степента на съответствие с насоките „OECD Council Recommendation on Budgetary Governance (2015)“, което дава възможност за сравнение с утвърдени международни стандарти и най-добри практики в процеса на бюджетиране и фискално управление. </w:t>
      </w:r>
    </w:p>
    <w:p w14:paraId="3188DBDB" w14:textId="376AFE1C" w:rsidR="003E05B8" w:rsidRPr="00682446" w:rsidRDefault="003E05B8" w:rsidP="003E05B8">
      <w:pPr>
        <w:rPr>
          <w:rFonts w:eastAsia="Batang" w:cstheme="minorHAnsi"/>
        </w:rPr>
      </w:pPr>
      <w:r w:rsidRPr="00682446">
        <w:rPr>
          <w:rFonts w:eastAsia="Batang" w:cstheme="minorHAnsi"/>
        </w:rPr>
        <w:t xml:space="preserve">Оценката на ОИСР изтъква стабилния икономически растеж през последните години, както и доброто състояние на публичните финанси – нисък държавен дълг и бюджетен баланс. Като основни силни страни са подчертани средносрочната бюджетна рамка и бюджетното прогнозиране в съответствие с Европейската система от сметки, фискалните правила, доброто развитие на програмното бюджетиране, както и повишаването на бюджетната прозрачност и отчетност през последните години. По отношение на качеството на публичните финанси са отбелязани инициативите за приоритизиране на ключови индикатори, за провеждане на прегледи на разходите, както и изготвената методология за извършване на прегледи на разходите. Отбелязано е значението на независимата </w:t>
      </w:r>
      <w:r w:rsidR="009D5B59">
        <w:rPr>
          <w:rFonts w:eastAsia="Batang" w:cstheme="minorHAnsi"/>
        </w:rPr>
        <w:t>фискална институция – Фискалния</w:t>
      </w:r>
      <w:r w:rsidRPr="00682446">
        <w:rPr>
          <w:rFonts w:eastAsia="Batang" w:cstheme="minorHAnsi"/>
        </w:rPr>
        <w:t xml:space="preserve"> съвет и на Сметната палата, която има важни функции по </w:t>
      </w:r>
      <w:r w:rsidRPr="00682446">
        <w:rPr>
          <w:rFonts w:eastAsia="Batang" w:cstheme="minorHAnsi"/>
        </w:rPr>
        <w:lastRenderedPageBreak/>
        <w:t>отношение на финансовата отчетност. За капиталовото бюджетиране е отбелязано, че е интегрирано в цялостната фискална политика на правителството, както и че Министерският съвет е приел рамка за одобряване на капиталови инвестиции.</w:t>
      </w:r>
    </w:p>
    <w:p w14:paraId="6A673BD2" w14:textId="090A9F9B" w:rsidR="003E05B8" w:rsidRPr="00682446" w:rsidRDefault="003E05B8" w:rsidP="003E05B8">
      <w:pPr>
        <w:rPr>
          <w:rFonts w:eastAsia="Batang" w:cstheme="minorHAnsi"/>
        </w:rPr>
      </w:pPr>
      <w:r w:rsidRPr="00682446">
        <w:rPr>
          <w:rFonts w:eastAsia="Batang" w:cstheme="minorHAnsi"/>
        </w:rPr>
        <w:t>Бюджетният преглед на България „Budgeting in Bulgaria“ е публикуван на официалната интернет страница на ОИСР в брой 2 за 2021</w:t>
      </w:r>
      <w:r w:rsidR="00DF07FD">
        <w:rPr>
          <w:rFonts w:eastAsia="Batang" w:cstheme="minorHAnsi"/>
        </w:rPr>
        <w:t> г.</w:t>
      </w:r>
      <w:r w:rsidRPr="00682446">
        <w:rPr>
          <w:rFonts w:eastAsia="Batang" w:cstheme="minorHAnsi"/>
        </w:rPr>
        <w:t xml:space="preserve"> на изданието OECD Journal on Budgeting.</w:t>
      </w:r>
    </w:p>
    <w:p w14:paraId="156ECA46" w14:textId="5D006D9F" w:rsidR="003E05B8" w:rsidRPr="00682446" w:rsidRDefault="003E05B8" w:rsidP="00E360FF">
      <w:r w:rsidRPr="00682446">
        <w:t>Индексът „Отворен бюджет“ е единственото международно независимо сравнително изследване на бюджетната прозрачност</w:t>
      </w:r>
      <w:r>
        <w:t>, провеждано от</w:t>
      </w:r>
      <w:r w:rsidRPr="00682446">
        <w:t xml:space="preserve"> Международното бюджетно партньорство (International Budget Partnership), което оценява степента, в която правителствата на 117 страни по света осигуряват на обществото навременна и подробна информация за бюджета. Индексът покрива процедурите по съставяне, приемане, изпълнение и отчитане на бюджета и отговорностите на други институции като Сметната палата и законодателната власт в бюджетния процес.</w:t>
      </w:r>
      <w:r w:rsidRPr="00827C74">
        <w:t xml:space="preserve"> </w:t>
      </w:r>
      <w:r>
        <w:t xml:space="preserve">Съгласно оповестените резултати от последното </w:t>
      </w:r>
      <w:r w:rsidRPr="00682446">
        <w:t>проучване</w:t>
      </w:r>
      <w:r>
        <w:t xml:space="preserve"> </w:t>
      </w:r>
      <w:r w:rsidRPr="00682446">
        <w:t xml:space="preserve">„Отворен бюджет“ </w:t>
      </w:r>
      <w:r>
        <w:t xml:space="preserve">за </w:t>
      </w:r>
      <w:r w:rsidRPr="00682446">
        <w:t>2019</w:t>
      </w:r>
      <w:r w:rsidR="00DF07FD">
        <w:t> г.</w:t>
      </w:r>
      <w:r>
        <w:t xml:space="preserve"> </w:t>
      </w:r>
      <w:r w:rsidRPr="00682446">
        <w:t xml:space="preserve">България отбелязва значително подобрение в оценката си </w:t>
      </w:r>
      <w:r>
        <w:t xml:space="preserve">и </w:t>
      </w:r>
      <w:r w:rsidRPr="00682446">
        <w:t>постигна 71 пункта, което е средната стойност за страните-членки на ОИСР</w:t>
      </w:r>
      <w:r>
        <w:t xml:space="preserve"> и попада между страните, за които</w:t>
      </w:r>
      <w:r w:rsidRPr="00682446">
        <w:t xml:space="preserve"> се смята, че предоставят „значителна информация“ за бюджета.</w:t>
      </w:r>
    </w:p>
    <w:p w14:paraId="565290E2" w14:textId="64C27896" w:rsidR="003E05B8" w:rsidRPr="00682446" w:rsidRDefault="003E05B8" w:rsidP="003E05B8">
      <w:pPr>
        <w:rPr>
          <w:rFonts w:cstheme="minorHAnsi"/>
        </w:rPr>
      </w:pPr>
      <w:r w:rsidRPr="00682446">
        <w:rPr>
          <w:rFonts w:cstheme="minorHAnsi"/>
        </w:rPr>
        <w:t>По отношение на заложения ключов индикатор за рейтинговата оценка за България за бюджетна прозрачност следва да се отбележи, че през 2021</w:t>
      </w:r>
      <w:r w:rsidR="00DF07FD">
        <w:rPr>
          <w:rFonts w:cstheme="minorHAnsi"/>
        </w:rPr>
        <w:t> г.</w:t>
      </w:r>
      <w:r w:rsidRPr="00682446">
        <w:rPr>
          <w:rFonts w:cstheme="minorHAnsi"/>
        </w:rPr>
        <w:t xml:space="preserve"> бе проведено осмото регулярно проучване от Международното бюджетно партньорство и МФ в качеството му на представител на правителството участва в проучването, като направи преглед на попълнения от независими изследователи въпросник за България и изрази мнение по направените оценки и информацията, на която те се базират. През 2022</w:t>
      </w:r>
      <w:r w:rsidR="00DF07FD">
        <w:rPr>
          <w:rFonts w:cstheme="minorHAnsi"/>
        </w:rPr>
        <w:t> г.</w:t>
      </w:r>
      <w:r w:rsidRPr="00682446">
        <w:rPr>
          <w:rFonts w:cstheme="minorHAnsi"/>
        </w:rPr>
        <w:t xml:space="preserve"> ще бъде присъдена и публикувана на интернет страницата на Международното бюджетно партньорство </w:t>
      </w:r>
      <w:r>
        <w:rPr>
          <w:rFonts w:cstheme="minorHAnsi"/>
        </w:rPr>
        <w:t xml:space="preserve">новата </w:t>
      </w:r>
      <w:r w:rsidRPr="00682446">
        <w:rPr>
          <w:rFonts w:cstheme="minorHAnsi"/>
        </w:rPr>
        <w:t>регулярната оценка за бюджетната прозрачност</w:t>
      </w:r>
      <w:r>
        <w:rPr>
          <w:rFonts w:cstheme="minorHAnsi"/>
        </w:rPr>
        <w:t xml:space="preserve"> на страните участници</w:t>
      </w:r>
      <w:r w:rsidRPr="00682446">
        <w:rPr>
          <w:rFonts w:cstheme="minorHAnsi"/>
        </w:rPr>
        <w:t>.</w:t>
      </w:r>
    </w:p>
    <w:p w14:paraId="388D0372" w14:textId="71DF4ECD" w:rsidR="003E05B8" w:rsidRPr="00682446" w:rsidRDefault="003E05B8" w:rsidP="003E05B8">
      <w:pPr>
        <w:rPr>
          <w:rFonts w:eastAsia="Batang" w:cstheme="minorHAnsi"/>
        </w:rPr>
      </w:pPr>
      <w:r w:rsidRPr="00682446">
        <w:rPr>
          <w:rFonts w:eastAsia="Batang" w:cstheme="minorHAnsi"/>
        </w:rPr>
        <w:t>През м. май 2021</w:t>
      </w:r>
      <w:r w:rsidR="00DF07FD">
        <w:rPr>
          <w:rFonts w:eastAsia="Batang" w:cstheme="minorHAnsi"/>
        </w:rPr>
        <w:t> г.</w:t>
      </w:r>
      <w:r w:rsidRPr="00682446">
        <w:rPr>
          <w:rFonts w:eastAsia="Batang" w:cstheme="minorHAnsi"/>
        </w:rPr>
        <w:t xml:space="preserve"> Международното бюджетно партньорство публикува резултатите от проучването относно отчетността при управлението на средствата, свързани с </w:t>
      </w:r>
      <w:r>
        <w:rPr>
          <w:rFonts w:eastAsia="Batang" w:cstheme="minorHAnsi"/>
        </w:rPr>
        <w:t xml:space="preserve">пандемията от </w:t>
      </w:r>
      <w:r w:rsidRPr="00682446">
        <w:rPr>
          <w:rFonts w:eastAsia="Batang" w:cstheme="minorHAnsi"/>
        </w:rPr>
        <w:t xml:space="preserve">COVID-19, в което страната ни също взе участие. Основният извод от проучването е, че правителствата не се справят с управлението на фискалната политика в отговор на кризата по прозрачен начин. Следва да се отбележи обаче, че съгласно проучването България се нарежда сред групата държави, предоставящи известна степен на отчетност при </w:t>
      </w:r>
      <w:r>
        <w:rPr>
          <w:rFonts w:eastAsia="Batang" w:cstheme="minorHAnsi"/>
        </w:rPr>
        <w:t xml:space="preserve">изпълнението </w:t>
      </w:r>
      <w:r w:rsidRPr="00682446">
        <w:rPr>
          <w:rFonts w:eastAsia="Batang" w:cstheme="minorHAnsi"/>
        </w:rPr>
        <w:t>на мерките и политиките, което е добро постижение предвид факта, че около две трети от правителствата предоставят само ограничена или минимална степен на отчетност.</w:t>
      </w:r>
    </w:p>
    <w:p w14:paraId="71E7B9CC" w14:textId="77777777" w:rsidR="00CC37E8" w:rsidRPr="00E360FF" w:rsidRDefault="00D359FF" w:rsidP="00E360FF">
      <w:pPr>
        <w:pStyle w:val="Heading2"/>
      </w:pPr>
      <w:bookmarkStart w:id="127" w:name="_Toc100906084"/>
      <w:r w:rsidRPr="00E360FF">
        <w:t>Състав, ефекти</w:t>
      </w:r>
      <w:r w:rsidR="004F6EED" w:rsidRPr="00E360FF">
        <w:t>в</w:t>
      </w:r>
      <w:r w:rsidR="000B640B" w:rsidRPr="00E360FF">
        <w:t xml:space="preserve">ност и ефикасност на разходите </w:t>
      </w:r>
      <w:r w:rsidR="006C1A2A" w:rsidRPr="00E360FF">
        <w:t>–</w:t>
      </w:r>
      <w:r w:rsidR="00202EFA" w:rsidRPr="00E360FF">
        <w:t xml:space="preserve"> </w:t>
      </w:r>
      <w:r w:rsidR="004F6EED" w:rsidRPr="00E360FF">
        <w:t>COFOG</w:t>
      </w:r>
      <w:bookmarkEnd w:id="124"/>
      <w:bookmarkEnd w:id="125"/>
      <w:bookmarkEnd w:id="126"/>
      <w:bookmarkEnd w:id="127"/>
    </w:p>
    <w:p w14:paraId="6076830A" w14:textId="6C5CC2D0" w:rsidR="003E05B8" w:rsidRPr="00682446" w:rsidRDefault="008010F6" w:rsidP="003E05B8">
      <w:pPr>
        <w:rPr>
          <w:rFonts w:cstheme="minorHAnsi"/>
        </w:rPr>
      </w:pPr>
      <w:r>
        <w:rPr>
          <w:rFonts w:cstheme="minorHAnsi"/>
        </w:rPr>
        <w:t>За периода 2020–</w:t>
      </w:r>
      <w:r w:rsidR="003E05B8" w:rsidRPr="00682446">
        <w:rPr>
          <w:rFonts w:cstheme="minorHAnsi"/>
        </w:rPr>
        <w:t>2025</w:t>
      </w:r>
      <w:r w:rsidR="00DF07FD">
        <w:rPr>
          <w:rFonts w:cstheme="minorHAnsi"/>
        </w:rPr>
        <w:t> г.</w:t>
      </w:r>
      <w:r w:rsidR="003E05B8" w:rsidRPr="00682446">
        <w:rPr>
          <w:rFonts w:cstheme="minorHAnsi"/>
        </w:rPr>
        <w:t xml:space="preserve"> в общите разходи на сектор „Държавно управление“ се очаква спад от 3</w:t>
      </w:r>
      <w:r w:rsidR="003E05B8">
        <w:rPr>
          <w:rFonts w:cstheme="minorHAnsi"/>
          <w:lang w:val="en-US"/>
        </w:rPr>
        <w:t>.</w:t>
      </w:r>
      <w:r w:rsidR="003E05B8" w:rsidRPr="00682446">
        <w:rPr>
          <w:rFonts w:cstheme="minorHAnsi"/>
        </w:rPr>
        <w:t>2 пр.п. от БВП. Това до голяма степен се дължи на предприетите значителни разходи през 2020</w:t>
      </w:r>
      <w:r w:rsidR="00DF07FD">
        <w:rPr>
          <w:rFonts w:cstheme="minorHAnsi"/>
        </w:rPr>
        <w:t> г.</w:t>
      </w:r>
      <w:r w:rsidR="003E05B8" w:rsidRPr="00682446">
        <w:rPr>
          <w:rFonts w:cstheme="minorHAnsi"/>
        </w:rPr>
        <w:t xml:space="preserve"> за предотвратяване разпространението на COVID-19, за лечението му, мерки в подкрепа на бизнеса и социални мерки за намаляване на негативните ефекти от пандемията, които доведоха до нарастване на разходите по функции „Здравеопазване“, „Социална защита“ и „Икономически дейности“ през 2020</w:t>
      </w:r>
      <w:r w:rsidR="00DF07FD">
        <w:rPr>
          <w:rFonts w:cstheme="minorHAnsi"/>
        </w:rPr>
        <w:t> г.</w:t>
      </w:r>
      <w:r w:rsidR="003E05B8" w:rsidRPr="00682446">
        <w:rPr>
          <w:rFonts w:cstheme="minorHAnsi"/>
        </w:rPr>
        <w:t xml:space="preserve"> </w:t>
      </w:r>
    </w:p>
    <w:p w14:paraId="3D8E13C3" w14:textId="00094532" w:rsidR="003E05B8" w:rsidRPr="00682446" w:rsidRDefault="008010F6" w:rsidP="00E360FF">
      <w:pPr>
        <w:rPr>
          <w:b/>
        </w:rPr>
      </w:pPr>
      <w:r>
        <w:t>За периода 2020–</w:t>
      </w:r>
      <w:r w:rsidR="003E05B8" w:rsidRPr="00682446">
        <w:t>2025</w:t>
      </w:r>
      <w:r w:rsidR="00DF07FD">
        <w:t> г.</w:t>
      </w:r>
      <w:r w:rsidR="003E05B8" w:rsidRPr="00682446">
        <w:t xml:space="preserve"> разходите по функция</w:t>
      </w:r>
      <w:r w:rsidR="003E05B8" w:rsidRPr="00682446">
        <w:rPr>
          <w:b/>
        </w:rPr>
        <w:t xml:space="preserve"> „Общи държавни служби“ </w:t>
      </w:r>
      <w:r w:rsidR="003E05B8" w:rsidRPr="00682446">
        <w:t>намаляват незначително от 3.5% от БВП през 2020</w:t>
      </w:r>
      <w:r w:rsidR="00DF07FD">
        <w:t> г.</w:t>
      </w:r>
      <w:r w:rsidR="003E05B8" w:rsidRPr="00682446">
        <w:t xml:space="preserve"> на 3.4% през 2025</w:t>
      </w:r>
      <w:r w:rsidR="00DF07FD">
        <w:t> г.</w:t>
      </w:r>
      <w:r w:rsidR="003E05B8" w:rsidRPr="00682446">
        <w:rPr>
          <w:b/>
        </w:rPr>
        <w:t xml:space="preserve"> </w:t>
      </w:r>
    </w:p>
    <w:p w14:paraId="0E9906B8" w14:textId="20239685" w:rsidR="003E05B8" w:rsidRPr="00682446" w:rsidRDefault="003E05B8" w:rsidP="00E360FF">
      <w:pPr>
        <w:rPr>
          <w:szCs w:val="24"/>
        </w:rPr>
      </w:pPr>
      <w:r w:rsidRPr="00682446">
        <w:t>Разходите по функция „</w:t>
      </w:r>
      <w:r w:rsidRPr="00682446">
        <w:rPr>
          <w:b/>
        </w:rPr>
        <w:t>Отбрана“</w:t>
      </w:r>
      <w:r w:rsidRPr="00682446">
        <w:t xml:space="preserve"> нарастват като дял от БВП от 1.5% на 2.6%, поради предприетите мерки за модернизация оборудването на българската армия. Предвиждат се доставки на авиационна техника</w:t>
      </w:r>
      <w:r w:rsidR="00B17D5E">
        <w:rPr>
          <w:rFonts w:cstheme="minorHAnsi"/>
        </w:rPr>
        <w:t>,</w:t>
      </w:r>
      <w:r w:rsidR="00B17D5E" w:rsidRPr="00ED2F53">
        <w:rPr>
          <w:rFonts w:cstheme="minorHAnsi"/>
        </w:rPr>
        <w:t xml:space="preserve"> </w:t>
      </w:r>
      <w:r w:rsidR="00B17D5E">
        <w:rPr>
          <w:rFonts w:cstheme="minorHAnsi"/>
        </w:rPr>
        <w:t>многофункционален модулен патрулен кораб</w:t>
      </w:r>
      <w:r w:rsidRPr="00682446">
        <w:t xml:space="preserve"> и на основна бойна техника за изграждане на батальонни бойни групи, </w:t>
      </w:r>
      <w:r w:rsidRPr="00682446">
        <w:rPr>
          <w:szCs w:val="24"/>
        </w:rPr>
        <w:t xml:space="preserve">като се спазва изискването за достигане на разходи за отбрана до 2% от БВП, в съответствие с Националния </w:t>
      </w:r>
      <w:r w:rsidRPr="00682446">
        <w:rPr>
          <w:szCs w:val="24"/>
        </w:rPr>
        <w:lastRenderedPageBreak/>
        <w:t>план за повишаване на разходите за отбрана на Република България до 2024</w:t>
      </w:r>
      <w:r w:rsidR="00DF07FD">
        <w:rPr>
          <w:szCs w:val="24"/>
        </w:rPr>
        <w:t> г.</w:t>
      </w:r>
      <w:r w:rsidRPr="00682446">
        <w:rPr>
          <w:szCs w:val="24"/>
        </w:rPr>
        <w:t xml:space="preserve"> и поетите ангажименти пред НАТО.</w:t>
      </w:r>
    </w:p>
    <w:p w14:paraId="1FA38362" w14:textId="2647CCA1" w:rsidR="003E05B8" w:rsidRPr="00682446" w:rsidRDefault="003E05B8" w:rsidP="003E05B8">
      <w:pPr>
        <w:pStyle w:val="BodyText"/>
        <w:rPr>
          <w:rFonts w:cstheme="minorHAnsi"/>
        </w:rPr>
      </w:pPr>
      <w:r w:rsidRPr="00682446">
        <w:rPr>
          <w:rFonts w:cstheme="minorHAnsi"/>
        </w:rPr>
        <w:t xml:space="preserve">Разходите по функция </w:t>
      </w:r>
      <w:r w:rsidRPr="00682446">
        <w:rPr>
          <w:rFonts w:cstheme="minorHAnsi"/>
          <w:b/>
        </w:rPr>
        <w:t>„Икономически дейности“</w:t>
      </w:r>
      <w:r w:rsidRPr="00682446">
        <w:rPr>
          <w:rFonts w:cstheme="minorHAnsi"/>
        </w:rPr>
        <w:t xml:space="preserve"> спадат от 8.5% от БВП през 2020</w:t>
      </w:r>
      <w:r w:rsidR="00DF07FD">
        <w:rPr>
          <w:rFonts w:cstheme="minorHAnsi"/>
        </w:rPr>
        <w:t> г.</w:t>
      </w:r>
      <w:r w:rsidRPr="00682446">
        <w:rPr>
          <w:rFonts w:cstheme="minorHAnsi"/>
        </w:rPr>
        <w:t xml:space="preserve"> на 6.4% от БВП през 2025</w:t>
      </w:r>
      <w:r w:rsidR="00DF07FD">
        <w:rPr>
          <w:rFonts w:cstheme="minorHAnsi"/>
        </w:rPr>
        <w:t> г.</w:t>
      </w:r>
      <w:r w:rsidRPr="00682446">
        <w:rPr>
          <w:rFonts w:cstheme="minorHAnsi"/>
        </w:rPr>
        <w:t xml:space="preserve"> Във функцията са включени държавните предприятия, които са част от сектор „Държавно управление“ и са елиминирани разходите, свързани с европейски средства, които съгласно методологията ЕСС 2010 не оказват влияние върху приходите и разходите на сектор „Държавно управление“. </w:t>
      </w:r>
    </w:p>
    <w:p w14:paraId="5EF40577" w14:textId="77777777" w:rsidR="003E05B8" w:rsidRPr="00682446" w:rsidRDefault="003E05B8" w:rsidP="003E05B8">
      <w:pPr>
        <w:pStyle w:val="BodyText"/>
        <w:rPr>
          <w:rFonts w:cstheme="minorHAnsi"/>
        </w:rPr>
      </w:pPr>
      <w:r w:rsidRPr="00682446">
        <w:rPr>
          <w:rFonts w:cstheme="minorHAnsi"/>
        </w:rPr>
        <w:t xml:space="preserve">Разходите по функция </w:t>
      </w:r>
      <w:r w:rsidRPr="00682446">
        <w:rPr>
          <w:rFonts w:cstheme="minorHAnsi"/>
          <w:b/>
        </w:rPr>
        <w:t>„Опазване на околната среда“</w:t>
      </w:r>
      <w:r w:rsidRPr="00682446">
        <w:rPr>
          <w:rFonts w:cstheme="minorHAnsi"/>
        </w:rPr>
        <w:t xml:space="preserve"> остават на ниво от 0.7% от БВП през разглеждания период. В разходите по функцията са включени мерки в областта на опазването и ползването на компонентите на околната среда; за националната система за мониторинг на околната среда; за справяне с предизвикателствата, свързани с климата и околната среда; за поддържане, модернизация и изграждане на техническата инфраструктура, свързана с подобряване на транспортната достъпност и интегрираното управление на водните ресурси и геозащита и за финансиране на програми за отстраняване на нанесените щети върху околната среда. </w:t>
      </w:r>
    </w:p>
    <w:p w14:paraId="52828F47" w14:textId="06802ABA" w:rsidR="003E05B8" w:rsidRPr="00682446" w:rsidRDefault="003E05B8" w:rsidP="003E05B8">
      <w:pPr>
        <w:pStyle w:val="BodyText"/>
        <w:rPr>
          <w:rFonts w:cstheme="minorHAnsi"/>
        </w:rPr>
      </w:pPr>
      <w:r w:rsidRPr="00682446">
        <w:rPr>
          <w:rFonts w:cstheme="minorHAnsi"/>
        </w:rPr>
        <w:t xml:space="preserve">Разходите по функция </w:t>
      </w:r>
      <w:r w:rsidRPr="00682446">
        <w:rPr>
          <w:rFonts w:cstheme="minorHAnsi"/>
          <w:b/>
        </w:rPr>
        <w:t xml:space="preserve">„Жилищно строителство, благоустройство и комунално стопанство“ </w:t>
      </w:r>
      <w:r w:rsidRPr="00682446">
        <w:rPr>
          <w:rFonts w:cstheme="minorHAnsi"/>
        </w:rPr>
        <w:t>спадат незначително от 0.9% от БВП за 2020</w:t>
      </w:r>
      <w:r w:rsidR="00DF07FD">
        <w:rPr>
          <w:rFonts w:cstheme="minorHAnsi"/>
        </w:rPr>
        <w:t> г.</w:t>
      </w:r>
      <w:r w:rsidRPr="00682446">
        <w:rPr>
          <w:rFonts w:cstheme="minorHAnsi"/>
        </w:rPr>
        <w:t xml:space="preserve"> на 0.8% за 2025</w:t>
      </w:r>
      <w:r w:rsidR="00DF07FD">
        <w:rPr>
          <w:rFonts w:cstheme="minorHAnsi"/>
        </w:rPr>
        <w:t> г.</w:t>
      </w:r>
      <w:r w:rsidRPr="00682446">
        <w:rPr>
          <w:rFonts w:cstheme="minorHAnsi"/>
        </w:rPr>
        <w:t xml:space="preserve"> В тази функция са включени разходите по управление, контрол и регулиране на дейностите по жилищно строителство и териториално развитие.</w:t>
      </w:r>
    </w:p>
    <w:p w14:paraId="75BF89F4" w14:textId="1D6026A5" w:rsidR="003E05B8" w:rsidRPr="00682446" w:rsidRDefault="003E05B8" w:rsidP="003E05B8">
      <w:pPr>
        <w:pStyle w:val="BodyText"/>
        <w:rPr>
          <w:rFonts w:cstheme="minorHAnsi"/>
        </w:rPr>
      </w:pPr>
      <w:r w:rsidRPr="00682446">
        <w:rPr>
          <w:rFonts w:cstheme="minorHAnsi"/>
        </w:rPr>
        <w:t xml:space="preserve">Разходите по функция </w:t>
      </w:r>
      <w:r w:rsidRPr="00682446">
        <w:rPr>
          <w:rFonts w:cstheme="minorHAnsi"/>
          <w:b/>
        </w:rPr>
        <w:t>„Здравеопазване“</w:t>
      </w:r>
      <w:r w:rsidRPr="00682446">
        <w:rPr>
          <w:rFonts w:cstheme="minorHAnsi"/>
        </w:rPr>
        <w:t xml:space="preserve"> намаляват от 5.9% от БВП през 2020</w:t>
      </w:r>
      <w:r w:rsidR="00DF07FD">
        <w:rPr>
          <w:rFonts w:cstheme="minorHAnsi"/>
        </w:rPr>
        <w:t> г.</w:t>
      </w:r>
      <w:r w:rsidRPr="00682446">
        <w:rPr>
          <w:rFonts w:cstheme="minorHAnsi"/>
        </w:rPr>
        <w:t xml:space="preserve"> до 5.2% от БВП през 2025</w:t>
      </w:r>
      <w:r w:rsidR="00DF07FD">
        <w:rPr>
          <w:rFonts w:cstheme="minorHAnsi"/>
        </w:rPr>
        <w:t> г.</w:t>
      </w:r>
      <w:r w:rsidRPr="00682446">
        <w:rPr>
          <w:rFonts w:cstheme="minorHAnsi"/>
        </w:rPr>
        <w:t xml:space="preserve"> В разходите по функцията са включени мерки за засилване ролята на профилактиката като предпоставка за по-добро здраве и качество на живот на населението; осигуряване на финансова стабилност и обезпеченост на здравната система; развитие на електронното здравеопазване и преодоляване на регионалните дисбаланси, както и осигуряване на функционално взаимодействие между отделните нива на медицинската помощ.</w:t>
      </w:r>
    </w:p>
    <w:p w14:paraId="501C5CD0" w14:textId="1C24660D" w:rsidR="003E05B8" w:rsidRPr="00682446" w:rsidRDefault="003E05B8" w:rsidP="003E05B8">
      <w:pPr>
        <w:pStyle w:val="BodyText"/>
        <w:rPr>
          <w:rFonts w:cstheme="minorHAnsi"/>
        </w:rPr>
      </w:pPr>
      <w:r w:rsidRPr="00682446">
        <w:rPr>
          <w:rFonts w:cstheme="minorHAnsi"/>
        </w:rPr>
        <w:t>Разходите по функция „</w:t>
      </w:r>
      <w:r w:rsidRPr="00682446">
        <w:rPr>
          <w:rFonts w:cstheme="minorHAnsi"/>
          <w:b/>
        </w:rPr>
        <w:t>Образование“</w:t>
      </w:r>
      <w:r w:rsidRPr="00682446">
        <w:rPr>
          <w:rFonts w:cstheme="minorHAnsi"/>
        </w:rPr>
        <w:t xml:space="preserve"> се запазват на нивото си от 4.0% от БВП през разглеждания период, като тук се включват мерки, насочени към продължаване на реализирането на интегрирани политики, с фокус към образование и личностно развитие на децата и учениците, насърчаване на иновациите, квалификацията на педагогическите специалисти и модернизиране на образователните институции. В перспектива до 2030</w:t>
      </w:r>
      <w:r w:rsidR="00DF07FD">
        <w:rPr>
          <w:rFonts w:cstheme="minorHAnsi"/>
        </w:rPr>
        <w:t> г.</w:t>
      </w:r>
      <w:r w:rsidR="00EC2B93">
        <w:rPr>
          <w:rFonts w:cstheme="minorHAnsi"/>
        </w:rPr>
        <w:t xml:space="preserve">, включително в периода </w:t>
      </w:r>
      <w:r w:rsidRPr="00682446">
        <w:rPr>
          <w:rFonts w:cstheme="minorHAnsi"/>
        </w:rPr>
        <w:t>2023</w:t>
      </w:r>
      <w:r w:rsidR="00EC2B93">
        <w:rPr>
          <w:rFonts w:cstheme="minorHAnsi"/>
          <w:lang w:val="en-US"/>
        </w:rPr>
        <w:t>–</w:t>
      </w:r>
      <w:r w:rsidRPr="00682446">
        <w:rPr>
          <w:rFonts w:cstheme="minorHAnsi"/>
        </w:rPr>
        <w:t>2025</w:t>
      </w:r>
      <w:r w:rsidR="00DF07FD">
        <w:rPr>
          <w:rFonts w:cstheme="minorHAnsi"/>
        </w:rPr>
        <w:t> г.</w:t>
      </w:r>
      <w:r w:rsidRPr="00682446">
        <w:rPr>
          <w:rFonts w:cstheme="minorHAnsi"/>
        </w:rPr>
        <w:t xml:space="preserve">, за осигуряването на качествено образование за всички през целия живот се предвижда политиките в сферата на образованието и обучението да обхващат всеки един от етапите на развитието на личността, следвайки принципите на учене през целия живот; да бъдат ориентирани към повишаване на обхвата и качеството на образованието и обучението. </w:t>
      </w:r>
    </w:p>
    <w:p w14:paraId="6B21651C" w14:textId="09937F0E" w:rsidR="003E05B8" w:rsidRDefault="003E05B8" w:rsidP="003E05B8">
      <w:pPr>
        <w:pStyle w:val="BodyText"/>
        <w:rPr>
          <w:rFonts w:cstheme="minorHAnsi"/>
        </w:rPr>
      </w:pPr>
      <w:r w:rsidRPr="00682446">
        <w:rPr>
          <w:rFonts w:cstheme="minorHAnsi"/>
        </w:rPr>
        <w:t xml:space="preserve">Разходите по функция </w:t>
      </w:r>
      <w:r w:rsidRPr="00682446">
        <w:rPr>
          <w:rFonts w:cstheme="minorHAnsi"/>
          <w:b/>
        </w:rPr>
        <w:t>„Социална защита“</w:t>
      </w:r>
      <w:r w:rsidRPr="00682446">
        <w:rPr>
          <w:rFonts w:cstheme="minorHAnsi"/>
        </w:rPr>
        <w:t xml:space="preserve"> намаляват от 13.1% от БВП през 2020</w:t>
      </w:r>
      <w:r w:rsidR="00DF07FD">
        <w:rPr>
          <w:rFonts w:cstheme="minorHAnsi"/>
        </w:rPr>
        <w:t> г.</w:t>
      </w:r>
      <w:r w:rsidRPr="00682446">
        <w:rPr>
          <w:rFonts w:cstheme="minorHAnsi"/>
        </w:rPr>
        <w:t xml:space="preserve"> на 12.5% от БВП през 2025</w:t>
      </w:r>
      <w:r w:rsidR="00DF07FD">
        <w:rPr>
          <w:rFonts w:cstheme="minorHAnsi"/>
        </w:rPr>
        <w:t> г.</w:t>
      </w:r>
      <w:r w:rsidRPr="00682446">
        <w:rPr>
          <w:rFonts w:cstheme="minorHAnsi"/>
        </w:rPr>
        <w:t xml:space="preserve"> В областта на социалната защита през този период са предприети и планирани редица мерки за увеличение на часовата ставка за положен труд на личните асистенти, за нарастване на линията за бедност, за изчисляване по нов начин на индивидуалния коефициент за пенсиите за трудова дейност, за преизчисление на пенсиите с намален индивидуален коефициент и преизчисление на пенсиите с придобит след пенсионирането допълнителен стаж и др. Приоритет остават оптимизирането на социалното подпомагане на уязвимите групи от населението, гарантирането на тяхната социална защита чрез по-добро разпределяне на социалните помощи и повишаването на ефективността на програмите.</w:t>
      </w:r>
    </w:p>
    <w:p w14:paraId="7A7DF733" w14:textId="64DA2E83" w:rsidR="00D22572" w:rsidRDefault="00D22572" w:rsidP="003E05B8">
      <w:pPr>
        <w:pStyle w:val="BodyText"/>
        <w:rPr>
          <w:rFonts w:cstheme="minorHAnsi"/>
        </w:rPr>
      </w:pPr>
    </w:p>
    <w:p w14:paraId="21374390" w14:textId="77777777" w:rsidR="00D22572" w:rsidRPr="00682446" w:rsidRDefault="00D22572" w:rsidP="003E05B8">
      <w:pPr>
        <w:pStyle w:val="BodyText"/>
        <w:rPr>
          <w:rFonts w:cstheme="minorHAnsi"/>
        </w:rPr>
      </w:pPr>
    </w:p>
    <w:p w14:paraId="7B30E34C" w14:textId="78564C57" w:rsidR="003E05B8" w:rsidRPr="00682446" w:rsidRDefault="003E05B8" w:rsidP="003A418D">
      <w:pPr>
        <w:pStyle w:val="Caption"/>
        <w:pBdr>
          <w:top w:val="single" w:sz="2" w:space="1" w:color="A6A6A6" w:themeColor="background1" w:themeShade="A6"/>
          <w:left w:val="single" w:sz="2" w:space="4" w:color="A6A6A6" w:themeColor="background1" w:themeShade="A6"/>
          <w:bottom w:val="single" w:sz="2" w:space="1" w:color="A6A6A6" w:themeColor="background1" w:themeShade="A6"/>
          <w:right w:val="single" w:sz="2" w:space="4" w:color="A6A6A6" w:themeColor="background1" w:themeShade="A6"/>
          <w:between w:val="single" w:sz="2" w:space="1" w:color="A6A6A6" w:themeColor="background1" w:themeShade="A6"/>
          <w:bar w:val="single" w:sz="2" w:color="A6A6A6" w:themeColor="background1" w:themeShade="A6"/>
        </w:pBdr>
      </w:pPr>
      <w:r w:rsidRPr="00827C74">
        <w:lastRenderedPageBreak/>
        <w:t xml:space="preserve">Табл. </w:t>
      </w:r>
      <w:r>
        <w:t>6-1</w:t>
      </w:r>
      <w:r w:rsidRPr="00827C74">
        <w:t xml:space="preserve">: </w:t>
      </w:r>
      <w:r w:rsidR="003A418D">
        <w:tab/>
      </w:r>
      <w:r w:rsidRPr="00827C74">
        <w:t>Бюджетни разходи по функции</w:t>
      </w:r>
    </w:p>
    <w:tbl>
      <w:tblPr>
        <w:tblStyle w:val="Style19"/>
        <w:tblW w:w="5000" w:type="pct"/>
        <w:jc w:val="center"/>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ook w:val="0620" w:firstRow="1" w:lastRow="0" w:firstColumn="0" w:lastColumn="0" w:noHBand="1" w:noVBand="1"/>
      </w:tblPr>
      <w:tblGrid>
        <w:gridCol w:w="3472"/>
        <w:gridCol w:w="1398"/>
        <w:gridCol w:w="1398"/>
        <w:gridCol w:w="1398"/>
        <w:gridCol w:w="1398"/>
      </w:tblGrid>
      <w:tr w:rsidR="003E05B8" w:rsidRPr="00F25F58" w14:paraId="68F7C2FF" w14:textId="77777777" w:rsidTr="004076EB">
        <w:trPr>
          <w:trHeight w:val="397"/>
          <w:jc w:val="center"/>
        </w:trPr>
        <w:tc>
          <w:tcPr>
            <w:tcW w:w="1916" w:type="pct"/>
            <w:vMerge w:val="restart"/>
            <w:shd w:val="clear" w:color="auto" w:fill="D7D4F1"/>
            <w:vAlign w:val="center"/>
            <w:hideMark/>
          </w:tcPr>
          <w:p w14:paraId="1D8CCBD4" w14:textId="77777777" w:rsidR="003E05B8" w:rsidRPr="00F25F58" w:rsidRDefault="003E05B8" w:rsidP="00D22572">
            <w:pPr>
              <w:pStyle w:val="tabletextleft"/>
              <w:spacing w:after="0"/>
              <w:rPr>
                <w:rFonts w:asciiTheme="minorHAnsi" w:hAnsiTheme="minorHAnsi" w:cstheme="minorHAnsi"/>
                <w:sz w:val="20"/>
              </w:rPr>
            </w:pPr>
            <w:bookmarkStart w:id="128" w:name="OLE_LINK2"/>
            <w:r w:rsidRPr="00F25F58">
              <w:rPr>
                <w:rFonts w:asciiTheme="minorHAnsi" w:hAnsiTheme="minorHAnsi" w:cstheme="minorHAnsi"/>
                <w:sz w:val="20"/>
              </w:rPr>
              <w:t> </w:t>
            </w:r>
          </w:p>
        </w:tc>
        <w:tc>
          <w:tcPr>
            <w:tcW w:w="1542" w:type="pct"/>
            <w:gridSpan w:val="2"/>
            <w:shd w:val="clear" w:color="auto" w:fill="D7D4F1"/>
            <w:vAlign w:val="center"/>
            <w:hideMark/>
          </w:tcPr>
          <w:p w14:paraId="3D74492D" w14:textId="77777777" w:rsidR="003E05B8" w:rsidRPr="00F25F58" w:rsidRDefault="003E05B8" w:rsidP="00D22572">
            <w:pPr>
              <w:pStyle w:val="tabletextleft"/>
              <w:spacing w:after="0"/>
              <w:jc w:val="center"/>
              <w:rPr>
                <w:rFonts w:asciiTheme="minorHAnsi" w:hAnsiTheme="minorHAnsi" w:cstheme="minorHAnsi"/>
                <w:b/>
                <w:sz w:val="20"/>
              </w:rPr>
            </w:pPr>
            <w:r w:rsidRPr="00F25F58">
              <w:rPr>
                <w:rFonts w:asciiTheme="minorHAnsi" w:hAnsiTheme="minorHAnsi" w:cstheme="minorHAnsi"/>
                <w:b/>
                <w:sz w:val="20"/>
              </w:rPr>
              <w:t>% от БВП</w:t>
            </w:r>
          </w:p>
        </w:tc>
        <w:tc>
          <w:tcPr>
            <w:tcW w:w="1542" w:type="pct"/>
            <w:gridSpan w:val="2"/>
            <w:shd w:val="clear" w:color="auto" w:fill="D7D4F1"/>
            <w:vAlign w:val="center"/>
            <w:hideMark/>
          </w:tcPr>
          <w:p w14:paraId="31280FED" w14:textId="43DB504A" w:rsidR="003E05B8" w:rsidRPr="00F25F58" w:rsidRDefault="003E05B8" w:rsidP="00D22572">
            <w:pPr>
              <w:pStyle w:val="tabletextleft"/>
              <w:spacing w:after="0"/>
              <w:jc w:val="center"/>
              <w:rPr>
                <w:rFonts w:asciiTheme="minorHAnsi" w:hAnsiTheme="minorHAnsi" w:cstheme="minorHAnsi"/>
                <w:b/>
                <w:sz w:val="20"/>
              </w:rPr>
            </w:pPr>
            <w:r w:rsidRPr="00F25F58">
              <w:rPr>
                <w:rFonts w:asciiTheme="minorHAnsi" w:hAnsiTheme="minorHAnsi" w:cstheme="minorHAnsi"/>
                <w:b/>
                <w:sz w:val="20"/>
              </w:rPr>
              <w:t xml:space="preserve">% от общите бюджетни </w:t>
            </w:r>
            <w:r w:rsidR="00C53BD6" w:rsidRPr="00F25F58">
              <w:rPr>
                <w:rFonts w:asciiTheme="minorHAnsi" w:hAnsiTheme="minorHAnsi" w:cstheme="minorHAnsi"/>
                <w:b/>
                <w:sz w:val="20"/>
              </w:rPr>
              <w:br/>
            </w:r>
            <w:r w:rsidRPr="00F25F58">
              <w:rPr>
                <w:rFonts w:asciiTheme="minorHAnsi" w:hAnsiTheme="minorHAnsi" w:cstheme="minorHAnsi"/>
                <w:b/>
                <w:sz w:val="20"/>
              </w:rPr>
              <w:t>разходи</w:t>
            </w:r>
          </w:p>
        </w:tc>
      </w:tr>
      <w:tr w:rsidR="003E05B8" w:rsidRPr="00F25F58" w14:paraId="2565D2F5" w14:textId="77777777" w:rsidTr="004076EB">
        <w:trPr>
          <w:trHeight w:val="397"/>
          <w:jc w:val="center"/>
        </w:trPr>
        <w:tc>
          <w:tcPr>
            <w:tcW w:w="0" w:type="auto"/>
            <w:vMerge/>
            <w:shd w:val="clear" w:color="auto" w:fill="D7D4F1"/>
            <w:vAlign w:val="center"/>
            <w:hideMark/>
          </w:tcPr>
          <w:p w14:paraId="0400B0EB" w14:textId="77777777" w:rsidR="003E05B8" w:rsidRPr="00F25F58" w:rsidRDefault="003E05B8" w:rsidP="00D22572">
            <w:pPr>
              <w:spacing w:after="0"/>
              <w:rPr>
                <w:rFonts w:asciiTheme="minorHAnsi" w:hAnsiTheme="minorHAnsi" w:cstheme="minorHAnsi"/>
                <w:sz w:val="20"/>
                <w:szCs w:val="20"/>
              </w:rPr>
            </w:pPr>
          </w:p>
        </w:tc>
        <w:tc>
          <w:tcPr>
            <w:tcW w:w="771" w:type="pct"/>
            <w:shd w:val="clear" w:color="auto" w:fill="D7D4F1"/>
            <w:vAlign w:val="center"/>
            <w:hideMark/>
          </w:tcPr>
          <w:p w14:paraId="298FD9A6" w14:textId="77777777" w:rsidR="003E05B8" w:rsidRPr="00F25F58" w:rsidRDefault="003E05B8" w:rsidP="00D22572">
            <w:pPr>
              <w:spacing w:after="0"/>
              <w:jc w:val="center"/>
              <w:rPr>
                <w:rFonts w:asciiTheme="minorHAnsi" w:hAnsiTheme="minorHAnsi" w:cstheme="minorHAnsi"/>
                <w:b/>
                <w:sz w:val="20"/>
                <w:szCs w:val="20"/>
                <w:lang w:val="en-US"/>
              </w:rPr>
            </w:pPr>
            <w:r w:rsidRPr="00F25F58">
              <w:rPr>
                <w:rFonts w:asciiTheme="minorHAnsi" w:hAnsiTheme="minorHAnsi" w:cstheme="minorHAnsi"/>
                <w:b/>
                <w:sz w:val="20"/>
                <w:szCs w:val="20"/>
              </w:rPr>
              <w:t>20</w:t>
            </w:r>
            <w:r w:rsidRPr="00F25F58">
              <w:rPr>
                <w:rFonts w:asciiTheme="minorHAnsi" w:hAnsiTheme="minorHAnsi" w:cstheme="minorHAnsi"/>
                <w:b/>
                <w:sz w:val="20"/>
                <w:szCs w:val="20"/>
                <w:lang w:val="en-US"/>
              </w:rPr>
              <w:t>20</w:t>
            </w:r>
          </w:p>
        </w:tc>
        <w:tc>
          <w:tcPr>
            <w:tcW w:w="771" w:type="pct"/>
            <w:shd w:val="clear" w:color="auto" w:fill="D7D4F1"/>
            <w:vAlign w:val="center"/>
            <w:hideMark/>
          </w:tcPr>
          <w:p w14:paraId="0E9D8A94" w14:textId="77777777" w:rsidR="003E05B8" w:rsidRPr="00F25F58" w:rsidRDefault="003E05B8" w:rsidP="00D22572">
            <w:pPr>
              <w:spacing w:after="0"/>
              <w:jc w:val="center"/>
              <w:rPr>
                <w:rFonts w:asciiTheme="minorHAnsi" w:hAnsiTheme="minorHAnsi" w:cstheme="minorHAnsi"/>
                <w:b/>
                <w:sz w:val="20"/>
                <w:szCs w:val="20"/>
                <w:lang w:val="en-US"/>
              </w:rPr>
            </w:pPr>
            <w:r w:rsidRPr="00F25F58">
              <w:rPr>
                <w:rFonts w:asciiTheme="minorHAnsi" w:hAnsiTheme="minorHAnsi" w:cstheme="minorHAnsi"/>
                <w:b/>
                <w:sz w:val="20"/>
                <w:szCs w:val="20"/>
              </w:rPr>
              <w:t>202</w:t>
            </w:r>
            <w:r w:rsidRPr="00F25F58">
              <w:rPr>
                <w:rFonts w:asciiTheme="minorHAnsi" w:hAnsiTheme="minorHAnsi" w:cstheme="minorHAnsi"/>
                <w:b/>
                <w:sz w:val="20"/>
                <w:szCs w:val="20"/>
                <w:lang w:val="en-US"/>
              </w:rPr>
              <w:t>5</w:t>
            </w:r>
          </w:p>
        </w:tc>
        <w:tc>
          <w:tcPr>
            <w:tcW w:w="771" w:type="pct"/>
            <w:shd w:val="clear" w:color="auto" w:fill="D7D4F1"/>
            <w:vAlign w:val="center"/>
            <w:hideMark/>
          </w:tcPr>
          <w:p w14:paraId="4CD9F800" w14:textId="77777777" w:rsidR="003E05B8" w:rsidRPr="00F25F58" w:rsidRDefault="003E05B8" w:rsidP="00D22572">
            <w:pPr>
              <w:spacing w:after="0"/>
              <w:jc w:val="center"/>
              <w:rPr>
                <w:rFonts w:asciiTheme="minorHAnsi" w:hAnsiTheme="minorHAnsi" w:cstheme="minorHAnsi"/>
                <w:b/>
                <w:sz w:val="20"/>
                <w:szCs w:val="20"/>
                <w:lang w:val="en-US"/>
              </w:rPr>
            </w:pPr>
            <w:r w:rsidRPr="00F25F58">
              <w:rPr>
                <w:rFonts w:asciiTheme="minorHAnsi" w:hAnsiTheme="minorHAnsi" w:cstheme="minorHAnsi"/>
                <w:b/>
                <w:sz w:val="20"/>
                <w:szCs w:val="20"/>
              </w:rPr>
              <w:t>20</w:t>
            </w:r>
            <w:r w:rsidRPr="00F25F58">
              <w:rPr>
                <w:rFonts w:asciiTheme="minorHAnsi" w:hAnsiTheme="minorHAnsi" w:cstheme="minorHAnsi"/>
                <w:b/>
                <w:sz w:val="20"/>
                <w:szCs w:val="20"/>
                <w:lang w:val="en-US"/>
              </w:rPr>
              <w:t>20</w:t>
            </w:r>
          </w:p>
        </w:tc>
        <w:tc>
          <w:tcPr>
            <w:tcW w:w="771" w:type="pct"/>
            <w:shd w:val="clear" w:color="auto" w:fill="D7D4F1"/>
            <w:vAlign w:val="center"/>
            <w:hideMark/>
          </w:tcPr>
          <w:p w14:paraId="610C0698" w14:textId="77777777" w:rsidR="003E05B8" w:rsidRPr="00F25F58" w:rsidRDefault="003E05B8" w:rsidP="00D22572">
            <w:pPr>
              <w:spacing w:after="0"/>
              <w:jc w:val="center"/>
              <w:rPr>
                <w:rFonts w:asciiTheme="minorHAnsi" w:hAnsiTheme="minorHAnsi" w:cstheme="minorHAnsi"/>
                <w:b/>
                <w:sz w:val="20"/>
                <w:szCs w:val="20"/>
                <w:lang w:val="en-US"/>
              </w:rPr>
            </w:pPr>
            <w:r w:rsidRPr="00F25F58">
              <w:rPr>
                <w:rFonts w:asciiTheme="minorHAnsi" w:hAnsiTheme="minorHAnsi" w:cstheme="minorHAnsi"/>
                <w:b/>
                <w:sz w:val="20"/>
                <w:szCs w:val="20"/>
              </w:rPr>
              <w:t>202</w:t>
            </w:r>
            <w:r w:rsidRPr="00F25F58">
              <w:rPr>
                <w:rFonts w:asciiTheme="minorHAnsi" w:hAnsiTheme="minorHAnsi" w:cstheme="minorHAnsi"/>
                <w:b/>
                <w:sz w:val="20"/>
                <w:szCs w:val="20"/>
                <w:lang w:val="en-US"/>
              </w:rPr>
              <w:t>5</w:t>
            </w:r>
          </w:p>
        </w:tc>
      </w:tr>
      <w:tr w:rsidR="003E05B8" w:rsidRPr="00F25F58" w14:paraId="120278BF" w14:textId="77777777" w:rsidTr="004076EB">
        <w:trPr>
          <w:trHeight w:val="397"/>
          <w:jc w:val="center"/>
        </w:trPr>
        <w:tc>
          <w:tcPr>
            <w:tcW w:w="1916" w:type="pct"/>
            <w:vAlign w:val="center"/>
            <w:hideMark/>
          </w:tcPr>
          <w:p w14:paraId="4E5ABD65"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1. Общи държавни служби</w:t>
            </w:r>
          </w:p>
        </w:tc>
        <w:tc>
          <w:tcPr>
            <w:tcW w:w="771" w:type="pct"/>
            <w:vAlign w:val="center"/>
            <w:hideMark/>
          </w:tcPr>
          <w:p w14:paraId="0A20B4F8"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3.5</w:t>
            </w:r>
          </w:p>
        </w:tc>
        <w:tc>
          <w:tcPr>
            <w:tcW w:w="771" w:type="pct"/>
            <w:vAlign w:val="center"/>
            <w:hideMark/>
          </w:tcPr>
          <w:p w14:paraId="23CB4970"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3.</w:t>
            </w:r>
            <w:r w:rsidRPr="00F25F58">
              <w:rPr>
                <w:rFonts w:asciiTheme="minorHAnsi" w:hAnsiTheme="minorHAnsi" w:cstheme="minorHAnsi"/>
                <w:sz w:val="20"/>
                <w:szCs w:val="20"/>
                <w:lang w:val="en-US"/>
              </w:rPr>
              <w:t>4</w:t>
            </w:r>
          </w:p>
        </w:tc>
        <w:tc>
          <w:tcPr>
            <w:tcW w:w="771" w:type="pct"/>
            <w:vAlign w:val="center"/>
            <w:hideMark/>
          </w:tcPr>
          <w:p w14:paraId="48CD2222"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8.4</w:t>
            </w:r>
          </w:p>
        </w:tc>
        <w:tc>
          <w:tcPr>
            <w:tcW w:w="771" w:type="pct"/>
            <w:vAlign w:val="center"/>
            <w:hideMark/>
          </w:tcPr>
          <w:p w14:paraId="00A34108"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8.</w:t>
            </w:r>
            <w:r w:rsidRPr="00F25F58">
              <w:rPr>
                <w:rFonts w:asciiTheme="minorHAnsi" w:hAnsiTheme="minorHAnsi" w:cstheme="minorHAnsi"/>
                <w:sz w:val="20"/>
                <w:szCs w:val="20"/>
                <w:lang w:val="en-US"/>
              </w:rPr>
              <w:t>8</w:t>
            </w:r>
          </w:p>
        </w:tc>
      </w:tr>
      <w:tr w:rsidR="003E05B8" w:rsidRPr="00F25F58" w14:paraId="06AB79F7" w14:textId="77777777" w:rsidTr="004076EB">
        <w:trPr>
          <w:trHeight w:val="397"/>
          <w:jc w:val="center"/>
        </w:trPr>
        <w:tc>
          <w:tcPr>
            <w:tcW w:w="1916" w:type="pct"/>
            <w:vAlign w:val="center"/>
            <w:hideMark/>
          </w:tcPr>
          <w:p w14:paraId="03DEEAA5"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2. Отбрана</w:t>
            </w:r>
          </w:p>
        </w:tc>
        <w:tc>
          <w:tcPr>
            <w:tcW w:w="771" w:type="pct"/>
            <w:vAlign w:val="center"/>
            <w:hideMark/>
          </w:tcPr>
          <w:p w14:paraId="19DC5DD9"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1.5</w:t>
            </w:r>
          </w:p>
        </w:tc>
        <w:tc>
          <w:tcPr>
            <w:tcW w:w="771" w:type="pct"/>
            <w:vAlign w:val="center"/>
            <w:hideMark/>
          </w:tcPr>
          <w:p w14:paraId="36091BDF"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2.6</w:t>
            </w:r>
          </w:p>
        </w:tc>
        <w:tc>
          <w:tcPr>
            <w:tcW w:w="771" w:type="pct"/>
            <w:vAlign w:val="center"/>
            <w:hideMark/>
          </w:tcPr>
          <w:p w14:paraId="167F0787"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3.7</w:t>
            </w:r>
          </w:p>
        </w:tc>
        <w:tc>
          <w:tcPr>
            <w:tcW w:w="771" w:type="pct"/>
            <w:vAlign w:val="center"/>
            <w:hideMark/>
          </w:tcPr>
          <w:p w14:paraId="2250892E"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6.7</w:t>
            </w:r>
          </w:p>
        </w:tc>
      </w:tr>
      <w:tr w:rsidR="003E05B8" w:rsidRPr="00F25F58" w14:paraId="48E91756" w14:textId="77777777" w:rsidTr="004076EB">
        <w:trPr>
          <w:trHeight w:val="397"/>
          <w:jc w:val="center"/>
        </w:trPr>
        <w:tc>
          <w:tcPr>
            <w:tcW w:w="1916" w:type="pct"/>
            <w:vAlign w:val="center"/>
            <w:hideMark/>
          </w:tcPr>
          <w:p w14:paraId="7B729A72"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3. Обществен ред и сигурност</w:t>
            </w:r>
          </w:p>
        </w:tc>
        <w:tc>
          <w:tcPr>
            <w:tcW w:w="771" w:type="pct"/>
            <w:vAlign w:val="center"/>
            <w:hideMark/>
          </w:tcPr>
          <w:p w14:paraId="769BFD93"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2.7</w:t>
            </w:r>
          </w:p>
        </w:tc>
        <w:tc>
          <w:tcPr>
            <w:tcW w:w="771" w:type="pct"/>
            <w:vAlign w:val="center"/>
            <w:hideMark/>
          </w:tcPr>
          <w:p w14:paraId="595BDB79"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2.3</w:t>
            </w:r>
          </w:p>
        </w:tc>
        <w:tc>
          <w:tcPr>
            <w:tcW w:w="771" w:type="pct"/>
            <w:vAlign w:val="center"/>
            <w:hideMark/>
          </w:tcPr>
          <w:p w14:paraId="33FFA087"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6.5</w:t>
            </w:r>
          </w:p>
        </w:tc>
        <w:tc>
          <w:tcPr>
            <w:tcW w:w="771" w:type="pct"/>
            <w:vAlign w:val="center"/>
            <w:hideMark/>
          </w:tcPr>
          <w:p w14:paraId="70BE204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6.0</w:t>
            </w:r>
          </w:p>
        </w:tc>
      </w:tr>
      <w:tr w:rsidR="003E05B8" w:rsidRPr="00F25F58" w14:paraId="156BC313" w14:textId="77777777" w:rsidTr="004076EB">
        <w:trPr>
          <w:trHeight w:val="397"/>
          <w:jc w:val="center"/>
        </w:trPr>
        <w:tc>
          <w:tcPr>
            <w:tcW w:w="1916" w:type="pct"/>
            <w:vAlign w:val="center"/>
            <w:hideMark/>
          </w:tcPr>
          <w:p w14:paraId="31312C77"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4. Икономически дейности</w:t>
            </w:r>
          </w:p>
        </w:tc>
        <w:tc>
          <w:tcPr>
            <w:tcW w:w="771" w:type="pct"/>
            <w:vAlign w:val="center"/>
            <w:hideMark/>
          </w:tcPr>
          <w:p w14:paraId="46838C20"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8.5</w:t>
            </w:r>
          </w:p>
        </w:tc>
        <w:tc>
          <w:tcPr>
            <w:tcW w:w="771" w:type="pct"/>
            <w:vAlign w:val="center"/>
            <w:hideMark/>
          </w:tcPr>
          <w:p w14:paraId="3FA3789F"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6.4</w:t>
            </w:r>
          </w:p>
        </w:tc>
        <w:tc>
          <w:tcPr>
            <w:tcW w:w="771" w:type="pct"/>
            <w:vAlign w:val="center"/>
            <w:hideMark/>
          </w:tcPr>
          <w:p w14:paraId="7D575329"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20.4</w:t>
            </w:r>
          </w:p>
        </w:tc>
        <w:tc>
          <w:tcPr>
            <w:tcW w:w="771" w:type="pct"/>
            <w:vAlign w:val="center"/>
            <w:hideMark/>
          </w:tcPr>
          <w:p w14:paraId="1A1E3F3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16.5</w:t>
            </w:r>
          </w:p>
        </w:tc>
      </w:tr>
      <w:tr w:rsidR="003E05B8" w:rsidRPr="00F25F58" w14:paraId="71F4B3D6" w14:textId="77777777" w:rsidTr="004076EB">
        <w:trPr>
          <w:trHeight w:val="397"/>
          <w:jc w:val="center"/>
        </w:trPr>
        <w:tc>
          <w:tcPr>
            <w:tcW w:w="1916" w:type="pct"/>
            <w:vAlign w:val="center"/>
            <w:hideMark/>
          </w:tcPr>
          <w:p w14:paraId="62277C2D"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5. Опазване на околната среда</w:t>
            </w:r>
          </w:p>
        </w:tc>
        <w:tc>
          <w:tcPr>
            <w:tcW w:w="771" w:type="pct"/>
            <w:vAlign w:val="center"/>
            <w:hideMark/>
          </w:tcPr>
          <w:p w14:paraId="1FD3C71B"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0.7</w:t>
            </w:r>
          </w:p>
        </w:tc>
        <w:tc>
          <w:tcPr>
            <w:tcW w:w="771" w:type="pct"/>
            <w:vAlign w:val="center"/>
            <w:hideMark/>
          </w:tcPr>
          <w:p w14:paraId="1A8A1AD9"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0.7</w:t>
            </w:r>
          </w:p>
        </w:tc>
        <w:tc>
          <w:tcPr>
            <w:tcW w:w="771" w:type="pct"/>
            <w:vAlign w:val="center"/>
            <w:hideMark/>
          </w:tcPr>
          <w:p w14:paraId="3F34A79C"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1.7</w:t>
            </w:r>
          </w:p>
        </w:tc>
        <w:tc>
          <w:tcPr>
            <w:tcW w:w="771" w:type="pct"/>
            <w:vAlign w:val="center"/>
            <w:hideMark/>
          </w:tcPr>
          <w:p w14:paraId="620EEF0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1.9</w:t>
            </w:r>
          </w:p>
        </w:tc>
      </w:tr>
      <w:tr w:rsidR="003E05B8" w:rsidRPr="00F25F58" w14:paraId="77433762" w14:textId="77777777" w:rsidTr="004076EB">
        <w:trPr>
          <w:trHeight w:val="397"/>
          <w:jc w:val="center"/>
        </w:trPr>
        <w:tc>
          <w:tcPr>
            <w:tcW w:w="1916" w:type="pct"/>
            <w:vAlign w:val="center"/>
            <w:hideMark/>
          </w:tcPr>
          <w:p w14:paraId="53A3FFD8"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6. Жилищно строителство, благоустройство и комунално стопанство</w:t>
            </w:r>
          </w:p>
        </w:tc>
        <w:tc>
          <w:tcPr>
            <w:tcW w:w="771" w:type="pct"/>
            <w:vAlign w:val="center"/>
            <w:hideMark/>
          </w:tcPr>
          <w:p w14:paraId="559AD8E9"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0.9</w:t>
            </w:r>
          </w:p>
        </w:tc>
        <w:tc>
          <w:tcPr>
            <w:tcW w:w="771" w:type="pct"/>
            <w:vAlign w:val="center"/>
            <w:hideMark/>
          </w:tcPr>
          <w:p w14:paraId="30803B83"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0.8</w:t>
            </w:r>
          </w:p>
        </w:tc>
        <w:tc>
          <w:tcPr>
            <w:tcW w:w="771" w:type="pct"/>
            <w:vAlign w:val="center"/>
            <w:hideMark/>
          </w:tcPr>
          <w:p w14:paraId="4277D46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2.1</w:t>
            </w:r>
          </w:p>
        </w:tc>
        <w:tc>
          <w:tcPr>
            <w:tcW w:w="771" w:type="pct"/>
            <w:vAlign w:val="center"/>
            <w:hideMark/>
          </w:tcPr>
          <w:p w14:paraId="0A1C35A8"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2.2</w:t>
            </w:r>
          </w:p>
        </w:tc>
      </w:tr>
      <w:tr w:rsidR="003E05B8" w:rsidRPr="00F25F58" w14:paraId="4E11C9C8" w14:textId="77777777" w:rsidTr="004076EB">
        <w:trPr>
          <w:trHeight w:val="397"/>
          <w:jc w:val="center"/>
        </w:trPr>
        <w:tc>
          <w:tcPr>
            <w:tcW w:w="1916" w:type="pct"/>
            <w:vAlign w:val="center"/>
            <w:hideMark/>
          </w:tcPr>
          <w:p w14:paraId="68B0A422"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7. Здравеопазване</w:t>
            </w:r>
          </w:p>
        </w:tc>
        <w:tc>
          <w:tcPr>
            <w:tcW w:w="771" w:type="pct"/>
            <w:vAlign w:val="center"/>
            <w:hideMark/>
          </w:tcPr>
          <w:p w14:paraId="5B959E2B"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5.9</w:t>
            </w:r>
          </w:p>
        </w:tc>
        <w:tc>
          <w:tcPr>
            <w:tcW w:w="771" w:type="pct"/>
            <w:vAlign w:val="center"/>
            <w:hideMark/>
          </w:tcPr>
          <w:p w14:paraId="15E1AE17"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5.2</w:t>
            </w:r>
          </w:p>
        </w:tc>
        <w:tc>
          <w:tcPr>
            <w:tcW w:w="771" w:type="pct"/>
            <w:vAlign w:val="center"/>
            <w:hideMark/>
          </w:tcPr>
          <w:p w14:paraId="0DE0735D"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14.1</w:t>
            </w:r>
          </w:p>
        </w:tc>
        <w:tc>
          <w:tcPr>
            <w:tcW w:w="771" w:type="pct"/>
            <w:vAlign w:val="center"/>
            <w:hideMark/>
          </w:tcPr>
          <w:p w14:paraId="76B66370"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13.6</w:t>
            </w:r>
          </w:p>
        </w:tc>
      </w:tr>
      <w:tr w:rsidR="003E05B8" w:rsidRPr="00F25F58" w14:paraId="58055CCE" w14:textId="77777777" w:rsidTr="004076EB">
        <w:trPr>
          <w:trHeight w:val="397"/>
          <w:jc w:val="center"/>
        </w:trPr>
        <w:tc>
          <w:tcPr>
            <w:tcW w:w="1916" w:type="pct"/>
            <w:vAlign w:val="center"/>
            <w:hideMark/>
          </w:tcPr>
          <w:p w14:paraId="1B76CE82"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8. Почивно дело, култура и религия</w:t>
            </w:r>
          </w:p>
        </w:tc>
        <w:tc>
          <w:tcPr>
            <w:tcW w:w="771" w:type="pct"/>
            <w:vAlign w:val="center"/>
            <w:hideMark/>
          </w:tcPr>
          <w:p w14:paraId="37DD0454"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0.9</w:t>
            </w:r>
          </w:p>
        </w:tc>
        <w:tc>
          <w:tcPr>
            <w:tcW w:w="771" w:type="pct"/>
            <w:vAlign w:val="center"/>
            <w:hideMark/>
          </w:tcPr>
          <w:p w14:paraId="34FBDFB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0.6</w:t>
            </w:r>
          </w:p>
        </w:tc>
        <w:tc>
          <w:tcPr>
            <w:tcW w:w="771" w:type="pct"/>
            <w:vAlign w:val="center"/>
            <w:hideMark/>
          </w:tcPr>
          <w:p w14:paraId="3DC210C0"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2.1</w:t>
            </w:r>
          </w:p>
        </w:tc>
        <w:tc>
          <w:tcPr>
            <w:tcW w:w="771" w:type="pct"/>
            <w:vAlign w:val="center"/>
            <w:hideMark/>
          </w:tcPr>
          <w:p w14:paraId="5909621A"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1.6</w:t>
            </w:r>
          </w:p>
        </w:tc>
      </w:tr>
      <w:tr w:rsidR="003E05B8" w:rsidRPr="00F25F58" w14:paraId="44A057A3" w14:textId="77777777" w:rsidTr="004076EB">
        <w:trPr>
          <w:trHeight w:val="397"/>
          <w:jc w:val="center"/>
        </w:trPr>
        <w:tc>
          <w:tcPr>
            <w:tcW w:w="1916" w:type="pct"/>
            <w:vAlign w:val="center"/>
            <w:hideMark/>
          </w:tcPr>
          <w:p w14:paraId="60C6311D"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9. Образование</w:t>
            </w:r>
          </w:p>
        </w:tc>
        <w:tc>
          <w:tcPr>
            <w:tcW w:w="771" w:type="pct"/>
            <w:vAlign w:val="center"/>
            <w:hideMark/>
          </w:tcPr>
          <w:p w14:paraId="2E56FD0E"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4.0</w:t>
            </w:r>
          </w:p>
        </w:tc>
        <w:tc>
          <w:tcPr>
            <w:tcW w:w="771" w:type="pct"/>
            <w:vAlign w:val="center"/>
            <w:hideMark/>
          </w:tcPr>
          <w:p w14:paraId="5A36BB8E"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4.0</w:t>
            </w:r>
          </w:p>
        </w:tc>
        <w:tc>
          <w:tcPr>
            <w:tcW w:w="771" w:type="pct"/>
            <w:vAlign w:val="center"/>
            <w:hideMark/>
          </w:tcPr>
          <w:p w14:paraId="00C61CA4"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9.5</w:t>
            </w:r>
          </w:p>
        </w:tc>
        <w:tc>
          <w:tcPr>
            <w:tcW w:w="771" w:type="pct"/>
            <w:vAlign w:val="center"/>
            <w:hideMark/>
          </w:tcPr>
          <w:p w14:paraId="4B458230"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10.4</w:t>
            </w:r>
          </w:p>
        </w:tc>
      </w:tr>
      <w:tr w:rsidR="003E05B8" w:rsidRPr="00F25F58" w14:paraId="39A05EB5" w14:textId="77777777" w:rsidTr="004076EB">
        <w:trPr>
          <w:trHeight w:val="397"/>
          <w:jc w:val="center"/>
        </w:trPr>
        <w:tc>
          <w:tcPr>
            <w:tcW w:w="1916" w:type="pct"/>
            <w:vAlign w:val="center"/>
            <w:hideMark/>
          </w:tcPr>
          <w:p w14:paraId="564ED23E" w14:textId="77777777" w:rsidR="003E05B8" w:rsidRPr="00F25F58" w:rsidRDefault="003E05B8" w:rsidP="00D22572">
            <w:pPr>
              <w:pStyle w:val="tabletextleft"/>
              <w:spacing w:after="0"/>
              <w:rPr>
                <w:rFonts w:asciiTheme="minorHAnsi" w:hAnsiTheme="minorHAnsi" w:cstheme="minorHAnsi"/>
                <w:sz w:val="20"/>
              </w:rPr>
            </w:pPr>
            <w:r w:rsidRPr="00F25F58">
              <w:rPr>
                <w:rFonts w:asciiTheme="minorHAnsi" w:hAnsiTheme="minorHAnsi" w:cstheme="minorHAnsi"/>
                <w:sz w:val="20"/>
              </w:rPr>
              <w:t>10. Социална защита</w:t>
            </w:r>
          </w:p>
        </w:tc>
        <w:tc>
          <w:tcPr>
            <w:tcW w:w="771" w:type="pct"/>
            <w:vAlign w:val="center"/>
            <w:hideMark/>
          </w:tcPr>
          <w:p w14:paraId="28E4800C"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13.1</w:t>
            </w:r>
          </w:p>
        </w:tc>
        <w:tc>
          <w:tcPr>
            <w:tcW w:w="771" w:type="pct"/>
            <w:vAlign w:val="center"/>
            <w:hideMark/>
          </w:tcPr>
          <w:p w14:paraId="611118EF"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12.5</w:t>
            </w:r>
          </w:p>
        </w:tc>
        <w:tc>
          <w:tcPr>
            <w:tcW w:w="771" w:type="pct"/>
            <w:vAlign w:val="center"/>
            <w:hideMark/>
          </w:tcPr>
          <w:p w14:paraId="67F67B1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31.4</w:t>
            </w:r>
          </w:p>
        </w:tc>
        <w:tc>
          <w:tcPr>
            <w:tcW w:w="771" w:type="pct"/>
            <w:vAlign w:val="center"/>
            <w:hideMark/>
          </w:tcPr>
          <w:p w14:paraId="75DCFB44"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32.</w:t>
            </w:r>
            <w:r w:rsidRPr="00F25F58">
              <w:rPr>
                <w:rFonts w:asciiTheme="minorHAnsi" w:hAnsiTheme="minorHAnsi" w:cstheme="minorHAnsi"/>
                <w:sz w:val="20"/>
                <w:szCs w:val="20"/>
                <w:lang w:val="en-US"/>
              </w:rPr>
              <w:t>4</w:t>
            </w:r>
          </w:p>
        </w:tc>
      </w:tr>
      <w:tr w:rsidR="003E05B8" w:rsidRPr="00F25F58" w14:paraId="650B2669" w14:textId="77777777" w:rsidTr="004076EB">
        <w:trPr>
          <w:trHeight w:val="397"/>
          <w:jc w:val="center"/>
        </w:trPr>
        <w:tc>
          <w:tcPr>
            <w:tcW w:w="1916" w:type="pct"/>
            <w:vAlign w:val="center"/>
            <w:hideMark/>
          </w:tcPr>
          <w:p w14:paraId="585E1B19" w14:textId="77777777" w:rsidR="003E05B8" w:rsidRPr="00F25F58" w:rsidRDefault="003E05B8" w:rsidP="00D22572">
            <w:pPr>
              <w:pStyle w:val="tabletextleft"/>
              <w:spacing w:after="0"/>
              <w:rPr>
                <w:rFonts w:asciiTheme="minorHAnsi" w:hAnsiTheme="minorHAnsi" w:cstheme="minorHAnsi"/>
                <w:b/>
                <w:sz w:val="20"/>
              </w:rPr>
            </w:pPr>
            <w:r w:rsidRPr="00F25F58">
              <w:rPr>
                <w:rFonts w:asciiTheme="minorHAnsi" w:hAnsiTheme="minorHAnsi" w:cstheme="minorHAnsi"/>
                <w:b/>
                <w:sz w:val="20"/>
              </w:rPr>
              <w:t xml:space="preserve">11. Общо разходи </w:t>
            </w:r>
          </w:p>
        </w:tc>
        <w:tc>
          <w:tcPr>
            <w:tcW w:w="771" w:type="pct"/>
            <w:vAlign w:val="center"/>
            <w:hideMark/>
          </w:tcPr>
          <w:p w14:paraId="2D4263A7"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41.8</w:t>
            </w:r>
          </w:p>
        </w:tc>
        <w:tc>
          <w:tcPr>
            <w:tcW w:w="771" w:type="pct"/>
            <w:vAlign w:val="center"/>
            <w:hideMark/>
          </w:tcPr>
          <w:p w14:paraId="66F5C1C7"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38.6</w:t>
            </w:r>
          </w:p>
        </w:tc>
        <w:tc>
          <w:tcPr>
            <w:tcW w:w="771" w:type="pct"/>
            <w:vAlign w:val="center"/>
            <w:hideMark/>
          </w:tcPr>
          <w:p w14:paraId="7D17CD66"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100.0</w:t>
            </w:r>
          </w:p>
        </w:tc>
        <w:tc>
          <w:tcPr>
            <w:tcW w:w="771" w:type="pct"/>
            <w:vAlign w:val="center"/>
            <w:hideMark/>
          </w:tcPr>
          <w:p w14:paraId="152FC7A8" w14:textId="77777777" w:rsidR="003E05B8" w:rsidRPr="00F25F58" w:rsidRDefault="003E05B8" w:rsidP="00D22572">
            <w:pPr>
              <w:spacing w:after="0"/>
              <w:jc w:val="center"/>
              <w:rPr>
                <w:rFonts w:asciiTheme="minorHAnsi" w:hAnsiTheme="minorHAnsi" w:cstheme="minorHAnsi"/>
                <w:sz w:val="20"/>
                <w:szCs w:val="20"/>
              </w:rPr>
            </w:pPr>
            <w:r w:rsidRPr="00F25F58">
              <w:rPr>
                <w:rFonts w:asciiTheme="minorHAnsi" w:hAnsiTheme="minorHAnsi" w:cstheme="minorHAnsi"/>
                <w:sz w:val="20"/>
                <w:szCs w:val="20"/>
              </w:rPr>
              <w:t>100.0</w:t>
            </w:r>
          </w:p>
        </w:tc>
      </w:tr>
    </w:tbl>
    <w:bookmarkEnd w:id="128"/>
    <w:p w14:paraId="77CD74B1" w14:textId="77777777" w:rsidR="003E05B8" w:rsidRPr="00682446" w:rsidRDefault="003E05B8" w:rsidP="00D22572">
      <w:pPr>
        <w:pStyle w:val="a"/>
      </w:pPr>
      <w:r w:rsidRPr="00682446">
        <w:t>Източник: МФ, НСИ</w:t>
      </w:r>
    </w:p>
    <w:p w14:paraId="5338E422" w14:textId="77777777" w:rsidR="005702A5" w:rsidRPr="005B2032" w:rsidRDefault="005702A5" w:rsidP="00C1337B">
      <w:pPr>
        <w:pStyle w:val="a"/>
        <w:rPr>
          <w:rFonts w:asciiTheme="minorHAnsi" w:hAnsiTheme="minorHAnsi" w:cstheme="minorHAnsi"/>
        </w:rPr>
      </w:pPr>
    </w:p>
    <w:p w14:paraId="6D6365C6" w14:textId="4F8E9317" w:rsidR="00210F62" w:rsidRPr="00E360FF" w:rsidRDefault="00D359FF" w:rsidP="00E360FF">
      <w:pPr>
        <w:pStyle w:val="Heading2"/>
      </w:pPr>
      <w:bookmarkStart w:id="129" w:name="_Toc352851614"/>
      <w:bookmarkStart w:id="130" w:name="_Toc448227303"/>
      <w:bookmarkStart w:id="131" w:name="_Toc479332455"/>
      <w:bookmarkStart w:id="132" w:name="_Toc100906085"/>
      <w:r w:rsidRPr="00E360FF">
        <w:t>Структура и ефективност на приходните системи</w:t>
      </w:r>
      <w:bookmarkEnd w:id="129"/>
      <w:bookmarkEnd w:id="130"/>
      <w:bookmarkEnd w:id="131"/>
      <w:bookmarkEnd w:id="132"/>
    </w:p>
    <w:p w14:paraId="330F8C1D" w14:textId="12915B2C" w:rsidR="00210F62" w:rsidRPr="005968FD" w:rsidRDefault="00210F62" w:rsidP="005E6318">
      <w:pPr>
        <w:pStyle w:val="Heading3"/>
      </w:pPr>
      <w:r w:rsidRPr="005968FD">
        <w:t>Данъчна политика и законодателство</w:t>
      </w:r>
    </w:p>
    <w:p w14:paraId="767F0442" w14:textId="65157EA1" w:rsidR="00210F62" w:rsidRPr="005968FD" w:rsidRDefault="00210F62" w:rsidP="00E360FF">
      <w:r w:rsidRPr="005968FD">
        <w:t>Данъчната политика на Република България е ориентирана към осигуряване на макроикономическа и бюджетна стабилност в средносрочен и дългосрочен план, както и на необходимия финансов ресурс за изпълнение на разходните политики на правителството. Политиката в областта на данъците се характеризира с предвидимост, като същевременно</w:t>
      </w:r>
      <w:r w:rsidR="009C0E16" w:rsidRPr="005968FD">
        <w:t xml:space="preserve"> </w:t>
      </w:r>
      <w:r w:rsidRPr="005968FD">
        <w:t>се насърчава развитието на бизнеса, инвестиционната активност, стимулират се иновациите, енергийната ефективност и заетостта. В международен аспект данъчната политика на страната е насочена в подкрепа на функционирането на единния пазар на Европейския съюз, успешното осъществяване на цифровата трансформация на обществото и икономиката в Европа и на дейностите по справяне с въпросите за климата и околната среда.</w:t>
      </w:r>
    </w:p>
    <w:p w14:paraId="01D33C03" w14:textId="77777777" w:rsidR="00210F62" w:rsidRPr="005968FD" w:rsidRDefault="00210F62" w:rsidP="005968FD">
      <w:pPr>
        <w:rPr>
          <w:szCs w:val="24"/>
        </w:rPr>
      </w:pPr>
      <w:r w:rsidRPr="005968FD">
        <w:rPr>
          <w:szCs w:val="24"/>
        </w:rPr>
        <w:t xml:space="preserve">Като се придържа към принципите за справедливост и ефективност, данъчната система се развива по начин, благоприятстващ растежа и осигуряващ повишаване на бюджетните приходи. В тази насока важна роля имат целите и мерките на данъчната политика за ограничаване на данъчните измами, за предотвратяване на отклонението от данъчно облагане, за справяне със сенчестата икономика и за намаляване на административната тежест и разходите за бизнеса и гражданите. </w:t>
      </w:r>
    </w:p>
    <w:p w14:paraId="1FB1DF16" w14:textId="77DF7D13" w:rsidR="00210F62" w:rsidRPr="005968FD" w:rsidRDefault="00210F62" w:rsidP="005968FD">
      <w:pPr>
        <w:rPr>
          <w:bCs/>
          <w:szCs w:val="24"/>
        </w:rPr>
      </w:pPr>
      <w:r w:rsidRPr="005968FD">
        <w:rPr>
          <w:bCs/>
          <w:szCs w:val="24"/>
        </w:rPr>
        <w:t>За периода 2022</w:t>
      </w:r>
      <w:r w:rsidR="00EC2B93">
        <w:rPr>
          <w:rFonts w:cstheme="minorHAnsi"/>
          <w:lang w:val="en-US"/>
        </w:rPr>
        <w:t>–</w:t>
      </w:r>
      <w:r w:rsidRPr="005968FD">
        <w:rPr>
          <w:bCs/>
          <w:szCs w:val="24"/>
        </w:rPr>
        <w:t>2025</w:t>
      </w:r>
      <w:r w:rsidR="00DF07FD">
        <w:rPr>
          <w:bCs/>
          <w:szCs w:val="24"/>
        </w:rPr>
        <w:t> г.</w:t>
      </w:r>
      <w:r w:rsidRPr="005968FD">
        <w:rPr>
          <w:bCs/>
          <w:szCs w:val="24"/>
        </w:rPr>
        <w:t xml:space="preserve"> </w:t>
      </w:r>
      <w:r w:rsidRPr="005968FD">
        <w:rPr>
          <w:szCs w:val="24"/>
        </w:rPr>
        <w:t>политиката в областта на данъците</w:t>
      </w:r>
      <w:r w:rsidRPr="005968FD">
        <w:rPr>
          <w:bCs/>
          <w:szCs w:val="24"/>
        </w:rPr>
        <w:t xml:space="preserve"> ще продължи да се придържа към установените принципи и насоки през последните години, като </w:t>
      </w:r>
      <w:r w:rsidRPr="005968FD">
        <w:rPr>
          <w:szCs w:val="24"/>
        </w:rPr>
        <w:t xml:space="preserve">основните ѝ цели отново са насочени към поддържане на икономическия растеж, подобряване на бизнес средата, борбата с данъчните злоупотреби и повишаване на фискалната </w:t>
      </w:r>
      <w:r w:rsidR="00EA271E" w:rsidRPr="005968FD">
        <w:rPr>
          <w:szCs w:val="24"/>
        </w:rPr>
        <w:t>устойчивост в дългосрочен план.</w:t>
      </w:r>
      <w:r w:rsidRPr="005968FD">
        <w:rPr>
          <w:szCs w:val="24"/>
        </w:rPr>
        <w:t xml:space="preserve"> Запазват се основните приоритети, свързани с подобряване на събираемостта на приходите, предотвратяването на възможности за укриване и невнасяне на </w:t>
      </w:r>
      <w:r w:rsidRPr="005968FD">
        <w:rPr>
          <w:szCs w:val="24"/>
        </w:rPr>
        <w:lastRenderedPageBreak/>
        <w:t>данъци и осигуровки и намаляване на административната тежест и разходите за бизнеса и гражданите. Предвижда се запазване на ниските данъчни ставки за корпоративните данъци и тези за данъците върху доходите на физическите лица,</w:t>
      </w:r>
      <w:r w:rsidRPr="005968FD">
        <w:rPr>
          <w:bCs/>
          <w:szCs w:val="24"/>
        </w:rPr>
        <w:t xml:space="preserve"> като важна предпоставка за инвестиции, икономически растеж и заетост.</w:t>
      </w:r>
    </w:p>
    <w:p w14:paraId="05C817FB" w14:textId="20E014E3" w:rsidR="00210F62" w:rsidRPr="005968FD" w:rsidRDefault="00210F62" w:rsidP="005968FD">
      <w:pPr>
        <w:rPr>
          <w:szCs w:val="24"/>
        </w:rPr>
      </w:pPr>
      <w:r w:rsidRPr="005968FD">
        <w:rPr>
          <w:szCs w:val="24"/>
        </w:rPr>
        <w:t>Приходните дискреционни мерки в областта на данъчната политика за 2022</w:t>
      </w:r>
      <w:r w:rsidR="00EC2B93">
        <w:rPr>
          <w:rFonts w:cstheme="minorHAnsi"/>
          <w:lang w:val="en-US"/>
        </w:rPr>
        <w:t>–</w:t>
      </w:r>
      <w:r w:rsidRPr="005968FD">
        <w:rPr>
          <w:szCs w:val="24"/>
        </w:rPr>
        <w:t>2023</w:t>
      </w:r>
      <w:r w:rsidR="00DF07FD">
        <w:rPr>
          <w:szCs w:val="24"/>
        </w:rPr>
        <w:t> г.</w:t>
      </w:r>
      <w:r w:rsidRPr="005968FD">
        <w:rPr>
          <w:szCs w:val="24"/>
        </w:rPr>
        <w:t xml:space="preserve"> включват предприети в отговор на борбата с разпространението на заразата с COVID-19 законодателни промени,</w:t>
      </w:r>
      <w:r w:rsidR="009C0E16" w:rsidRPr="005968FD">
        <w:rPr>
          <w:szCs w:val="24"/>
        </w:rPr>
        <w:t xml:space="preserve"> </w:t>
      </w:r>
      <w:r w:rsidRPr="005968FD">
        <w:rPr>
          <w:szCs w:val="24"/>
        </w:rPr>
        <w:t>насочени в подкрепа на гражданите, бизнеса и заетостта. Прието</w:t>
      </w:r>
      <w:r w:rsidR="009C0E16" w:rsidRPr="005968FD">
        <w:rPr>
          <w:szCs w:val="24"/>
        </w:rPr>
        <w:t xml:space="preserve"> </w:t>
      </w:r>
      <w:r w:rsidRPr="005968FD">
        <w:rPr>
          <w:szCs w:val="24"/>
        </w:rPr>
        <w:t>е допускането, че икономическото възстановяване в България протича едновременно със същите процеси в международен план.</w:t>
      </w:r>
    </w:p>
    <w:p w14:paraId="684C9926" w14:textId="54FD05CF" w:rsidR="00210F62" w:rsidRPr="005968FD" w:rsidRDefault="00210F62" w:rsidP="00E360FF">
      <w:r w:rsidRPr="005968FD">
        <w:t>През периода 2022</w:t>
      </w:r>
      <w:r w:rsidR="00EC2B93">
        <w:t>–</w:t>
      </w:r>
      <w:r w:rsidRPr="005968FD">
        <w:t>2025</w:t>
      </w:r>
      <w:r w:rsidR="00DF07FD">
        <w:t> г.</w:t>
      </w:r>
      <w:r w:rsidRPr="005968FD">
        <w:t xml:space="preserve"> Министерството на финансите ще продължи активно да участва в структурите и дейността на ЕС и в инициативи на Организацията за икономическо сътрудничество и развитие (ОИСР) в областта на данъците и административното сътрудничество. Продължава работата, свързана с участието на Република България в дейностите за въвеждането на вече договорените от Организацията за икономическо сътрудничество и развитие (ОИСР) четири минимални стандарта и други елементи на пакета от мерки по Проекта „Свиване на данъчната основа и прехвърлянето на печалби” (Base Erosion and Profit Shifting – BEPS), във връзка с присъединяването на Република България към Приобщаващата рамка на </w:t>
      </w:r>
      <w:bookmarkStart w:id="133" w:name="_Hlk68688878"/>
      <w:r w:rsidRPr="005968FD">
        <w:t xml:space="preserve">ОИСР </w:t>
      </w:r>
      <w:bookmarkEnd w:id="133"/>
      <w:r w:rsidRPr="005968FD">
        <w:t>за въвеждане на мерките по проекта за свиване на данъчната основа и прехвърлянето на печалби (Протокол № 13.37 от заседанието на Министерския съвет на 30 март 2016</w:t>
      </w:r>
      <w:r w:rsidR="00DF07FD">
        <w:t> г.</w:t>
      </w:r>
      <w:r w:rsidRPr="005968FD">
        <w:t>). Въвеждането на минималните стандарти е свързано и с изпълнението на задълженията на България като държава членка на ЕС.</w:t>
      </w:r>
    </w:p>
    <w:p w14:paraId="5D9C4402" w14:textId="77777777" w:rsidR="00210F62" w:rsidRPr="005968FD" w:rsidRDefault="00210F62" w:rsidP="005968FD">
      <w:pPr>
        <w:rPr>
          <w:szCs w:val="24"/>
        </w:rPr>
      </w:pPr>
      <w:r w:rsidRPr="005968FD">
        <w:rPr>
          <w:szCs w:val="24"/>
        </w:rPr>
        <w:t xml:space="preserve">През периода ще продължи участието на български експерти в дейностите, свързани с обсъждането, анализа и оценката на въздействие от планираните от ОИСР мерки за справяне с данъчните предизвикателства, породени от дигитализацията на икономиката и нерешени проблеми, свързани с прехвърлянето на печалби: Стълб 1 (преразпределение на данъчни права) и Стълб 2 (минимално данъчно облагане на печалбата на многонационалните предприятия). Очаква се реформата да осигури повишаване на приходите от корпоративни данъци, значително намаляване на прехвърлянето на печалби и повишаване на данъчната сигурност. </w:t>
      </w:r>
    </w:p>
    <w:p w14:paraId="4EE9EE92" w14:textId="77777777" w:rsidR="00210F62" w:rsidRPr="005968FD" w:rsidRDefault="00210F62" w:rsidP="005968FD">
      <w:pPr>
        <w:rPr>
          <w:szCs w:val="24"/>
        </w:rPr>
      </w:pPr>
      <w:r w:rsidRPr="005968FD">
        <w:rPr>
          <w:szCs w:val="24"/>
        </w:rPr>
        <w:t>Водещият приоритет на Европейска комисия за действия за справяне с предизвикателствата, свързани с климата и околната среда, предполага ангажирането на България с предприемането на мерки в данъчното законодателство за постигане на поставените от Европейския съюз цели в области като облагането на енергийните продукти и насърчаване използването на екологосъобразни превозни средства.</w:t>
      </w:r>
    </w:p>
    <w:p w14:paraId="7F723BD0" w14:textId="5E999591" w:rsidR="00210F62" w:rsidRPr="005968FD" w:rsidRDefault="00210F62" w:rsidP="005968FD">
      <w:pPr>
        <w:rPr>
          <w:szCs w:val="24"/>
        </w:rPr>
      </w:pPr>
      <w:r w:rsidRPr="005968FD">
        <w:rPr>
          <w:szCs w:val="24"/>
        </w:rPr>
        <w:t>През периода 2022</w:t>
      </w:r>
      <w:r w:rsidR="00EC2B93">
        <w:rPr>
          <w:rFonts w:cstheme="minorHAnsi"/>
          <w:lang w:val="en-US"/>
        </w:rPr>
        <w:t>–</w:t>
      </w:r>
      <w:r w:rsidRPr="005968FD">
        <w:rPr>
          <w:szCs w:val="24"/>
        </w:rPr>
        <w:t>2025 като основна остава целта за провеждането на политика, насочена към повишаване на събираемостта на приходите и постигане на заложените бюджетни цели. За изпълнение на приоритетните цели на данъчната политика се извършват нормативни промени и действия на приходните администрации в областта на събирането и контрола. Много от мерките за подобряване събираемостта на приходите в областта на данъчната политика са с постоянен характер, включени са в стратегическите документи, които всяка от отговорните институции разработва и прилага и ще продължат да се изпълняват през периода 2022-2025 година. Основни инструменти за минимизиране загубите от непостъпили данъчни приходи в бюджета са осъществяващото се взаимодействие на институциите и обмена на информация в национален и в международен мащаб, както и намаляването на административната тежест и разходите за бизнеса и гражданите.</w:t>
      </w:r>
    </w:p>
    <w:p w14:paraId="5C6DA687" w14:textId="77777777" w:rsidR="00210F62" w:rsidRPr="005968FD" w:rsidRDefault="00210F62" w:rsidP="005968FD">
      <w:pPr>
        <w:rPr>
          <w:szCs w:val="24"/>
        </w:rPr>
      </w:pPr>
      <w:r w:rsidRPr="005968FD">
        <w:rPr>
          <w:szCs w:val="24"/>
        </w:rPr>
        <w:t xml:space="preserve">Основните мерки с постоянен характер включват: Механизъм за обратно начисляване на ДДС при доставки на стоки и услуги; Осъществяване на фискален контрол върху движението на стоки с висок фискален риск (СВФР); Механизъм за погасяване на публични задължения на лица с вземания от общини, други ведомства или държавни предприятия </w:t>
      </w:r>
      <w:r w:rsidRPr="005968FD">
        <w:rPr>
          <w:szCs w:val="24"/>
        </w:rPr>
        <w:lastRenderedPageBreak/>
        <w:t>по договори за обществени поръчки и такива, възложени в изпълнение на оперативни програми на ЕС; Постоянен мониторинг спрямо длъжници с просрочени задължения над определен размер; Насърчаване на доброволното спазване на законодателството; Контрол върху доставките и движението на течни горива; Намаляване на административната тежест.</w:t>
      </w:r>
    </w:p>
    <w:p w14:paraId="759A6E91" w14:textId="594F54E7" w:rsidR="00210F62" w:rsidRPr="005968FD" w:rsidRDefault="00210F62" w:rsidP="005E6318">
      <w:pPr>
        <w:pStyle w:val="Heading4"/>
      </w:pPr>
      <w:r w:rsidRPr="005968FD">
        <w:t>Законодателни промени през 2021</w:t>
      </w:r>
      <w:r w:rsidR="00DF07FD">
        <w:t> г.</w:t>
      </w:r>
    </w:p>
    <w:p w14:paraId="4090B599" w14:textId="5A3F0486" w:rsidR="00210F62" w:rsidRPr="005968FD" w:rsidRDefault="00210F62" w:rsidP="005968FD">
      <w:pPr>
        <w:rPr>
          <w:b/>
          <w:szCs w:val="24"/>
        </w:rPr>
      </w:pPr>
      <w:r w:rsidRPr="005968FD">
        <w:rPr>
          <w:b/>
          <w:szCs w:val="24"/>
        </w:rPr>
        <w:t>За повишаване на бюджетните приходи и борба с данъчните измами – мерки за</w:t>
      </w:r>
      <w:r w:rsidR="009C0E16" w:rsidRPr="005968FD">
        <w:rPr>
          <w:b/>
          <w:szCs w:val="24"/>
        </w:rPr>
        <w:t xml:space="preserve"> </w:t>
      </w:r>
      <w:r w:rsidRPr="005968FD">
        <w:rPr>
          <w:b/>
          <w:szCs w:val="24"/>
        </w:rPr>
        <w:t>подобряване на спазването на законодателството, превенция и противодействие на данъчните измами и отклонението от данъчно облагане.</w:t>
      </w:r>
    </w:p>
    <w:p w14:paraId="0A93916B" w14:textId="2A20F2AF" w:rsidR="00210F62" w:rsidRPr="005968FD" w:rsidRDefault="00210F62" w:rsidP="005968FD">
      <w:pPr>
        <w:rPr>
          <w:b/>
          <w:szCs w:val="24"/>
        </w:rPr>
      </w:pPr>
      <w:r w:rsidRPr="005968FD">
        <w:rPr>
          <w:bCs/>
          <w:iCs/>
          <w:szCs w:val="24"/>
        </w:rPr>
        <w:t>С цел да се хармонизира националното законодателство с изискванията на европейското, както и да се намери баланс между улесняване на законната презгранична търговия и осигуряване на възможността за осъществяването на ефективен контрол и мониторинг с цел събиране на акцизните задължения са приети изменения в ЗАДС (ЗИД на ЗАДС, обн., ДВ, бр. 12 от 11.02.2022</w:t>
      </w:r>
      <w:r w:rsidR="00DF07FD">
        <w:rPr>
          <w:bCs/>
          <w:iCs/>
          <w:szCs w:val="24"/>
        </w:rPr>
        <w:t> г.</w:t>
      </w:r>
      <w:r w:rsidRPr="005968FD">
        <w:rPr>
          <w:bCs/>
          <w:iCs/>
          <w:szCs w:val="24"/>
        </w:rPr>
        <w:t>). В</w:t>
      </w:r>
      <w:r w:rsidRPr="005968FD">
        <w:rPr>
          <w:szCs w:val="24"/>
        </w:rPr>
        <w:t xml:space="preserve"> националното законодателство са въведени изискванията на </w:t>
      </w:r>
      <w:r w:rsidRPr="005968FD">
        <w:rPr>
          <w:bCs/>
          <w:szCs w:val="24"/>
        </w:rPr>
        <w:t>Директива (ЕС) 2020/262 на Съвета от 19 декември 2019</w:t>
      </w:r>
      <w:r w:rsidR="00DF07FD">
        <w:rPr>
          <w:bCs/>
          <w:szCs w:val="24"/>
        </w:rPr>
        <w:t> г.</w:t>
      </w:r>
      <w:r w:rsidRPr="005968FD">
        <w:rPr>
          <w:bCs/>
          <w:szCs w:val="24"/>
        </w:rPr>
        <w:t xml:space="preserve"> за определяне на общия режим на облагане с акциз, на Директива (ЕС) 2020/1151 на Съвета от 29 юли 2020 година за изменение на Директива 92/83/ЕИО за хармонизиране на структурата на акцизите върху алкохола и алкохолните напитки. Направени са и промени, свързани</w:t>
      </w:r>
      <w:r w:rsidR="009C0E16" w:rsidRPr="005968FD">
        <w:rPr>
          <w:bCs/>
          <w:szCs w:val="24"/>
        </w:rPr>
        <w:t xml:space="preserve"> </w:t>
      </w:r>
      <w:r w:rsidRPr="005968FD">
        <w:rPr>
          <w:szCs w:val="24"/>
        </w:rPr>
        <w:t xml:space="preserve">с въвеждането </w:t>
      </w:r>
      <w:r w:rsidRPr="005968FD">
        <w:rPr>
          <w:bCs/>
          <w:szCs w:val="24"/>
        </w:rPr>
        <w:t xml:space="preserve">на разпоредбите на Директива (ЕС) 2019/2235 на Съвета от 16 декември 2019 година за изменение на Директива 2006/112/ЕО относно общата система на данъка върху добавената стойност и Директива 2008/118/ЕО относно общия режим на облагане с акциз по отношение на отбранителните дейности в рамките на Съюза. Предвидено е разширяване на функционалността на компютърната система, която досега се използва за движението на акцизни стоки под режим „отложено плащане на акциз“, чрез възможност за обхващане и движението на акцизни стоки, които са освободени за потребление на територията на една държава членка и се движат към територията на друга държава членка, с цел да бъдат доставени там за търговски цели. По този начин ще се опрости мониторингът на тези движения и ще се осигури правилното функциониране на вътрешния пазар. </w:t>
      </w:r>
      <w:r w:rsidRPr="005968FD">
        <w:rPr>
          <w:szCs w:val="24"/>
        </w:rPr>
        <w:t>Пояснени са разпоредбите за измерването на градусите Плато на бирата и по-конкретно, разпоредбите във връзка с измерването на градусите Плато на подсладената или ароматизираната бира.</w:t>
      </w:r>
      <w:r w:rsidRPr="005968FD">
        <w:rPr>
          <w:b/>
          <w:szCs w:val="24"/>
        </w:rPr>
        <w:t xml:space="preserve"> </w:t>
      </w:r>
    </w:p>
    <w:p w14:paraId="5A3E5963" w14:textId="77777777" w:rsidR="00210F62" w:rsidRPr="005968FD" w:rsidRDefault="00210F62" w:rsidP="005968FD">
      <w:pPr>
        <w:rPr>
          <w:b/>
          <w:szCs w:val="24"/>
        </w:rPr>
      </w:pPr>
      <w:r w:rsidRPr="005968FD">
        <w:rPr>
          <w:b/>
          <w:szCs w:val="24"/>
        </w:rPr>
        <w:t>За подобряване на бизнес средата и намаляване на административната тежест и разходите за бизнеса и гражданите</w:t>
      </w:r>
    </w:p>
    <w:p w14:paraId="24F8088D" w14:textId="7DA00B59" w:rsidR="00210F62" w:rsidRPr="005968FD" w:rsidRDefault="00210F62" w:rsidP="005968FD">
      <w:pPr>
        <w:rPr>
          <w:bCs/>
          <w:iCs/>
          <w:szCs w:val="24"/>
        </w:rPr>
      </w:pPr>
      <w:r w:rsidRPr="005968FD">
        <w:rPr>
          <w:bCs/>
          <w:iCs/>
          <w:szCs w:val="24"/>
        </w:rPr>
        <w:t xml:space="preserve">Създадени са разпоредби </w:t>
      </w:r>
      <w:r w:rsidRPr="005968FD">
        <w:rPr>
          <w:b/>
          <w:bCs/>
          <w:iCs/>
          <w:szCs w:val="24"/>
        </w:rPr>
        <w:t>в ЗДДС</w:t>
      </w:r>
      <w:r w:rsidRPr="005968FD">
        <w:rPr>
          <w:bCs/>
          <w:iCs/>
          <w:szCs w:val="24"/>
        </w:rPr>
        <w:t>, които дават възможност за корекции при грешно данъчно третиране на доставка, установено с влязъл в сила ревизионен акт, във връзка с необходимостта от усъвършенстване на правната уредба в съответствие с достиженията на правото на ЕС, като се гарантират принципите на правна сигурност и на неутралност на ДДС. В решения на Съда на Европейския съюз (СЕС) по дела – C-314/17 „Джиосайкъл България“ ЕООД, C 111/14 „ГСТ</w:t>
      </w:r>
      <w:r w:rsidR="00DF07FD">
        <w:rPr>
          <w:bCs/>
          <w:iCs/>
          <w:szCs w:val="24"/>
        </w:rPr>
        <w:t xml:space="preserve"> – </w:t>
      </w:r>
      <w:r w:rsidRPr="005968FD">
        <w:rPr>
          <w:bCs/>
          <w:iCs/>
          <w:szCs w:val="24"/>
        </w:rPr>
        <w:t>Сървиз АГ Германия“, C-835/18 SC Terracult SRL, C-138/12„Руседеспред“ ООД и др., СЕС приема, че за да осигурят неутралността на ДДС държавите членки следва да предвидят във вътрешния си правен ред възможността да се коригира фактуриран данък, който не е следвало да бъде начислен, при наличие на влязъл в сила ревизионен акт.</w:t>
      </w:r>
      <w:r w:rsidRPr="005968FD">
        <w:rPr>
          <w:szCs w:val="24"/>
        </w:rPr>
        <w:t xml:space="preserve"> </w:t>
      </w:r>
      <w:r w:rsidRPr="005968FD">
        <w:rPr>
          <w:bCs/>
          <w:iCs/>
          <w:szCs w:val="24"/>
        </w:rPr>
        <w:t>В тази връзка са приети съответните промени в ЗДДС (ЗИД на ЗДДС, обн., ДВ, бр. 14 от 18.02.2022</w:t>
      </w:r>
      <w:r w:rsidR="00DF07FD">
        <w:rPr>
          <w:bCs/>
          <w:iCs/>
          <w:szCs w:val="24"/>
        </w:rPr>
        <w:t> г.</w:t>
      </w:r>
      <w:r w:rsidRPr="005968FD">
        <w:rPr>
          <w:bCs/>
          <w:iCs/>
          <w:szCs w:val="24"/>
        </w:rPr>
        <w:t>).</w:t>
      </w:r>
    </w:p>
    <w:p w14:paraId="5A6CDE0A" w14:textId="77777777" w:rsidR="00210F62" w:rsidRPr="005968FD" w:rsidRDefault="00210F62" w:rsidP="005968FD">
      <w:pPr>
        <w:rPr>
          <w:bCs/>
          <w:iCs/>
          <w:szCs w:val="24"/>
        </w:rPr>
      </w:pPr>
      <w:r w:rsidRPr="005968FD">
        <w:rPr>
          <w:bCs/>
          <w:iCs/>
          <w:szCs w:val="24"/>
        </w:rPr>
        <w:t>Приети са прецизиращи текстовете на закона за ДДС и уточняващи промени, свързани с различни параметри на установените режими</w:t>
      </w:r>
      <w:r w:rsidRPr="005968FD">
        <w:rPr>
          <w:bCs/>
          <w:i/>
          <w:iCs/>
          <w:szCs w:val="24"/>
        </w:rPr>
        <w:t xml:space="preserve"> </w:t>
      </w:r>
      <w:r w:rsidRPr="005968FD">
        <w:rPr>
          <w:bCs/>
          <w:iCs/>
          <w:szCs w:val="24"/>
        </w:rPr>
        <w:t>за облагане на доставки на стоки и услуги, осъществени по електронен път към получатели – данъчно незадължени лица.</w:t>
      </w:r>
    </w:p>
    <w:p w14:paraId="1D8F1727" w14:textId="77777777" w:rsidR="00210F62" w:rsidRPr="005968FD" w:rsidRDefault="00210F62" w:rsidP="005968FD">
      <w:pPr>
        <w:rPr>
          <w:bCs/>
          <w:iCs/>
          <w:szCs w:val="24"/>
        </w:rPr>
      </w:pPr>
      <w:r w:rsidRPr="005968FD">
        <w:rPr>
          <w:bCs/>
          <w:iCs/>
          <w:szCs w:val="24"/>
        </w:rPr>
        <w:lastRenderedPageBreak/>
        <w:t xml:space="preserve">Направена е промяна на разпоредбата, свързана с основанията за задължителна дерегистрация при прекратяването на юридическо лице – с или без ликвидация. Предвижда се още като основание за задължителна дерегистрация по закона заличаването на клонове на чуждестранни юридически лица. </w:t>
      </w:r>
    </w:p>
    <w:p w14:paraId="1577EDC4" w14:textId="4F9AE133" w:rsidR="00210F62" w:rsidRPr="005968FD" w:rsidRDefault="00210F62" w:rsidP="005968FD">
      <w:pPr>
        <w:rPr>
          <w:bCs/>
          <w:iCs/>
          <w:szCs w:val="24"/>
        </w:rPr>
      </w:pPr>
      <w:r w:rsidRPr="005968FD">
        <w:rPr>
          <w:bCs/>
          <w:iCs/>
          <w:szCs w:val="24"/>
        </w:rPr>
        <w:t>Във връзка с търговията със стоки след Брекзит е приета промяна на разпоредбата, касаеща доставките от или до Обединеното кралство Великобритания и Северна Ирландия, като се конкретизира обектът на доставка. Освен това е приет текст по отношение на посредник в тристранни операции, като се уточнява, че за целите на</w:t>
      </w:r>
      <w:r w:rsidR="009C0E16" w:rsidRPr="005968FD">
        <w:rPr>
          <w:bCs/>
          <w:iCs/>
          <w:szCs w:val="24"/>
        </w:rPr>
        <w:t xml:space="preserve"> </w:t>
      </w:r>
      <w:r w:rsidRPr="005968FD">
        <w:rPr>
          <w:bCs/>
          <w:iCs/>
          <w:szCs w:val="24"/>
        </w:rPr>
        <w:t xml:space="preserve">закона Северна Ирландия се смята за територия на държава членка и когато данъчно задължено лице с идентификационен номер по ДДС, който съдържа знак/префикс „XI“ е посредник в тристранни операции. </w:t>
      </w:r>
    </w:p>
    <w:p w14:paraId="34E92D54" w14:textId="47094EE0" w:rsidR="00210F62" w:rsidRPr="005968FD" w:rsidRDefault="00210F62" w:rsidP="005968FD">
      <w:pPr>
        <w:rPr>
          <w:szCs w:val="24"/>
        </w:rPr>
      </w:pPr>
      <w:r w:rsidRPr="005968FD">
        <w:rPr>
          <w:szCs w:val="24"/>
        </w:rPr>
        <w:t>Във връзка с необходимостта от пълно въвеждане в националното данъчно законодателство на Директива (ЕС) 2016/1164 е направена п</w:t>
      </w:r>
      <w:r w:rsidRPr="005968FD">
        <w:rPr>
          <w:bCs/>
          <w:iCs/>
          <w:szCs w:val="24"/>
        </w:rPr>
        <w:t xml:space="preserve">ромяна </w:t>
      </w:r>
      <w:r w:rsidRPr="005968FD">
        <w:rPr>
          <w:b/>
          <w:bCs/>
          <w:iCs/>
          <w:szCs w:val="24"/>
        </w:rPr>
        <w:t>в ЗКПО</w:t>
      </w:r>
      <w:r w:rsidRPr="005968FD">
        <w:rPr>
          <w:bCs/>
          <w:iCs/>
          <w:szCs w:val="24"/>
        </w:rPr>
        <w:t xml:space="preserve"> (ЗИД на ЗКПО, обн., ДВ, бр. 14 от 18.02.2022</w:t>
      </w:r>
      <w:r w:rsidR="00DF07FD">
        <w:rPr>
          <w:bCs/>
          <w:iCs/>
          <w:szCs w:val="24"/>
        </w:rPr>
        <w:t> г.</w:t>
      </w:r>
      <w:r w:rsidRPr="005968FD">
        <w:rPr>
          <w:bCs/>
          <w:iCs/>
          <w:szCs w:val="24"/>
        </w:rPr>
        <w:t>), с която определени хибридни образувания, учредени или установени в страната,</w:t>
      </w:r>
      <w:r w:rsidR="009C0E16" w:rsidRPr="005968FD">
        <w:rPr>
          <w:bCs/>
          <w:iCs/>
          <w:szCs w:val="24"/>
        </w:rPr>
        <w:t xml:space="preserve"> </w:t>
      </w:r>
      <w:r w:rsidRPr="005968FD">
        <w:rPr>
          <w:bCs/>
          <w:iCs/>
          <w:szCs w:val="24"/>
        </w:rPr>
        <w:t xml:space="preserve">се приравняват на данъчно задължени лица за целите на закона. </w:t>
      </w:r>
      <w:r w:rsidRPr="005968FD">
        <w:rPr>
          <w:szCs w:val="24"/>
        </w:rPr>
        <w:t>Тези правила не се прилагат за колективна инвестиционна схема, която е инвестиционен фонд или схема, отговаряща едновременно на условията да има множество собственици, да притежава диверсифициран портфейл от ценни книжа и да е предмет на нормативна уредба в защита на инвеститорите.</w:t>
      </w:r>
    </w:p>
    <w:p w14:paraId="707CC109" w14:textId="20907B87" w:rsidR="00210F62" w:rsidRPr="005968FD" w:rsidRDefault="00210F62" w:rsidP="005968FD">
      <w:pPr>
        <w:rPr>
          <w:szCs w:val="24"/>
        </w:rPr>
      </w:pPr>
      <w:r w:rsidRPr="005968FD">
        <w:rPr>
          <w:szCs w:val="24"/>
        </w:rPr>
        <w:t>В ЗКПО</w:t>
      </w:r>
      <w:r w:rsidR="009C0E16" w:rsidRPr="005968FD">
        <w:rPr>
          <w:szCs w:val="24"/>
        </w:rPr>
        <w:t xml:space="preserve"> </w:t>
      </w:r>
      <w:r w:rsidRPr="005968FD">
        <w:rPr>
          <w:szCs w:val="24"/>
        </w:rPr>
        <w:t>е изрично уредено, че счетоводно отчетените разходи, приходи, печалби и загуби във връзка с договори за продажба с обратен лизинг, класифициран като оперативен лизинг, съгласно Международните счетоводни стандарти, при лизингополучатели, не се признават за данъчни цели, като за данъчни цели в тези случаи се признават разходи, приходи, печалби и загуби, определени съгласно правилата на Счетоводен стандарт 17 „Лизинг“ относно договори за продажба с обратен лизинг, класифициран като експлоатационен лизинг.</w:t>
      </w:r>
    </w:p>
    <w:p w14:paraId="7D066815" w14:textId="77777777" w:rsidR="00210F62" w:rsidRPr="005968FD" w:rsidRDefault="00210F62" w:rsidP="005968FD">
      <w:pPr>
        <w:rPr>
          <w:szCs w:val="24"/>
        </w:rPr>
      </w:pPr>
      <w:r w:rsidRPr="005968FD">
        <w:rPr>
          <w:szCs w:val="24"/>
        </w:rPr>
        <w:t xml:space="preserve">Направено е изменение във връзка с поет ангажимент на Република България за отстраняване на констатирано от Европейската комисия несъответствие на националното законодателство с Директива (ЕС) 2016/1164. След промяната, всички данъчно задължени лица в Република България, които подлежат на облагане с корпоративен данък и имат контролирани чуждестранни дружества, независимо от формата на облагане на тези дружества, попадат в обхвата на специфичните правила за определяне на данъчния финансов резултат в случаите на контролирано чуждестранно дружество. </w:t>
      </w:r>
    </w:p>
    <w:p w14:paraId="79D3EA88" w14:textId="488B5675" w:rsidR="00210F62" w:rsidRPr="005968FD" w:rsidRDefault="00210F62" w:rsidP="005968FD">
      <w:pPr>
        <w:rPr>
          <w:szCs w:val="24"/>
        </w:rPr>
      </w:pPr>
      <w:r w:rsidRPr="005968FD">
        <w:rPr>
          <w:szCs w:val="24"/>
        </w:rPr>
        <w:t>Прието е намаление на ставката от 10% на 3% на данъка върху разходите в натура по чл. 204, ал. 1, т. 4 от ЗКПО, която се прилага и за 2022</w:t>
      </w:r>
      <w:r w:rsidR="00DF07FD">
        <w:rPr>
          <w:szCs w:val="24"/>
        </w:rPr>
        <w:t> г.</w:t>
      </w:r>
      <w:r w:rsidRPr="005968FD">
        <w:rPr>
          <w:szCs w:val="24"/>
        </w:rPr>
        <w:t xml:space="preserve"> (ЗИД на ЗКПО, обн., ДВ, бр. 17 от 01.03.2022</w:t>
      </w:r>
      <w:r w:rsidR="00DF07FD">
        <w:rPr>
          <w:szCs w:val="24"/>
        </w:rPr>
        <w:t> г.</w:t>
      </w:r>
      <w:r w:rsidRPr="005968FD">
        <w:rPr>
          <w:szCs w:val="24"/>
        </w:rPr>
        <w:t>).</w:t>
      </w:r>
    </w:p>
    <w:p w14:paraId="51D95BD1" w14:textId="49D29EA2" w:rsidR="00210F62" w:rsidRPr="005968FD" w:rsidRDefault="00210F62" w:rsidP="005968FD">
      <w:pPr>
        <w:rPr>
          <w:bCs/>
          <w:iCs/>
          <w:szCs w:val="24"/>
        </w:rPr>
      </w:pPr>
      <w:r w:rsidRPr="005968FD">
        <w:rPr>
          <w:bCs/>
          <w:iCs/>
          <w:szCs w:val="24"/>
        </w:rPr>
        <w:t>Със Закона за държавния бюджет на Република България за 2022</w:t>
      </w:r>
      <w:r w:rsidR="00DF07FD">
        <w:rPr>
          <w:bCs/>
          <w:iCs/>
          <w:szCs w:val="24"/>
        </w:rPr>
        <w:t> г.</w:t>
      </w:r>
      <w:r w:rsidRPr="005968FD">
        <w:rPr>
          <w:bCs/>
          <w:iCs/>
          <w:szCs w:val="24"/>
        </w:rPr>
        <w:t xml:space="preserve"> (</w:t>
      </w:r>
      <w:r w:rsidRPr="005968FD">
        <w:rPr>
          <w:szCs w:val="24"/>
        </w:rPr>
        <w:t>обн., ДВ, бр. 18 от 04.03.2022</w:t>
      </w:r>
      <w:r w:rsidR="00DF07FD">
        <w:rPr>
          <w:szCs w:val="24"/>
        </w:rPr>
        <w:t> г.</w:t>
      </w:r>
      <w:r w:rsidRPr="005968FD">
        <w:rPr>
          <w:szCs w:val="24"/>
        </w:rPr>
        <w:t xml:space="preserve">) </w:t>
      </w:r>
      <w:r w:rsidRPr="005968FD">
        <w:rPr>
          <w:bCs/>
          <w:iCs/>
          <w:szCs w:val="24"/>
        </w:rPr>
        <w:t xml:space="preserve">е предоставена възможност за използване на ваучерите за храна по чл. 209, ал. 1 от ЗКПО за заплащане не само за храна, но и за заплащане на ползвани за битови нужди електрическа и топлинна енергия, природен газ и вода, на дейности, осъществявани от културни организации по Закона за закрила и развитие на културата и на показ на филми съгласно Закона за филмовата индустрия. </w:t>
      </w:r>
      <w:r w:rsidRPr="005968FD">
        <w:rPr>
          <w:szCs w:val="24"/>
        </w:rPr>
        <w:t>Увеличен е и размерът от 80 на 200 лв. месечно на предоставените под формата на ваучери за храна на всяко наето лице, които не се облагат с данък върху разходите социалните разходи за 2022</w:t>
      </w:r>
      <w:r w:rsidR="00DF07FD">
        <w:rPr>
          <w:szCs w:val="24"/>
        </w:rPr>
        <w:t> г.</w:t>
      </w:r>
      <w:r w:rsidRPr="005968FD">
        <w:rPr>
          <w:szCs w:val="24"/>
        </w:rPr>
        <w:t xml:space="preserve"> по чл. 204, ал. 1, т. 2, буква „б“ от ЗКПО.</w:t>
      </w:r>
    </w:p>
    <w:p w14:paraId="1AA436DF" w14:textId="52F793FF" w:rsidR="00210F62" w:rsidRPr="005968FD" w:rsidRDefault="00210F62" w:rsidP="005968FD">
      <w:pPr>
        <w:rPr>
          <w:bCs/>
          <w:iCs/>
          <w:szCs w:val="24"/>
        </w:rPr>
      </w:pPr>
      <w:r w:rsidRPr="005968FD">
        <w:rPr>
          <w:b/>
          <w:bCs/>
          <w:iCs/>
          <w:szCs w:val="24"/>
        </w:rPr>
        <w:t>В ЗДДФЛ</w:t>
      </w:r>
      <w:r w:rsidRPr="005968FD">
        <w:rPr>
          <w:bCs/>
          <w:iCs/>
          <w:szCs w:val="24"/>
        </w:rPr>
        <w:t xml:space="preserve"> е направена промяна (ЗИД на ЗКПО, обн., ДВ, бр. 14 от 18.02.2022</w:t>
      </w:r>
      <w:r w:rsidR="00DF07FD">
        <w:rPr>
          <w:bCs/>
          <w:iCs/>
          <w:szCs w:val="24"/>
        </w:rPr>
        <w:t> г.</w:t>
      </w:r>
      <w:r w:rsidRPr="005968FD">
        <w:rPr>
          <w:bCs/>
          <w:iCs/>
          <w:szCs w:val="24"/>
        </w:rPr>
        <w:t xml:space="preserve">), с която в случаите на починали еднолични търговци или самоосигуряващи се лица, е предоставена възможност справките за изплатените през годината доходи и за удържаните през </w:t>
      </w:r>
      <w:r w:rsidRPr="005968FD">
        <w:rPr>
          <w:bCs/>
          <w:iCs/>
          <w:szCs w:val="24"/>
        </w:rPr>
        <w:lastRenderedPageBreak/>
        <w:t xml:space="preserve">годината данък и задължителни осигурителни вноски да могат да бъдат подавани от техните наследниците по закон или по завещание, както и от заветниците или от техните законни представители, за годината, в която починалите лица са били работодатели или платци на доходи </w:t>
      </w:r>
    </w:p>
    <w:p w14:paraId="28D9C99A" w14:textId="2785D6BC" w:rsidR="00210F62" w:rsidRPr="005968FD" w:rsidRDefault="00210F62" w:rsidP="005968FD">
      <w:pPr>
        <w:rPr>
          <w:szCs w:val="24"/>
        </w:rPr>
      </w:pPr>
      <w:r w:rsidRPr="005968FD">
        <w:rPr>
          <w:szCs w:val="24"/>
        </w:rPr>
        <w:t>Отменен е окончателният данък върху придобитите от местни физически лица доходи от лихви по банкови сметки по чл. 38, ал. 13 от ЗДДФЛ (ЗИД на ЗКПО, обн., ДВ, бр. 17 от 01.03.2022</w:t>
      </w:r>
      <w:r w:rsidR="00DF07FD">
        <w:rPr>
          <w:szCs w:val="24"/>
        </w:rPr>
        <w:t> г.</w:t>
      </w:r>
      <w:r w:rsidRPr="005968FD">
        <w:rPr>
          <w:szCs w:val="24"/>
        </w:rPr>
        <w:t>). Промяната е в сила от 01.04.2022</w:t>
      </w:r>
      <w:r w:rsidR="00DF07FD">
        <w:rPr>
          <w:szCs w:val="24"/>
        </w:rPr>
        <w:t> г.</w:t>
      </w:r>
      <w:r w:rsidRPr="005968FD">
        <w:rPr>
          <w:szCs w:val="24"/>
        </w:rPr>
        <w:t xml:space="preserve"> като след тази дата посочените доходи ще бъдат в обхвата на необлагаемите доходи по чл. 13, ал. 1, т. 8 от ЗДДФЛ.</w:t>
      </w:r>
    </w:p>
    <w:p w14:paraId="4617E273" w14:textId="10270D71" w:rsidR="00210F62" w:rsidRPr="005968FD" w:rsidRDefault="00210F62" w:rsidP="005968FD">
      <w:pPr>
        <w:rPr>
          <w:szCs w:val="24"/>
        </w:rPr>
      </w:pPr>
      <w:r w:rsidRPr="005968FD">
        <w:rPr>
          <w:b/>
          <w:szCs w:val="24"/>
        </w:rPr>
        <w:t>Мерки в областта на данъчната политика, предприети в отговор на COVID-19,</w:t>
      </w:r>
      <w:r w:rsidRPr="005968FD">
        <w:rPr>
          <w:szCs w:val="24"/>
        </w:rPr>
        <w:t xml:space="preserve"> които ще окажат влияние върху данъчните приходи за периода 2022-2023</w:t>
      </w:r>
      <w:r w:rsidR="00DF07FD">
        <w:rPr>
          <w:szCs w:val="24"/>
        </w:rPr>
        <w:t> г.</w:t>
      </w:r>
      <w:r w:rsidRPr="005968FD">
        <w:rPr>
          <w:szCs w:val="24"/>
        </w:rPr>
        <w:t>:</w:t>
      </w:r>
    </w:p>
    <w:p w14:paraId="1D5736E3" w14:textId="07D479D1" w:rsidR="00210F62" w:rsidRPr="005968FD" w:rsidRDefault="00210F62" w:rsidP="005968FD">
      <w:pPr>
        <w:rPr>
          <w:szCs w:val="24"/>
        </w:rPr>
      </w:pPr>
      <w:r w:rsidRPr="005968FD">
        <w:rPr>
          <w:szCs w:val="24"/>
        </w:rPr>
        <w:t>Прилагане на намалена ставка за ДДС от 20% на 9% за доставките на ресторантьорски и кетъринг услуги, на книги, на храна подходяща за бебета или за малки деца и на бебешки пелени и подобни хигиенни артикули, както и за консумацията на бира и вино в питейни заведения, за доставките на услуги за използване на спортни съоръжения и за доставка на обща туристическа услуга в случаите по чл. 136 от ЗДДС. Срокът за прилагане на намалената ставка от 9 на сто е удължен до 31 декември 2022</w:t>
      </w:r>
      <w:r w:rsidR="00DF07FD">
        <w:rPr>
          <w:szCs w:val="24"/>
        </w:rPr>
        <w:t> г.</w:t>
      </w:r>
      <w:r w:rsidRPr="005968FD">
        <w:rPr>
          <w:szCs w:val="24"/>
        </w:rPr>
        <w:t xml:space="preserve"> със Закона за изменение на ЗДДС (ДВ, бр. 111 от 31.12.2021</w:t>
      </w:r>
      <w:r w:rsidR="00DF07FD">
        <w:rPr>
          <w:szCs w:val="24"/>
        </w:rPr>
        <w:t> г.</w:t>
      </w:r>
      <w:r w:rsidRPr="005968FD">
        <w:rPr>
          <w:szCs w:val="24"/>
        </w:rPr>
        <w:t>) Прилага се освобождаване от ДДС и мита върху вноса на някои медицински стоки, необходими за борба с последиците от пандемията на COVID-19, в съответствие с Решение 2020/491 от 03.04.2020</w:t>
      </w:r>
      <w:r w:rsidR="00DF07FD">
        <w:rPr>
          <w:szCs w:val="24"/>
        </w:rPr>
        <w:t> г.</w:t>
      </w:r>
      <w:r w:rsidRPr="005968FD">
        <w:rPr>
          <w:szCs w:val="24"/>
        </w:rPr>
        <w:t xml:space="preserve"> на Европейската комисия и на основание приетото ПМС № 80 от 23.04.2020</w:t>
      </w:r>
      <w:r w:rsidR="00DF07FD">
        <w:rPr>
          <w:szCs w:val="24"/>
        </w:rPr>
        <w:t> г.</w:t>
      </w:r>
      <w:r w:rsidRPr="005968FD">
        <w:rPr>
          <w:szCs w:val="24"/>
        </w:rPr>
        <w:t>, с което е допълнено ПМС № 75 от 2007</w:t>
      </w:r>
      <w:r w:rsidR="00DF07FD">
        <w:rPr>
          <w:szCs w:val="24"/>
        </w:rPr>
        <w:t> г.</w:t>
      </w:r>
      <w:r w:rsidRPr="005968FD">
        <w:rPr>
          <w:szCs w:val="24"/>
        </w:rPr>
        <w:t xml:space="preserve"> Допустими за освобождаване от ДДС са стоките, внесени от държавни организации. Предприети са действия за удължаване действието на мярката и след 31 декември 2021</w:t>
      </w:r>
      <w:r w:rsidR="00DF07FD">
        <w:rPr>
          <w:szCs w:val="24"/>
        </w:rPr>
        <w:t> г.</w:t>
      </w:r>
      <w:r w:rsidRPr="005968FD">
        <w:rPr>
          <w:szCs w:val="24"/>
        </w:rPr>
        <w:t xml:space="preserve"> В тази връзка ЕК прие Решение (ЕС) 2021/2313 от 22 декември 2021 година, във връзка с което, подалите искане държави членки, включително и Република България, да прилагат освобождаване от вносни мита и освобождаване от ДДС при внос, предоставено за стоки, необходими за борба с последиците от пандемията от COVID-19 през 2022</w:t>
      </w:r>
      <w:r w:rsidR="00DF07FD">
        <w:rPr>
          <w:szCs w:val="24"/>
        </w:rPr>
        <w:t> г.</w:t>
      </w:r>
      <w:r w:rsidRPr="005968FD">
        <w:rPr>
          <w:szCs w:val="24"/>
        </w:rPr>
        <w:t>, което ще се прилага за стоки, внесени в периода от 1 януари 2022</w:t>
      </w:r>
      <w:r w:rsidR="00DF07FD">
        <w:rPr>
          <w:szCs w:val="24"/>
        </w:rPr>
        <w:t> г.</w:t>
      </w:r>
      <w:r w:rsidRPr="005968FD">
        <w:rPr>
          <w:szCs w:val="24"/>
        </w:rPr>
        <w:t xml:space="preserve"> до 30 юни 2022</w:t>
      </w:r>
      <w:r w:rsidR="00DF07FD">
        <w:rPr>
          <w:szCs w:val="24"/>
        </w:rPr>
        <w:t> г.</w:t>
      </w:r>
    </w:p>
    <w:p w14:paraId="35E16587" w14:textId="4F7E3661" w:rsidR="00210F62" w:rsidRPr="005968FD" w:rsidRDefault="00210F62" w:rsidP="005968FD">
      <w:pPr>
        <w:rPr>
          <w:szCs w:val="24"/>
        </w:rPr>
      </w:pPr>
      <w:r w:rsidRPr="005968FD">
        <w:rPr>
          <w:szCs w:val="24"/>
        </w:rPr>
        <w:t>Освобождаване от облагане с ДДС с право на приспадане на данъчен кредит (чрез прилагане на нулева ставка на данъка) на следните доставки, облагаеми на територията на страната: 1. Доставката на ваксини срещу COVID-19 и услугите, пряко свързани с тези ваксини; 2. Доставката на медицински изделия за инвитро диагностика на COVID-19 и услугите, пряко свързани с тези изделия. В обхвата на тези освободени доставки влизат и вътреобщностните придобивания (покупки от други държави-членки на ЕС). Целта е да се намалят разходите за ваксини срещу COVID-19 и медицински изделия за инвитро диагностика на COVID-19, както и на услугите, тясно свързани с такива ваксини и изделия. Преференцията е с временен характер и ще се прилага до 31.12.2022</w:t>
      </w:r>
      <w:r w:rsidR="00DF07FD">
        <w:rPr>
          <w:szCs w:val="24"/>
        </w:rPr>
        <w:t> г.</w:t>
      </w:r>
    </w:p>
    <w:p w14:paraId="2300B553" w14:textId="37D46F97" w:rsidR="00210F62" w:rsidRPr="005968FD" w:rsidRDefault="00210F62" w:rsidP="005968FD">
      <w:pPr>
        <w:rPr>
          <w:szCs w:val="24"/>
        </w:rPr>
      </w:pPr>
      <w:r w:rsidRPr="005968FD">
        <w:rPr>
          <w:szCs w:val="24"/>
        </w:rPr>
        <w:t>Със Закона за държавния бюджет на Република България за 2022</w:t>
      </w:r>
      <w:r w:rsidR="00DF07FD">
        <w:rPr>
          <w:szCs w:val="24"/>
        </w:rPr>
        <w:t> г.</w:t>
      </w:r>
      <w:r w:rsidRPr="005968FD">
        <w:rPr>
          <w:szCs w:val="24"/>
        </w:rPr>
        <w:t xml:space="preserve"> е прието увеличаване на размера на данъчните облекчения за деца и за придобитите през 2022</w:t>
      </w:r>
      <w:r w:rsidR="00DF07FD">
        <w:rPr>
          <w:szCs w:val="24"/>
        </w:rPr>
        <w:t> г.</w:t>
      </w:r>
      <w:r w:rsidRPr="005968FD">
        <w:rPr>
          <w:szCs w:val="24"/>
        </w:rPr>
        <w:t xml:space="preserve"> доходи. За данъчното облекчение за деца по чл. 22в от ЗДДФЛ от сумата от годишните данъчни основи по чл. 17 от ЗДДФЛ се приспадат следните суми: 4 500 лв. – при едно ненавършило пълнолетие дете; 9 000 лв. – при две ненавършили пълнолетие деца; 13 500 лв. – при три и повече ненавършили пълнолетие деца. Увеличен е и размерът на данъчното облекчение за деца с увреждания по чл. 22г от Закона за данъците върху доходите на физическите лица, като сумата от годишните данъчни основи по чл. 17 от ЗДДФЛ се намалява 9 000 лв. за отглеждане на дете с 50 и с над 50 на сто вид и степен на увреждане, определени с влязло в сила решение на компетентен орган.</w:t>
      </w:r>
    </w:p>
    <w:p w14:paraId="5BF9D618" w14:textId="77777777" w:rsidR="00AA40DC" w:rsidRPr="005968FD" w:rsidRDefault="00AA40DC" w:rsidP="005E6318">
      <w:pPr>
        <w:pStyle w:val="Heading4"/>
      </w:pPr>
      <w:r w:rsidRPr="005968FD">
        <w:lastRenderedPageBreak/>
        <w:t>Национална агенция за приходите (НАП)</w:t>
      </w:r>
    </w:p>
    <w:p w14:paraId="1A974158" w14:textId="77777777" w:rsidR="00AA40DC" w:rsidRPr="005968FD" w:rsidRDefault="00AA40DC" w:rsidP="005968FD">
      <w:pPr>
        <w:rPr>
          <w:szCs w:val="24"/>
        </w:rPr>
      </w:pPr>
      <w:r w:rsidRPr="005968FD">
        <w:rPr>
          <w:szCs w:val="24"/>
        </w:rPr>
        <w:t>За увеличаване дела на доброволното спазване на задълженията и подобряване на събираемостта на данъчно-осигурителните задължения НАП продължава прилагането на следните мерки:</w:t>
      </w:r>
    </w:p>
    <w:p w14:paraId="37B292A7" w14:textId="3BCBDFF5" w:rsidR="00AA40DC" w:rsidRPr="005968FD" w:rsidRDefault="00AA40DC" w:rsidP="00F25F58">
      <w:pPr>
        <w:rPr>
          <w:b/>
          <w:szCs w:val="24"/>
        </w:rPr>
      </w:pPr>
      <w:r w:rsidRPr="005968FD">
        <w:rPr>
          <w:b/>
          <w:szCs w:val="24"/>
        </w:rPr>
        <w:t>Осигуряване на качествено обслужване,</w:t>
      </w:r>
      <w:r w:rsidR="009C0E16" w:rsidRPr="005968FD">
        <w:rPr>
          <w:b/>
          <w:szCs w:val="24"/>
        </w:rPr>
        <w:t xml:space="preserve"> </w:t>
      </w:r>
      <w:r w:rsidRPr="005968FD">
        <w:rPr>
          <w:b/>
          <w:szCs w:val="24"/>
        </w:rPr>
        <w:t>намаляване на административната тежест и</w:t>
      </w:r>
      <w:r w:rsidR="009C0E16" w:rsidRPr="005968FD">
        <w:rPr>
          <w:b/>
          <w:szCs w:val="24"/>
        </w:rPr>
        <w:t xml:space="preserve"> </w:t>
      </w:r>
      <w:r w:rsidRPr="005968FD">
        <w:rPr>
          <w:b/>
          <w:szCs w:val="24"/>
        </w:rPr>
        <w:t>улесняване на клиентите при изпълнение на задълженията им:</w:t>
      </w:r>
    </w:p>
    <w:p w14:paraId="58B0E7A9"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 xml:space="preserve">Провеждане на </w:t>
      </w:r>
      <w:r w:rsidRPr="00404911">
        <w:t>информационните</w:t>
      </w:r>
      <w:r w:rsidRPr="005968FD">
        <w:rPr>
          <w:szCs w:val="24"/>
        </w:rPr>
        <w:t xml:space="preserve"> кампании и осигуряване на бързо и качествено съдействие на клиентите на НАП;</w:t>
      </w:r>
    </w:p>
    <w:p w14:paraId="15B413D1" w14:textId="4D5D1678" w:rsidR="00AA40DC" w:rsidRPr="005968FD" w:rsidRDefault="00AA40DC" w:rsidP="00404911">
      <w:pPr>
        <w:pStyle w:val="ListParagraph"/>
        <w:numPr>
          <w:ilvl w:val="0"/>
          <w:numId w:val="10"/>
        </w:numPr>
        <w:tabs>
          <w:tab w:val="clear" w:pos="680"/>
        </w:tabs>
        <w:ind w:left="567" w:hanging="283"/>
        <w:rPr>
          <w:szCs w:val="24"/>
        </w:rPr>
      </w:pPr>
      <w:r w:rsidRPr="005968FD">
        <w:rPr>
          <w:szCs w:val="24"/>
        </w:rPr>
        <w:t xml:space="preserve">Предварително попълване на </w:t>
      </w:r>
      <w:r w:rsidR="009D5B59">
        <w:rPr>
          <w:szCs w:val="24"/>
        </w:rPr>
        <w:t>ГДД</w:t>
      </w:r>
      <w:r w:rsidRPr="005968FD">
        <w:rPr>
          <w:szCs w:val="24"/>
        </w:rPr>
        <w:t xml:space="preserve"> по чл. 50 от </w:t>
      </w:r>
      <w:r w:rsidRPr="00404911">
        <w:t>ЗДДФЛ</w:t>
      </w:r>
      <w:r w:rsidRPr="005968FD">
        <w:rPr>
          <w:szCs w:val="24"/>
        </w:rPr>
        <w:t>, както и обслужване на клиентите независимо от териториалната компетентност;</w:t>
      </w:r>
    </w:p>
    <w:p w14:paraId="3868EF1A" w14:textId="77777777" w:rsidR="00AA40DC" w:rsidRPr="005968FD" w:rsidRDefault="00AA40DC" w:rsidP="00404911">
      <w:pPr>
        <w:pStyle w:val="ListParagraph"/>
        <w:numPr>
          <w:ilvl w:val="0"/>
          <w:numId w:val="10"/>
        </w:numPr>
        <w:tabs>
          <w:tab w:val="clear" w:pos="680"/>
        </w:tabs>
        <w:ind w:left="567" w:hanging="283"/>
        <w:rPr>
          <w:szCs w:val="24"/>
        </w:rPr>
      </w:pPr>
      <w:r w:rsidRPr="00404911">
        <w:t>Усъвършенстване</w:t>
      </w:r>
      <w:r w:rsidRPr="005968FD">
        <w:rPr>
          <w:szCs w:val="24"/>
        </w:rPr>
        <w:t xml:space="preserve"> на съществуващите и разработване на нови електронни услуги;</w:t>
      </w:r>
    </w:p>
    <w:p w14:paraId="2CA97870" w14:textId="77777777" w:rsidR="00AA40DC" w:rsidRPr="005968FD" w:rsidRDefault="00AA40DC" w:rsidP="00404911">
      <w:pPr>
        <w:pStyle w:val="ListParagraph"/>
        <w:numPr>
          <w:ilvl w:val="0"/>
          <w:numId w:val="10"/>
        </w:numPr>
        <w:tabs>
          <w:tab w:val="clear" w:pos="680"/>
        </w:tabs>
        <w:ind w:left="567" w:hanging="283"/>
        <w:rPr>
          <w:szCs w:val="24"/>
        </w:rPr>
      </w:pPr>
      <w:r w:rsidRPr="00404911">
        <w:t>Осигуряването</w:t>
      </w:r>
      <w:r w:rsidRPr="005968FD">
        <w:rPr>
          <w:szCs w:val="24"/>
        </w:rPr>
        <w:t xml:space="preserve"> на достъпна среда за лица със специфични нужди.</w:t>
      </w:r>
    </w:p>
    <w:p w14:paraId="7C7E18CE" w14:textId="77777777" w:rsidR="00AA40DC" w:rsidRPr="005968FD" w:rsidRDefault="00AA40DC" w:rsidP="00F25F58">
      <w:pPr>
        <w:rPr>
          <w:b/>
          <w:szCs w:val="24"/>
        </w:rPr>
      </w:pPr>
      <w:r w:rsidRPr="005968FD">
        <w:rPr>
          <w:b/>
          <w:szCs w:val="24"/>
        </w:rPr>
        <w:t>Ефективен контрол и засилено институционално сътрудничество за противодействие на данъчните и осигурителни измами:</w:t>
      </w:r>
    </w:p>
    <w:p w14:paraId="0C8A98EA"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 xml:space="preserve">Постоянен мониторинг и комуникация със задължени лица, формиращи значим </w:t>
      </w:r>
      <w:r w:rsidRPr="00404911">
        <w:t>дял</w:t>
      </w:r>
      <w:r w:rsidRPr="005968FD">
        <w:rPr>
          <w:szCs w:val="24"/>
        </w:rPr>
        <w:t xml:space="preserve"> от икономиката на страната;</w:t>
      </w:r>
    </w:p>
    <w:p w14:paraId="3C190912" w14:textId="77777777" w:rsidR="00AA40DC" w:rsidRPr="005968FD" w:rsidRDefault="00AA40DC" w:rsidP="00404911">
      <w:pPr>
        <w:pStyle w:val="ListParagraph"/>
        <w:numPr>
          <w:ilvl w:val="0"/>
          <w:numId w:val="10"/>
        </w:numPr>
        <w:tabs>
          <w:tab w:val="clear" w:pos="680"/>
        </w:tabs>
        <w:ind w:left="567" w:hanging="283"/>
        <w:rPr>
          <w:szCs w:val="24"/>
        </w:rPr>
      </w:pPr>
      <w:r w:rsidRPr="00404911">
        <w:t>Постоянен</w:t>
      </w:r>
      <w:r w:rsidRPr="005968FD">
        <w:rPr>
          <w:szCs w:val="24"/>
        </w:rPr>
        <w:t xml:space="preserve"> мониторинг и контрол на задължени лица с рисково поведение;</w:t>
      </w:r>
    </w:p>
    <w:p w14:paraId="277DDCFE" w14:textId="77777777" w:rsidR="00AA40DC" w:rsidRPr="005968FD" w:rsidRDefault="00AA40DC" w:rsidP="00404911">
      <w:pPr>
        <w:pStyle w:val="ListParagraph"/>
        <w:numPr>
          <w:ilvl w:val="0"/>
          <w:numId w:val="10"/>
        </w:numPr>
        <w:tabs>
          <w:tab w:val="clear" w:pos="680"/>
        </w:tabs>
        <w:ind w:left="567" w:hanging="283"/>
        <w:rPr>
          <w:szCs w:val="24"/>
        </w:rPr>
      </w:pPr>
      <w:r w:rsidRPr="00404911">
        <w:t>Ефективно</w:t>
      </w:r>
      <w:r w:rsidRPr="005968FD">
        <w:rPr>
          <w:szCs w:val="24"/>
        </w:rPr>
        <w:t xml:space="preserve"> взаимодействие с правоохранителните органи и външни институции: Прокуратура на Република България, МВР, ДАНС, Агенция „Митници“ и други в борбата с данъчните и/или осигурителните измами;</w:t>
      </w:r>
    </w:p>
    <w:p w14:paraId="2293D3DE" w14:textId="77777777" w:rsidR="00AA40DC" w:rsidRPr="005968FD" w:rsidRDefault="00AA40DC" w:rsidP="00404911">
      <w:pPr>
        <w:pStyle w:val="ListParagraph"/>
        <w:numPr>
          <w:ilvl w:val="0"/>
          <w:numId w:val="10"/>
        </w:numPr>
        <w:tabs>
          <w:tab w:val="clear" w:pos="680"/>
        </w:tabs>
        <w:ind w:left="567" w:hanging="283"/>
        <w:rPr>
          <w:szCs w:val="24"/>
        </w:rPr>
      </w:pPr>
      <w:r w:rsidRPr="00404911">
        <w:t>Диалог</w:t>
      </w:r>
      <w:r w:rsidRPr="005968FD">
        <w:rPr>
          <w:szCs w:val="24"/>
        </w:rPr>
        <w:t xml:space="preserve"> с бизнеса с цел превенция за спазване на данъчното и осигурителното законодателство;</w:t>
      </w:r>
    </w:p>
    <w:p w14:paraId="1C33AC17" w14:textId="77777777" w:rsidR="00AA40DC" w:rsidRPr="005968FD" w:rsidRDefault="00AA40DC" w:rsidP="00404911">
      <w:pPr>
        <w:pStyle w:val="ListParagraph"/>
        <w:numPr>
          <w:ilvl w:val="0"/>
          <w:numId w:val="10"/>
        </w:numPr>
        <w:tabs>
          <w:tab w:val="clear" w:pos="680"/>
        </w:tabs>
        <w:ind w:left="567" w:hanging="283"/>
        <w:rPr>
          <w:szCs w:val="24"/>
        </w:rPr>
      </w:pPr>
      <w:r w:rsidRPr="00404911">
        <w:t>Контрол</w:t>
      </w:r>
      <w:r w:rsidRPr="005968FD">
        <w:rPr>
          <w:szCs w:val="24"/>
        </w:rPr>
        <w:t xml:space="preserve"> върху лица, укриващи приходи/доходи от търговска дейност в интернет.</w:t>
      </w:r>
    </w:p>
    <w:p w14:paraId="055DA9ED" w14:textId="2CC3497F" w:rsidR="00AA40DC" w:rsidRPr="005968FD" w:rsidRDefault="00AA40DC" w:rsidP="00404911">
      <w:pPr>
        <w:pStyle w:val="ListParagraph"/>
        <w:numPr>
          <w:ilvl w:val="0"/>
          <w:numId w:val="10"/>
        </w:numPr>
        <w:tabs>
          <w:tab w:val="clear" w:pos="680"/>
        </w:tabs>
        <w:ind w:left="567" w:hanging="283"/>
        <w:rPr>
          <w:szCs w:val="24"/>
        </w:rPr>
      </w:pPr>
      <w:r w:rsidRPr="00404911">
        <w:t>Развиване</w:t>
      </w:r>
      <w:r w:rsidRPr="005968FD">
        <w:rPr>
          <w:szCs w:val="24"/>
        </w:rPr>
        <w:t xml:space="preserve"> на капацитета на НАП за контрол върху електронната търговия и контрол в</w:t>
      </w:r>
      <w:r w:rsidR="009C0E16" w:rsidRPr="005968FD">
        <w:rPr>
          <w:szCs w:val="24"/>
        </w:rPr>
        <w:t xml:space="preserve"> </w:t>
      </w:r>
      <w:r w:rsidRPr="005968FD">
        <w:rPr>
          <w:szCs w:val="24"/>
        </w:rPr>
        <w:t>дигитална среда (е-ревизии);</w:t>
      </w:r>
    </w:p>
    <w:p w14:paraId="754CAC15" w14:textId="304F29EE" w:rsidR="00AA40DC" w:rsidRPr="005968FD" w:rsidRDefault="00AA40DC" w:rsidP="00404911">
      <w:pPr>
        <w:pStyle w:val="ListParagraph"/>
        <w:numPr>
          <w:ilvl w:val="0"/>
          <w:numId w:val="10"/>
        </w:numPr>
        <w:tabs>
          <w:tab w:val="clear" w:pos="680"/>
        </w:tabs>
        <w:ind w:left="567" w:hanging="283"/>
        <w:rPr>
          <w:szCs w:val="24"/>
        </w:rPr>
      </w:pPr>
      <w:r w:rsidRPr="00404911">
        <w:t>Осъществяване</w:t>
      </w:r>
      <w:r w:rsidRPr="005968FD">
        <w:rPr>
          <w:szCs w:val="24"/>
        </w:rPr>
        <w:t xml:space="preserve"> на ефективен и ефикасен фискален контрол във връзка с движението на стоки с висок фискален риск на територията на България, с цел предотвратяване</w:t>
      </w:r>
      <w:r w:rsidR="009C0E16" w:rsidRPr="005968FD">
        <w:rPr>
          <w:szCs w:val="24"/>
        </w:rPr>
        <w:t xml:space="preserve"> </w:t>
      </w:r>
      <w:r w:rsidRPr="005968FD">
        <w:rPr>
          <w:szCs w:val="24"/>
        </w:rPr>
        <w:t xml:space="preserve">укриването на данъци и на данъчни измами; </w:t>
      </w:r>
    </w:p>
    <w:p w14:paraId="19728A4E"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Внедряване на GPS система за наблюдение на МПС на рискови лица, с цел предотвратяване на реализация на нередовни/ нерегламентирани стоки и схеми за данъчни измами.</w:t>
      </w:r>
    </w:p>
    <w:p w14:paraId="5A30A2BC" w14:textId="029F9120" w:rsidR="00AA40DC" w:rsidRPr="005968FD" w:rsidRDefault="00AA40DC" w:rsidP="00F25F58">
      <w:pPr>
        <w:rPr>
          <w:b/>
          <w:szCs w:val="24"/>
        </w:rPr>
      </w:pPr>
      <w:r w:rsidRPr="005968FD">
        <w:rPr>
          <w:b/>
          <w:szCs w:val="24"/>
        </w:rPr>
        <w:t>Развитие на принудителното</w:t>
      </w:r>
      <w:r w:rsidR="009C0E16" w:rsidRPr="005968FD">
        <w:rPr>
          <w:b/>
          <w:szCs w:val="24"/>
        </w:rPr>
        <w:t xml:space="preserve"> </w:t>
      </w:r>
      <w:r w:rsidRPr="005968FD">
        <w:rPr>
          <w:b/>
          <w:szCs w:val="24"/>
        </w:rPr>
        <w:t xml:space="preserve">събиране на просрочени задължения </w:t>
      </w:r>
    </w:p>
    <w:p w14:paraId="16DFDC51"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Ранно прилагане на способи, стимулиращи доброволното плащане на просрочени задължения, с цел избягване на необходимостта от прилагане на принудителни действия;</w:t>
      </w:r>
    </w:p>
    <w:p w14:paraId="2513D6FC"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Постоянен мониторинг и комуникация с лица със задължения с висок фискален ефект;</w:t>
      </w:r>
    </w:p>
    <w:p w14:paraId="052B46EF"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Подобряване на комуникацията, в т.ч. и по електронен път, с длъжници, публични взискатели и заинтересовани страни;</w:t>
      </w:r>
    </w:p>
    <w:p w14:paraId="684CF9F1"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Активна комуникация и използване на законовите възможности за улесняване плащането на дълга от лица с временни затруднения;</w:t>
      </w:r>
    </w:p>
    <w:p w14:paraId="6C1D7873"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lastRenderedPageBreak/>
        <w:t xml:space="preserve">Повишаване на ефективността на процеса по събиране и обезпечаване на публични вземания, чрез използване на методиката за остойностяване разходите по принудително събиране; </w:t>
      </w:r>
    </w:p>
    <w:p w14:paraId="41A2D52E"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Повишаване на ефективността на взаимната помощ при събиране на публични вземания спрямо длъжници с просрочени задължения, подали искания за възстановяване на ДДС в друга държава членка на ЕС.</w:t>
      </w:r>
    </w:p>
    <w:p w14:paraId="1ED913DD" w14:textId="77777777" w:rsidR="00AA40DC" w:rsidRPr="005968FD" w:rsidRDefault="00AA40DC" w:rsidP="00F25F58">
      <w:pPr>
        <w:rPr>
          <w:b/>
          <w:szCs w:val="24"/>
        </w:rPr>
      </w:pPr>
      <w:r w:rsidRPr="005968FD">
        <w:rPr>
          <w:b/>
          <w:szCs w:val="24"/>
        </w:rPr>
        <w:t>Развитие на системата за управление на риска от неспазване на данъчното и осигурително законодателство в НАП</w:t>
      </w:r>
    </w:p>
    <w:p w14:paraId="08DBCA13"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Усъвършенстване на контрола, базиран на анализ на риска и рисково поведение, в т.ч. широка комуникация за създаване на обща превенция спрямо включване в данъчни и осигурителни измами;</w:t>
      </w:r>
    </w:p>
    <w:p w14:paraId="72E3E4A2"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Продължаване реализацията на проект „Сегментиране и поведенческо профилиране на клиентите на НАП в контекста на управление на риска“;</w:t>
      </w:r>
    </w:p>
    <w:p w14:paraId="2BC721B9"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Изпълнение на дейностите по проект „Засилване на спазването чрез въвеждането в НАП на модели за изследване на външния контекст и за влияние върху поведението на данъкоплатците“;</w:t>
      </w:r>
    </w:p>
    <w:p w14:paraId="11658E40"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Изпълнение на дейностите по проект „Разработване и прилагане на модел на „Хоризонтален мониторинг“ от Българската приходна администрация“;</w:t>
      </w:r>
    </w:p>
    <w:p w14:paraId="000EF124" w14:textId="77777777" w:rsidR="00AA40DC" w:rsidRPr="005968FD" w:rsidRDefault="00AA40DC" w:rsidP="00404911">
      <w:pPr>
        <w:pStyle w:val="ListParagraph"/>
        <w:numPr>
          <w:ilvl w:val="0"/>
          <w:numId w:val="10"/>
        </w:numPr>
        <w:tabs>
          <w:tab w:val="clear" w:pos="680"/>
        </w:tabs>
        <w:ind w:left="567" w:hanging="283"/>
        <w:rPr>
          <w:szCs w:val="24"/>
        </w:rPr>
      </w:pPr>
      <w:r w:rsidRPr="005968FD">
        <w:rPr>
          <w:szCs w:val="24"/>
        </w:rPr>
        <w:t>Оценка на данъчните липси от ДДС на високо ниво;</w:t>
      </w:r>
    </w:p>
    <w:p w14:paraId="006EE6F9" w14:textId="77777777" w:rsidR="00AA40DC" w:rsidRPr="005968FD" w:rsidRDefault="00AA40DC" w:rsidP="00F25F58">
      <w:pPr>
        <w:rPr>
          <w:b/>
          <w:szCs w:val="24"/>
        </w:rPr>
      </w:pPr>
      <w:r w:rsidRPr="005968FD">
        <w:rPr>
          <w:b/>
          <w:szCs w:val="24"/>
        </w:rPr>
        <w:t>В отговор на COVID-19</w:t>
      </w:r>
    </w:p>
    <w:p w14:paraId="399F9947" w14:textId="380775C9" w:rsidR="00AA40DC" w:rsidRPr="005968FD" w:rsidRDefault="00AA40DC" w:rsidP="00404911">
      <w:pPr>
        <w:suppressAutoHyphens/>
        <w:rPr>
          <w:rFonts w:eastAsia="Times New Roman"/>
          <w:szCs w:val="24"/>
          <w:lang w:eastAsia="ar-SA"/>
        </w:rPr>
      </w:pPr>
      <w:r w:rsidRPr="005968FD">
        <w:rPr>
          <w:rFonts w:eastAsia="Times New Roman"/>
          <w:szCs w:val="24"/>
        </w:rPr>
        <w:t>През 2021</w:t>
      </w:r>
      <w:r w:rsidR="00DF07FD">
        <w:rPr>
          <w:rFonts w:eastAsia="Times New Roman"/>
          <w:szCs w:val="24"/>
        </w:rPr>
        <w:t> г.</w:t>
      </w:r>
      <w:r w:rsidRPr="005968FD">
        <w:rPr>
          <w:rFonts w:eastAsia="Times New Roman"/>
          <w:szCs w:val="24"/>
        </w:rPr>
        <w:t xml:space="preserve"> НАП изпълнява проект „Подкрепа чрез оборотен капитал за МСП, засегнати от временните противоепидемични мерки чрез прилагане на схема за подпомагане от Национална агенция за приходите (НАП)“ по процедура № BG16RFOP002-2.094 „Подкрепа чрез оборотен капитал за МСП, засегнати от временните противоепидемични мерки чрез прилагане на схема за подпомагане от Национална агенция за приходите (НАП)“ на Оперативна програма „Иновации и конкурентоспособност“. Общият бюджет на проекта е 176 000 000 лв., с период на изпълнение 19.01.2021 – 19.01.2023г. В изпълнение на проекта е предоставена финансова подкрепа от НАП към МСП, в рамките на схема за набиране на заявления за подкрепа от МСП с наименование „Подкрепа чрез оборотен капитал за МСП, засегнати от временните противоепидемични мерки“, изпълнявана в три фази, както следва:</w:t>
      </w:r>
    </w:p>
    <w:p w14:paraId="3AC802D3" w14:textId="0D23F353" w:rsidR="00AA40DC" w:rsidRPr="005968FD" w:rsidRDefault="00AA40DC" w:rsidP="00404911">
      <w:pPr>
        <w:pStyle w:val="ListParagraph"/>
        <w:numPr>
          <w:ilvl w:val="0"/>
          <w:numId w:val="10"/>
        </w:numPr>
        <w:tabs>
          <w:tab w:val="clear" w:pos="680"/>
        </w:tabs>
        <w:ind w:left="567" w:hanging="283"/>
        <w:rPr>
          <w:szCs w:val="24"/>
          <w:lang w:eastAsia="en-US"/>
        </w:rPr>
      </w:pPr>
      <w:r w:rsidRPr="005968FD">
        <w:rPr>
          <w:szCs w:val="24"/>
        </w:rPr>
        <w:t>По Схема № BG16RFOP002-2.095 (фаза 1)</w:t>
      </w:r>
      <w:r w:rsidR="00DF07FD">
        <w:rPr>
          <w:szCs w:val="24"/>
        </w:rPr>
        <w:t xml:space="preserve"> – </w:t>
      </w:r>
      <w:r w:rsidRPr="005968FD">
        <w:rPr>
          <w:szCs w:val="24"/>
        </w:rPr>
        <w:t>Общ брой кандидати – 7 992 лица, като на 4 845 бр. са направени ръчни проверки във връзка с оценка на заявленията от 64 оценителя от различни структурни звена в НАП, организирани в 8 екипа. Издадени са общо 1 164 бр. заповеди, в т. ч. заповеди за изплащане на помощи</w:t>
      </w:r>
      <w:r w:rsidR="00DF07FD">
        <w:rPr>
          <w:szCs w:val="24"/>
        </w:rPr>
        <w:t xml:space="preserve"> – </w:t>
      </w:r>
      <w:r w:rsidRPr="005968FD">
        <w:rPr>
          <w:szCs w:val="24"/>
        </w:rPr>
        <w:t xml:space="preserve">58 бр. и заповеди за отказ от изплащане на помощи – 1 106 бр. </w:t>
      </w:r>
    </w:p>
    <w:p w14:paraId="26212947" w14:textId="0153D803" w:rsidR="00AA40DC" w:rsidRPr="005968FD" w:rsidRDefault="00AA40DC" w:rsidP="00404911">
      <w:pPr>
        <w:pStyle w:val="ListParagraph"/>
        <w:numPr>
          <w:ilvl w:val="1"/>
          <w:numId w:val="3"/>
        </w:numPr>
        <w:ind w:left="993" w:hanging="426"/>
        <w:rPr>
          <w:szCs w:val="24"/>
        </w:rPr>
      </w:pPr>
      <w:r w:rsidRPr="005968FD">
        <w:rPr>
          <w:szCs w:val="24"/>
        </w:rPr>
        <w:t>Като резултат</w:t>
      </w:r>
      <w:r w:rsidR="00DF07FD">
        <w:rPr>
          <w:szCs w:val="24"/>
        </w:rPr>
        <w:t xml:space="preserve"> – </w:t>
      </w:r>
      <w:r w:rsidRPr="005968FD">
        <w:rPr>
          <w:szCs w:val="24"/>
        </w:rPr>
        <w:t>обща стойност на изплатената финансова подкрепа към МСП</w:t>
      </w:r>
      <w:r w:rsidR="00DF07FD">
        <w:rPr>
          <w:szCs w:val="24"/>
        </w:rPr>
        <w:t xml:space="preserve"> – </w:t>
      </w:r>
      <w:r w:rsidRPr="005968FD">
        <w:rPr>
          <w:szCs w:val="24"/>
        </w:rPr>
        <w:t>82 974 851 лв. на 6 885 лица.</w:t>
      </w:r>
    </w:p>
    <w:p w14:paraId="61394D5A" w14:textId="7BCE72DD" w:rsidR="00AA40DC" w:rsidRPr="005968FD" w:rsidRDefault="00AA40DC" w:rsidP="00404911">
      <w:pPr>
        <w:pStyle w:val="ListParagraph"/>
        <w:numPr>
          <w:ilvl w:val="0"/>
          <w:numId w:val="10"/>
        </w:numPr>
        <w:tabs>
          <w:tab w:val="clear" w:pos="680"/>
        </w:tabs>
        <w:ind w:left="567" w:hanging="283"/>
        <w:rPr>
          <w:szCs w:val="24"/>
        </w:rPr>
      </w:pPr>
      <w:r w:rsidRPr="005968FD">
        <w:rPr>
          <w:szCs w:val="24"/>
        </w:rPr>
        <w:t>По Схема № BG16RFOP002-2.097 (фаза 2)</w:t>
      </w:r>
      <w:r w:rsidR="00DF07FD">
        <w:rPr>
          <w:szCs w:val="24"/>
        </w:rPr>
        <w:t xml:space="preserve"> – </w:t>
      </w:r>
      <w:r w:rsidRPr="005968FD">
        <w:rPr>
          <w:szCs w:val="24"/>
        </w:rPr>
        <w:t xml:space="preserve">Общ брой кандидати – 4 837 бр., като на 1 451 бр. са направени ръчни проверки във връзка с оценка на заявленията от екипи от 57 оценителя от различни структурни звена в НАП, в 8 екипа. Издадени са общо 88 бр. заповеди, в т. ч. заповеди за изплащане на помощи 19 бр. и заповеди за отказ от изплащане на помощи – 69 бр. </w:t>
      </w:r>
    </w:p>
    <w:p w14:paraId="6E595740" w14:textId="4F2BE794" w:rsidR="00AA40DC" w:rsidRPr="005968FD" w:rsidRDefault="00AA40DC" w:rsidP="00404911">
      <w:pPr>
        <w:pStyle w:val="ListParagraph"/>
        <w:numPr>
          <w:ilvl w:val="1"/>
          <w:numId w:val="3"/>
        </w:numPr>
        <w:ind w:left="993" w:hanging="426"/>
        <w:rPr>
          <w:szCs w:val="24"/>
        </w:rPr>
      </w:pPr>
      <w:r w:rsidRPr="005968FD">
        <w:rPr>
          <w:szCs w:val="24"/>
        </w:rPr>
        <w:t>Като резултат</w:t>
      </w:r>
      <w:r w:rsidR="00DF07FD">
        <w:rPr>
          <w:szCs w:val="24"/>
        </w:rPr>
        <w:t xml:space="preserve"> – </w:t>
      </w:r>
      <w:r w:rsidRPr="005968FD">
        <w:rPr>
          <w:szCs w:val="24"/>
        </w:rPr>
        <w:t>обща стойност на изплатената финансова подкрепа към МСП</w:t>
      </w:r>
      <w:r w:rsidR="00DF07FD">
        <w:rPr>
          <w:szCs w:val="24"/>
        </w:rPr>
        <w:t xml:space="preserve"> – </w:t>
      </w:r>
      <w:r w:rsidRPr="005968FD">
        <w:rPr>
          <w:szCs w:val="24"/>
        </w:rPr>
        <w:t xml:space="preserve">35 170 169 лв. на 4 768 лица. </w:t>
      </w:r>
    </w:p>
    <w:p w14:paraId="74751F1E" w14:textId="15699BCE" w:rsidR="00AA40DC" w:rsidRPr="005968FD" w:rsidRDefault="00AA40DC" w:rsidP="00404911">
      <w:pPr>
        <w:pStyle w:val="ListParagraph"/>
        <w:numPr>
          <w:ilvl w:val="0"/>
          <w:numId w:val="10"/>
        </w:numPr>
        <w:tabs>
          <w:tab w:val="clear" w:pos="680"/>
        </w:tabs>
        <w:ind w:left="567" w:hanging="283"/>
        <w:rPr>
          <w:szCs w:val="24"/>
        </w:rPr>
      </w:pPr>
      <w:r w:rsidRPr="005968FD">
        <w:rPr>
          <w:szCs w:val="24"/>
        </w:rPr>
        <w:lastRenderedPageBreak/>
        <w:t>По Схема № BG16RFOP002-2.101 (фаза 3)</w:t>
      </w:r>
      <w:r w:rsidR="00DF07FD">
        <w:rPr>
          <w:szCs w:val="24"/>
        </w:rPr>
        <w:t xml:space="preserve"> – </w:t>
      </w:r>
      <w:r w:rsidRPr="005968FD">
        <w:rPr>
          <w:szCs w:val="24"/>
        </w:rPr>
        <w:t>брой кандидатствали МСП – 2 553 бр., като на 2 109 бр. са направени ръчни проверки във връзка с оценка на заявленията от 120 оценителя от различни структурни звена в НАП, в 24 екипа. Издадени са общо 96 бр. заповеди, в т. ч. заповеди за изплащане на помощи 18 бр. и заповеди за отказ от изплащане на помощи – 78 бр.</w:t>
      </w:r>
    </w:p>
    <w:p w14:paraId="4C37BF41" w14:textId="5CECF780" w:rsidR="00AA40DC" w:rsidRPr="005968FD" w:rsidRDefault="00AA40DC" w:rsidP="00404911">
      <w:pPr>
        <w:pStyle w:val="ListParagraph"/>
        <w:numPr>
          <w:ilvl w:val="1"/>
          <w:numId w:val="3"/>
        </w:numPr>
        <w:ind w:left="993" w:hanging="426"/>
        <w:rPr>
          <w:szCs w:val="24"/>
        </w:rPr>
      </w:pPr>
      <w:r w:rsidRPr="005968FD">
        <w:rPr>
          <w:szCs w:val="24"/>
        </w:rPr>
        <w:t>Като резултат</w:t>
      </w:r>
      <w:r w:rsidR="00DF07FD">
        <w:rPr>
          <w:szCs w:val="24"/>
        </w:rPr>
        <w:t xml:space="preserve"> – </w:t>
      </w:r>
      <w:r w:rsidRPr="005968FD">
        <w:rPr>
          <w:szCs w:val="24"/>
        </w:rPr>
        <w:t>обща стойност на изплатената финансова подкрепа към МСП – 13 512 475 лв. на 2 475 лица.</w:t>
      </w:r>
    </w:p>
    <w:p w14:paraId="6D38FD5A" w14:textId="37FC8CCE" w:rsidR="00210F62" w:rsidRPr="005968FD" w:rsidRDefault="00E0182A" w:rsidP="005E6318">
      <w:pPr>
        <w:pStyle w:val="Heading4"/>
      </w:pPr>
      <w:r w:rsidRPr="005968FD">
        <w:t>Агенция Митници</w:t>
      </w:r>
    </w:p>
    <w:p w14:paraId="2BBCE445" w14:textId="2320D241" w:rsidR="00E0182A" w:rsidRPr="005968FD" w:rsidRDefault="00E0182A" w:rsidP="005F0B57">
      <w:pPr>
        <w:pStyle w:val="ListParagraph"/>
        <w:numPr>
          <w:ilvl w:val="0"/>
          <w:numId w:val="8"/>
        </w:numPr>
        <w:tabs>
          <w:tab w:val="clear" w:pos="680"/>
        </w:tabs>
        <w:ind w:left="0" w:firstLine="709"/>
        <w:contextualSpacing/>
        <w:rPr>
          <w:szCs w:val="24"/>
        </w:rPr>
      </w:pPr>
      <w:r w:rsidRPr="005968FD">
        <w:rPr>
          <w:szCs w:val="24"/>
        </w:rPr>
        <w:t>През 2021</w:t>
      </w:r>
      <w:r w:rsidR="00DF07FD">
        <w:rPr>
          <w:szCs w:val="24"/>
        </w:rPr>
        <w:t> г.</w:t>
      </w:r>
      <w:r w:rsidRPr="005968FD">
        <w:rPr>
          <w:szCs w:val="24"/>
        </w:rPr>
        <w:t xml:space="preserve"> са изготвени предложения за приемане на Закон за изменение и допълнение на Закона за митниците. Проектът е изготвен във връзка с необходимостта от предприемане на действия по отношение на плащанията на публични вземания по митническото законодателство при изпълнение на изискванията на съюзното законодателство, с въвеждане на необходимите промени по отношение на улесняване на погасяването на задълженията към митническата администрация.</w:t>
      </w:r>
    </w:p>
    <w:p w14:paraId="088DED9B" w14:textId="77777777" w:rsidR="00E0182A" w:rsidRPr="005968FD" w:rsidRDefault="00E0182A" w:rsidP="005968FD">
      <w:pPr>
        <w:tabs>
          <w:tab w:val="left" w:pos="709"/>
          <w:tab w:val="left" w:pos="1134"/>
          <w:tab w:val="left" w:pos="1276"/>
        </w:tabs>
        <w:rPr>
          <w:szCs w:val="24"/>
        </w:rPr>
      </w:pPr>
      <w:r w:rsidRPr="005968FD">
        <w:rPr>
          <w:szCs w:val="24"/>
        </w:rPr>
        <w:t>В част от предложените промени в законопроекта се съдържат мерки, чиято основна цел е да бъде приведено националното законодателство в съответствие с Регламент (ЕС) № 260/2012 на Европейския парламент и на Съвета от 14 март 2012 година за определяне на технически и бизнес изисквания за кредитни преводи и директни дебити в евро и за изменение на Регламент (ЕО) № 924/2009 текст от значение за ЕИП, в областта на презграничните плащания в рамките на единна зона за плащания. Осигурява се преход към промяна в банковото обслужване на сметки 7301 с титуляр Агенция „Митници“, за постъпване на приходите, администрирани от всички митнически учреждения в страната по единна сметка, без използване на кодове за вид плащане. Отпадането на кода на вида плащане ще повлияе върху целия процес по обработката на задълженията и погасяването им.</w:t>
      </w:r>
    </w:p>
    <w:p w14:paraId="67E763DB" w14:textId="77777777" w:rsidR="00AF716A" w:rsidRPr="005968FD" w:rsidRDefault="00E0182A" w:rsidP="005F0B57">
      <w:pPr>
        <w:pStyle w:val="ListParagraph"/>
        <w:numPr>
          <w:ilvl w:val="0"/>
          <w:numId w:val="8"/>
        </w:numPr>
        <w:tabs>
          <w:tab w:val="clear" w:pos="680"/>
          <w:tab w:val="left" w:pos="709"/>
          <w:tab w:val="left" w:pos="1134"/>
          <w:tab w:val="left" w:pos="1276"/>
        </w:tabs>
        <w:ind w:left="0" w:firstLine="709"/>
        <w:contextualSpacing/>
        <w:rPr>
          <w:szCs w:val="24"/>
        </w:rPr>
      </w:pPr>
      <w:r w:rsidRPr="005968FD">
        <w:rPr>
          <w:szCs w:val="24"/>
        </w:rPr>
        <w:t xml:space="preserve">В тази връзка са предложени промени и в Закона за ограничаване на плащанията в брой, за да бъде възможно плащането на митнически задължения и други държавни вземания по вноса, посредством физическо и виртуално ПОС терминално устройство. </w:t>
      </w:r>
    </w:p>
    <w:p w14:paraId="20830B09" w14:textId="1499B5FD" w:rsidR="00E0182A" w:rsidRPr="005968FD" w:rsidRDefault="00E0182A" w:rsidP="005968FD">
      <w:pPr>
        <w:tabs>
          <w:tab w:val="left" w:pos="709"/>
          <w:tab w:val="left" w:pos="1134"/>
          <w:tab w:val="left" w:pos="1276"/>
        </w:tabs>
        <w:contextualSpacing/>
        <w:rPr>
          <w:szCs w:val="24"/>
        </w:rPr>
      </w:pPr>
      <w:r w:rsidRPr="005968FD">
        <w:rPr>
          <w:szCs w:val="24"/>
        </w:rPr>
        <w:t>Предвидено е всеки длъжник, задължено лице по плащане на задължения при вноса на стоки да има виртуална сметка в митническата система за митническите задължения, в която се отчитат извършените плащания и погасените задължения на длъжниците. Осигурена е възможност длъжниците, задължени лица при извършено плащане, да имат достъп до виртуалната си сметка посредством приложение в е-портала на Агенция „Митници“ (модул „Митническо задължение и управление на обезпечението-за търговци“). Длъжниците могат да се възползват от следните действия: наблюдение на възникналите и взети под отчет задължения; изпращане на потвърждение за получено уведомление за взети под отчет митнически задължения и други публични държавни вземания; управление на виртуалната си сметка в модул „Митническо задължение и управление на обезпечението-за търговци“, което включва насочване на кредитни обороти към взети под отчет задължения и действия във връзка с надвнесени суми, връщане или използване за следващи действия по погасяване; обезпечаване на взети под отчет задължения.</w:t>
      </w:r>
    </w:p>
    <w:p w14:paraId="5E4B2512" w14:textId="412669F9" w:rsidR="00E0182A" w:rsidRPr="005968FD" w:rsidRDefault="00E0182A" w:rsidP="005968FD">
      <w:pPr>
        <w:tabs>
          <w:tab w:val="left" w:pos="709"/>
          <w:tab w:val="left" w:pos="1134"/>
          <w:tab w:val="left" w:pos="1276"/>
        </w:tabs>
        <w:rPr>
          <w:szCs w:val="24"/>
        </w:rPr>
      </w:pPr>
      <w:r w:rsidRPr="005968FD">
        <w:rPr>
          <w:szCs w:val="24"/>
        </w:rPr>
        <w:t xml:space="preserve">Подобрява се качеството и ефикасността при митническото оформяне на стоките, декларирани за свободно обращение. Наред с това се подобрява ефективността и прозрачността при счетоводното отразяване на плащанията по сметки 7301 на Агенция „Митници“. </w:t>
      </w:r>
    </w:p>
    <w:p w14:paraId="03DA045A" w14:textId="083DBCE2" w:rsidR="00E0182A" w:rsidRPr="005968FD" w:rsidRDefault="00E0182A" w:rsidP="005968FD">
      <w:pPr>
        <w:tabs>
          <w:tab w:val="left" w:pos="709"/>
          <w:tab w:val="left" w:pos="1134"/>
          <w:tab w:val="left" w:pos="1276"/>
        </w:tabs>
        <w:rPr>
          <w:szCs w:val="24"/>
        </w:rPr>
      </w:pPr>
      <w:r w:rsidRPr="005968FD">
        <w:rPr>
          <w:szCs w:val="24"/>
        </w:rPr>
        <w:t xml:space="preserve">Тенденцията в работата на митническите органи е комуникацията със задължените лица да се извършва по електронен път чрез използване на канали за електронно уведомяване </w:t>
      </w:r>
      <w:r w:rsidRPr="005968FD">
        <w:rPr>
          <w:szCs w:val="24"/>
        </w:rPr>
        <w:lastRenderedPageBreak/>
        <w:t xml:space="preserve">в съответствие с чл. 104 и 105 от Регламент (ЕС) № 952/2013 на Европейския парламент и на Съвета от 9 октомври 2013 година за създаване на Митнически кодекс на Съюза. В тази връзка е предвидена възможност за използване на плащанията също посредством електронна обработка, от самите длъжници. Предоставя се възможност на задължените лица сами да погасяват задължения, възникнали при внос на стоки, без намеса на митнически служител, ако са регистрирани в електронния портал на Агенция „Митници“ и използват приложението „Митническо задължение и управление на обезпечението за търговци“ на Агенция „Митници. </w:t>
      </w:r>
    </w:p>
    <w:p w14:paraId="5DE597E2" w14:textId="77777777" w:rsidR="00E0182A" w:rsidRPr="005968FD" w:rsidRDefault="00E0182A" w:rsidP="005968FD">
      <w:pPr>
        <w:tabs>
          <w:tab w:val="left" w:pos="709"/>
          <w:tab w:val="left" w:pos="1134"/>
          <w:tab w:val="left" w:pos="1276"/>
        </w:tabs>
        <w:rPr>
          <w:szCs w:val="24"/>
        </w:rPr>
      </w:pPr>
      <w:r w:rsidRPr="005968FD">
        <w:rPr>
          <w:szCs w:val="24"/>
        </w:rPr>
        <w:t>Оптимизира се процеса за извършване на контрол при погасяване на плащанията, като предвидените възможности за самостоятелно погасяване на задълженията на деклараторите способства цялостната електронна обработка на митническите задължения от момента на възникването им до момента на погасяването им, както и намалява риска от неидентифицирани плащания и ще стимулира прилагането на добрите практики от длъжниците.</w:t>
      </w:r>
    </w:p>
    <w:p w14:paraId="4C0092DE" w14:textId="68809BE5" w:rsidR="00E0182A" w:rsidRPr="005968FD" w:rsidRDefault="00E0182A" w:rsidP="005F0B57">
      <w:pPr>
        <w:pStyle w:val="ListParagraph"/>
        <w:numPr>
          <w:ilvl w:val="0"/>
          <w:numId w:val="8"/>
        </w:numPr>
        <w:tabs>
          <w:tab w:val="clear" w:pos="680"/>
        </w:tabs>
        <w:ind w:left="0" w:firstLine="709"/>
        <w:contextualSpacing/>
        <w:rPr>
          <w:szCs w:val="24"/>
        </w:rPr>
      </w:pPr>
      <w:r w:rsidRPr="005968FD">
        <w:rPr>
          <w:szCs w:val="24"/>
        </w:rPr>
        <w:t>През 2022</w:t>
      </w:r>
      <w:r w:rsidR="00DF07FD">
        <w:rPr>
          <w:szCs w:val="24"/>
        </w:rPr>
        <w:t> г.</w:t>
      </w:r>
      <w:r w:rsidRPr="005968FD">
        <w:rPr>
          <w:szCs w:val="24"/>
        </w:rPr>
        <w:t xml:space="preserve"> е направено предложение за изменение на Наредба Н-9/07.11.2018</w:t>
      </w:r>
      <w:r w:rsidR="00DF07FD">
        <w:rPr>
          <w:szCs w:val="24"/>
        </w:rPr>
        <w:t> г.</w:t>
      </w:r>
      <w:r w:rsidRPr="005968FD">
        <w:rPr>
          <w:szCs w:val="24"/>
        </w:rPr>
        <w:t xml:space="preserve"> за регистрите, водени от Агенция „Митници“, издадена от министъра на финансите по отношение на лицата, установени на територията на страната, в която е предвидено издаване на EORI номер да бъде извършвано по тяхно искане или служебно при подаване на декларация или друго искане, с което се инициират митническите органи да вземат решение, в рамките на компетентността им. </w:t>
      </w:r>
    </w:p>
    <w:p w14:paraId="4D0F195A" w14:textId="5F83F377" w:rsidR="00E0182A" w:rsidRPr="005968FD" w:rsidRDefault="00E0182A" w:rsidP="005968FD">
      <w:pPr>
        <w:tabs>
          <w:tab w:val="left" w:pos="709"/>
          <w:tab w:val="left" w:pos="1134"/>
          <w:tab w:val="left" w:pos="1276"/>
        </w:tabs>
        <w:rPr>
          <w:szCs w:val="24"/>
        </w:rPr>
      </w:pPr>
      <w:r w:rsidRPr="005968FD">
        <w:rPr>
          <w:szCs w:val="24"/>
        </w:rPr>
        <w:t>По този начин ще се осигури облекчаване на предвидената в наредбата процедура за издаване на EORI номера, в следствие на което ще бъдат облекчени установените на територията на страната лица по отношение на митническата обработка. Облекчението се изразява във възможността издаването на EORI номера за тази категория субекти да бъде извършвано незабавно.</w:t>
      </w:r>
    </w:p>
    <w:p w14:paraId="574C6F34" w14:textId="245C6425" w:rsidR="00E0182A" w:rsidRPr="005968FD" w:rsidRDefault="00E0182A" w:rsidP="005968FD">
      <w:pPr>
        <w:tabs>
          <w:tab w:val="left" w:pos="709"/>
          <w:tab w:val="left" w:pos="1134"/>
          <w:tab w:val="left" w:pos="1276"/>
        </w:tabs>
        <w:rPr>
          <w:szCs w:val="24"/>
        </w:rPr>
      </w:pPr>
      <w:r w:rsidRPr="005968FD">
        <w:rPr>
          <w:szCs w:val="24"/>
        </w:rPr>
        <w:t>Направените предложения за приемане на Закон за изменение и допълнение на Закона за митниците и за изменение на Наредба Н-9/07.11.2018</w:t>
      </w:r>
      <w:r w:rsidR="00DF07FD">
        <w:rPr>
          <w:szCs w:val="24"/>
        </w:rPr>
        <w:t> г.</w:t>
      </w:r>
      <w:r w:rsidRPr="005968FD">
        <w:rPr>
          <w:szCs w:val="24"/>
        </w:rPr>
        <w:t xml:space="preserve"> за регистрите, водени от Агенция „Митници“, издадена от министъра на финансите, към настоящия момент не са влезли в сила и са в процес на съгласуване.</w:t>
      </w:r>
    </w:p>
    <w:p w14:paraId="2A53121B" w14:textId="04ED0CD7" w:rsidR="00E0182A" w:rsidRPr="005968FD" w:rsidRDefault="00E0182A" w:rsidP="005968FD">
      <w:pPr>
        <w:rPr>
          <w:szCs w:val="24"/>
          <w:lang w:eastAsia="en-US"/>
        </w:rPr>
      </w:pPr>
      <w:r w:rsidRPr="005968FD">
        <w:rPr>
          <w:szCs w:val="24"/>
        </w:rPr>
        <w:t>През 2022</w:t>
      </w:r>
      <w:r w:rsidR="00DF07FD">
        <w:rPr>
          <w:szCs w:val="24"/>
        </w:rPr>
        <w:t> г.</w:t>
      </w:r>
      <w:r w:rsidRPr="005968FD">
        <w:rPr>
          <w:szCs w:val="24"/>
        </w:rPr>
        <w:t xml:space="preserve"> предстоят промени в чл. 10 от Закона за пътищата, в резултат на което ще бъде постигнато по-справедливо налагане на такси и глоби за онези физически и юридически лица, които ползват републиканската пътна мрежа без заплатена тол такса или електронна винетка.</w:t>
      </w:r>
    </w:p>
    <w:p w14:paraId="4FEA6515" w14:textId="2F63C79D" w:rsidR="00E0182A" w:rsidRPr="005968FD" w:rsidRDefault="00E0182A" w:rsidP="005F0B57">
      <w:pPr>
        <w:pStyle w:val="ListParagraph"/>
        <w:numPr>
          <w:ilvl w:val="0"/>
          <w:numId w:val="8"/>
        </w:numPr>
        <w:tabs>
          <w:tab w:val="clear" w:pos="680"/>
        </w:tabs>
        <w:ind w:left="0" w:firstLine="709"/>
        <w:contextualSpacing/>
        <w:rPr>
          <w:szCs w:val="24"/>
        </w:rPr>
      </w:pPr>
      <w:r w:rsidRPr="005968FD">
        <w:rPr>
          <w:szCs w:val="24"/>
        </w:rPr>
        <w:t>През 2021</w:t>
      </w:r>
      <w:r w:rsidR="00DF07FD">
        <w:rPr>
          <w:szCs w:val="24"/>
        </w:rPr>
        <w:t> г.</w:t>
      </w:r>
      <w:r w:rsidRPr="005968FD">
        <w:rPr>
          <w:szCs w:val="24"/>
        </w:rPr>
        <w:t xml:space="preserve"> с Постановление № 227 на Министерския съвет от 13.07.2021</w:t>
      </w:r>
      <w:r w:rsidR="00DF07FD">
        <w:rPr>
          <w:szCs w:val="24"/>
        </w:rPr>
        <w:t> г.</w:t>
      </w:r>
      <w:r w:rsidRPr="005968FD">
        <w:rPr>
          <w:szCs w:val="24"/>
        </w:rPr>
        <w:t xml:space="preserve"> е приет нов Устройствен правилник на Агенция „Митници“, обн., ДВ, бр. 59 от 16.07.2021</w:t>
      </w:r>
      <w:r w:rsidR="00DF07FD">
        <w:rPr>
          <w:szCs w:val="24"/>
        </w:rPr>
        <w:t> г.</w:t>
      </w:r>
      <w:r w:rsidRPr="005968FD">
        <w:rPr>
          <w:szCs w:val="24"/>
        </w:rPr>
        <w:t>, в сила от 31.07.2021</w:t>
      </w:r>
      <w:r w:rsidR="00DF07FD">
        <w:rPr>
          <w:szCs w:val="24"/>
        </w:rPr>
        <w:t> г.</w:t>
      </w:r>
      <w:r w:rsidRPr="005968FD">
        <w:rPr>
          <w:szCs w:val="24"/>
        </w:rPr>
        <w:t xml:space="preserve"> При запазване на общата численост на Агенция „Митници“ е намалена числеността на Централно митническо управление от 1304 на 630 щатни бройки. Числеността на Централно митническо управление е намалена в полза на териториалните звена, с което се цели засилване на административния капацитет на териториалните звена при извършване на проверки. Посочените структурни реформи са осъществени с цел засилване на митническия контрол в областта на митническите, акцизните и валутните нарушения и престъпления, противодействие на незаконния трафик на наркотични вещества, прекурсори и оръжия, както и по-добра координация при осъществяване на функциите и задачите в областта на разработването на стратегията, приоритетите, планове и програми за развитие в областта на информационните технологии и развитие на електронното управление в системата на Агенция „Митници“. </w:t>
      </w:r>
    </w:p>
    <w:p w14:paraId="6E34B735" w14:textId="77777777" w:rsidR="00E0182A" w:rsidRPr="005968FD" w:rsidRDefault="00E0182A" w:rsidP="005968FD">
      <w:pPr>
        <w:rPr>
          <w:szCs w:val="24"/>
        </w:rPr>
      </w:pPr>
      <w:r w:rsidRPr="005968FD">
        <w:rPr>
          <w:szCs w:val="24"/>
        </w:rPr>
        <w:t xml:space="preserve">След установена необходимост от засилване на последващия контрол, с цел по-голяма ефикасност и ефективност при прилагане на мерките от последващия контрол във връзка </w:t>
      </w:r>
      <w:r w:rsidRPr="005968FD">
        <w:rPr>
          <w:szCs w:val="24"/>
        </w:rPr>
        <w:lastRenderedPageBreak/>
        <w:t xml:space="preserve">с акцизното и митническото законодателство е възстановена дирекция „Последващ контрол“ и са обособени отдели към Териториалните дирекции. Дейността на звената за последващ контрол е фокусирана изцяло към последващия контрол на декларирането, към извършване на проверки на заявителите за издаване на разрешения за одобрени икономически оператори и на други разрешения по митническото законодателство, мониторинг и преразглеждане на разрешения. Особен акцент се поставя и върху проверките по акцизното законодателство, за установяване на факти и обстоятелства от значение за задължения за акциз и ревизиите за установяване на акцизни задължения. </w:t>
      </w:r>
    </w:p>
    <w:p w14:paraId="776571A0" w14:textId="77777777" w:rsidR="00E0182A" w:rsidRPr="005968FD" w:rsidRDefault="00E0182A" w:rsidP="005968FD">
      <w:pPr>
        <w:tabs>
          <w:tab w:val="left" w:pos="709"/>
          <w:tab w:val="left" w:pos="1134"/>
          <w:tab w:val="left" w:pos="1276"/>
        </w:tabs>
        <w:rPr>
          <w:szCs w:val="24"/>
        </w:rPr>
      </w:pPr>
      <w:r w:rsidRPr="005968FD">
        <w:rPr>
          <w:szCs w:val="24"/>
        </w:rPr>
        <w:t xml:space="preserve">Приети са промени, които представляват категорични мерки за борба с корупцията, чрез въвеждане на допълнителни инструменти за контрол на митническите служители. Възстановена е дирекция „Национален учебен център“ с оглед подобряване качеството на обучение на митническите служители. Подобрена е мрежовата и информационна сигурност в Агенция „Митници“ чрез обособяване на самостоятелно звено на пряко подчинение на директора на агенцията. Създадена е дирекция „Международна дейност“. </w:t>
      </w:r>
    </w:p>
    <w:p w14:paraId="09C4ED42" w14:textId="77777777" w:rsidR="00E0182A" w:rsidRPr="005968FD" w:rsidRDefault="00E0182A" w:rsidP="005F0B57">
      <w:pPr>
        <w:pStyle w:val="ListParagraph"/>
        <w:numPr>
          <w:ilvl w:val="0"/>
          <w:numId w:val="8"/>
        </w:numPr>
        <w:tabs>
          <w:tab w:val="clear" w:pos="680"/>
        </w:tabs>
        <w:ind w:left="0" w:firstLine="709"/>
        <w:contextualSpacing/>
        <w:rPr>
          <w:szCs w:val="24"/>
        </w:rPr>
      </w:pPr>
      <w:r w:rsidRPr="005968FD">
        <w:rPr>
          <w:szCs w:val="24"/>
        </w:rPr>
        <w:t>Проекти, свързани с разработването и усъвършенстването на интегрираните информационни системи</w:t>
      </w:r>
    </w:p>
    <w:p w14:paraId="62CEA044" w14:textId="4B7DFF66" w:rsidR="00E0182A" w:rsidRPr="005968FD" w:rsidRDefault="00E0182A" w:rsidP="005968FD">
      <w:pPr>
        <w:rPr>
          <w:szCs w:val="24"/>
          <w:lang w:eastAsia="en-US"/>
        </w:rPr>
      </w:pPr>
      <w:r w:rsidRPr="005968FD">
        <w:rPr>
          <w:szCs w:val="24"/>
        </w:rPr>
        <w:t>В периода от 2022 до 2025</w:t>
      </w:r>
      <w:r w:rsidR="00DF07FD">
        <w:rPr>
          <w:szCs w:val="24"/>
        </w:rPr>
        <w:t> г.</w:t>
      </w:r>
      <w:r w:rsidRPr="005968FD">
        <w:rPr>
          <w:szCs w:val="24"/>
        </w:rPr>
        <w:t xml:space="preserve"> Агенция „Митници“ ще продължи да реализира редица проекти в съответствие с Пътната карта за изпълнение на Секторната стратегия „е-Митници“ (2016-2025</w:t>
      </w:r>
      <w:r w:rsidR="00DF07FD">
        <w:rPr>
          <w:szCs w:val="24"/>
        </w:rPr>
        <w:t> г.</w:t>
      </w:r>
      <w:r w:rsidRPr="005968FD">
        <w:rPr>
          <w:szCs w:val="24"/>
        </w:rPr>
        <w:t>), които имат за цел повишаване качеството на административното обслужване на гражданите и бизнеса, чрез усъвършенстване на съществуващи електронни административни услуги и включването на нови електронни услуги, намаляване на административната тежест, своевременно отражение на настъпили промени в нормативната уредба, усъвършенстване на процесите по преминаване към безхартиена среда и други.</w:t>
      </w:r>
    </w:p>
    <w:p w14:paraId="61856391" w14:textId="77777777" w:rsidR="00E0182A" w:rsidRPr="005B2032" w:rsidRDefault="00E0182A" w:rsidP="00F62D4F">
      <w:pPr>
        <w:rPr>
          <w:szCs w:val="24"/>
        </w:rPr>
      </w:pPr>
    </w:p>
    <w:p w14:paraId="0F5BCACD" w14:textId="77777777" w:rsidR="005702A5" w:rsidRPr="005B2032" w:rsidRDefault="005702A5" w:rsidP="00C1337B">
      <w:pPr>
        <w:rPr>
          <w:rFonts w:asciiTheme="minorHAnsi" w:hAnsiTheme="minorHAnsi" w:cstheme="minorHAnsi"/>
          <w:b/>
          <w:bCs/>
          <w:iCs/>
        </w:rPr>
      </w:pPr>
    </w:p>
    <w:p w14:paraId="34BD268E" w14:textId="77777777" w:rsidR="005702A5" w:rsidRPr="005B2032" w:rsidRDefault="005702A5" w:rsidP="00C1337B">
      <w:pPr>
        <w:rPr>
          <w:rFonts w:asciiTheme="minorHAnsi" w:hAnsiTheme="minorHAnsi" w:cstheme="minorHAnsi"/>
          <w:b/>
          <w:bCs/>
          <w:iCs/>
        </w:rPr>
      </w:pPr>
    </w:p>
    <w:p w14:paraId="0180786B" w14:textId="2BA8B97C" w:rsidR="006160EF" w:rsidRPr="005B2032" w:rsidRDefault="006160EF" w:rsidP="00C1337B">
      <w:pPr>
        <w:rPr>
          <w:rFonts w:asciiTheme="minorHAnsi" w:hAnsiTheme="minorHAnsi" w:cstheme="minorHAnsi"/>
        </w:rPr>
      </w:pPr>
    </w:p>
    <w:p w14:paraId="38984536" w14:textId="77777777" w:rsidR="00E3664F" w:rsidRPr="005B2032" w:rsidRDefault="00E3664F" w:rsidP="00FF66BE">
      <w:pPr>
        <w:rPr>
          <w:rFonts w:asciiTheme="minorHAnsi" w:hAnsiTheme="minorHAnsi" w:cstheme="minorHAnsi"/>
        </w:rPr>
        <w:sectPr w:rsidR="00E3664F" w:rsidRPr="005B2032" w:rsidSect="00202EFA">
          <w:headerReference w:type="default" r:id="rId61"/>
          <w:type w:val="continuous"/>
          <w:pgSz w:w="11906" w:h="16838" w:code="9"/>
          <w:pgMar w:top="1418" w:right="1418" w:bottom="851" w:left="1418" w:header="680" w:footer="680" w:gutter="0"/>
          <w:cols w:space="708"/>
          <w:docGrid w:linePitch="360"/>
        </w:sectPr>
      </w:pPr>
    </w:p>
    <w:p w14:paraId="44A40621" w14:textId="77777777" w:rsidR="00D359FF" w:rsidRPr="005E6318" w:rsidRDefault="00D359FF" w:rsidP="005E6318">
      <w:pPr>
        <w:pStyle w:val="Heading1"/>
      </w:pPr>
      <w:bookmarkStart w:id="134" w:name="_Toc352851616"/>
      <w:bookmarkStart w:id="135" w:name="_Toc448227305"/>
      <w:bookmarkStart w:id="136" w:name="_Toc479332457"/>
      <w:bookmarkStart w:id="137" w:name="_Toc100906086"/>
      <w:r w:rsidRPr="005E6318">
        <w:lastRenderedPageBreak/>
        <w:t>Ин</w:t>
      </w:r>
      <w:r w:rsidR="00F83F22" w:rsidRPr="005E6318">
        <w:t xml:space="preserve">ституционални </w:t>
      </w:r>
      <w:r w:rsidR="008248E6" w:rsidRPr="005E6318">
        <w:br/>
      </w:r>
      <w:r w:rsidR="00F83F22" w:rsidRPr="005E6318">
        <w:t xml:space="preserve">характеристики на </w:t>
      </w:r>
      <w:r w:rsidRPr="005E6318">
        <w:t>публичните финанси</w:t>
      </w:r>
      <w:bookmarkEnd w:id="134"/>
      <w:bookmarkEnd w:id="135"/>
      <w:bookmarkEnd w:id="136"/>
      <w:bookmarkEnd w:id="137"/>
    </w:p>
    <w:p w14:paraId="638BF94D" w14:textId="77777777" w:rsidR="00820EF1" w:rsidRPr="005E6318" w:rsidRDefault="00D359FF" w:rsidP="005E6318">
      <w:pPr>
        <w:pStyle w:val="Heading2"/>
      </w:pPr>
      <w:bookmarkStart w:id="138" w:name="_Toc352851617"/>
      <w:bookmarkStart w:id="139" w:name="_Toc448227306"/>
      <w:bookmarkStart w:id="140" w:name="_Toc479332458"/>
      <w:bookmarkStart w:id="141" w:name="_Toc100906087"/>
      <w:r w:rsidRPr="005E6318">
        <w:t>Национални бюджетни правила</w:t>
      </w:r>
      <w:bookmarkEnd w:id="138"/>
      <w:bookmarkEnd w:id="139"/>
      <w:bookmarkEnd w:id="140"/>
      <w:bookmarkEnd w:id="141"/>
    </w:p>
    <w:p w14:paraId="61ED6884" w14:textId="77777777" w:rsidR="003E05B8" w:rsidRPr="00682446" w:rsidRDefault="003E05B8" w:rsidP="005E6318">
      <w:r w:rsidRPr="00682446">
        <w:t xml:space="preserve">Наличието на законова рамка, определяща бюджетните правила, ограниченията и процедурите за действие при наличие на отклонения от заложените цели за даден показател, е предпоставка </w:t>
      </w:r>
      <w:r w:rsidRPr="00827C74">
        <w:t>за повишаване на предсказуемостта на провежданата фискална политика, за спазването на</w:t>
      </w:r>
      <w:r w:rsidRPr="00682446">
        <w:t xml:space="preserve"> бюджетната и финансова дисциплина</w:t>
      </w:r>
      <w:r>
        <w:t>, както</w:t>
      </w:r>
      <w:r w:rsidRPr="00682446">
        <w:t xml:space="preserve"> и за гарантиране устойчивостта на публичните финанси. Фискалните правила следва да имат постоянен характер, да се отнасят за значим индикатор (в най-общия случай за бюджетния баланс, дълга, разходите и приходите) и да поставят числови ограничения или цел</w:t>
      </w:r>
      <w:r>
        <w:t>и</w:t>
      </w:r>
      <w:r w:rsidRPr="00682446">
        <w:t>. Изисква се също наличието на законови изисквания и процедури за корективни механизми и мерки за връщане към целта или към определеното с правилото ограничение и случаите на отклонение от целта/ограничението.</w:t>
      </w:r>
    </w:p>
    <w:p w14:paraId="6BCF8D15" w14:textId="77777777" w:rsidR="003E05B8" w:rsidRPr="00682446" w:rsidRDefault="003E05B8" w:rsidP="003E05B8">
      <w:pPr>
        <w:rPr>
          <w:rFonts w:eastAsia="Batang" w:cstheme="minorHAnsi"/>
        </w:rPr>
      </w:pPr>
      <w:r w:rsidRPr="00682446">
        <w:rPr>
          <w:rFonts w:eastAsia="Batang" w:cstheme="minorHAnsi"/>
        </w:rPr>
        <w:t>По отношение на обхвата разграничаваме правила за показатели както по националната методология – за бюджетното салдо и разходите по консолидираната фискална програма (на касова основа) и за държавния дълг, така и показатели съгласно европейската методология – за сектор „Държавно управление“ (за някои правила – и за съответните му подсектори) – за средносрочната бюджетна цел за структурния дефицит, за бюджетното салдо</w:t>
      </w:r>
      <w:r>
        <w:rPr>
          <w:rFonts w:eastAsia="Batang" w:cstheme="minorHAnsi"/>
        </w:rPr>
        <w:t>, за растежа на разходите спрямо ръста на потенциалния БВП</w:t>
      </w:r>
      <w:r w:rsidRPr="00682446">
        <w:rPr>
          <w:rFonts w:eastAsia="Batang" w:cstheme="minorHAnsi"/>
        </w:rPr>
        <w:t xml:space="preserve"> и за консолидирания дълг за сектор „Държавно управление“. </w:t>
      </w:r>
    </w:p>
    <w:p w14:paraId="14644582" w14:textId="77777777" w:rsidR="003E05B8" w:rsidRPr="00682446" w:rsidRDefault="003E05B8" w:rsidP="003E05B8">
      <w:pPr>
        <w:rPr>
          <w:rFonts w:eastAsia="Batang" w:cstheme="minorHAnsi"/>
        </w:rPr>
      </w:pPr>
      <w:r w:rsidRPr="00682446">
        <w:rPr>
          <w:rFonts w:eastAsia="Batang" w:cstheme="minorHAnsi"/>
        </w:rPr>
        <w:t xml:space="preserve">С приемането на Закона за публичните финанси и Закона за Фискален съвет и автоматични корективни механизми и на последващите им изменения и допълнения, свързани с постигане на пълно съответствие с европейското законодателство, България покри изцяло изискванията за засилване и укрепване на икономическото управление в ЕС. Правилата отговарят на международно приетите дефиниции и критерии и на изискванията за съгласуване на националното фискално планиране с превантивната и корективната част на Пакта за стабилност и растеж на ЕС. </w:t>
      </w:r>
    </w:p>
    <w:p w14:paraId="65CB4ED6" w14:textId="77777777" w:rsidR="003E05B8" w:rsidRPr="00682446" w:rsidRDefault="003E05B8" w:rsidP="003E05B8">
      <w:pPr>
        <w:rPr>
          <w:rFonts w:eastAsia="Batang" w:cstheme="minorHAnsi"/>
        </w:rPr>
      </w:pPr>
      <w:r w:rsidRPr="00682446">
        <w:rPr>
          <w:rFonts w:eastAsia="Batang" w:cstheme="minorHAnsi"/>
        </w:rPr>
        <w:t>Концентрирането на фискалните правила и тяхната трайна уредба в рамките на ЗПФ оказва положително влияние не само за подобряване на координацията при изпъ</w:t>
      </w:r>
      <w:r>
        <w:rPr>
          <w:rFonts w:eastAsia="Batang" w:cstheme="minorHAnsi"/>
        </w:rPr>
        <w:t>лнението на различни политики, но</w:t>
      </w:r>
      <w:r w:rsidRPr="00682446">
        <w:rPr>
          <w:rFonts w:eastAsia="Batang" w:cstheme="minorHAnsi"/>
        </w:rPr>
        <w:t xml:space="preserve"> и за по-доброто планиране, разработване и провеждане на фискалната политика, тъй като се гарантира тяхната дългосрочна устойчивост. </w:t>
      </w:r>
    </w:p>
    <w:p w14:paraId="439C53F0" w14:textId="77777777" w:rsidR="003E05B8" w:rsidRPr="00682446" w:rsidRDefault="003E05B8" w:rsidP="003E05B8">
      <w:pPr>
        <w:rPr>
          <w:rFonts w:eastAsia="Batang" w:cstheme="minorHAnsi"/>
        </w:rPr>
      </w:pPr>
      <w:r w:rsidRPr="00682446">
        <w:rPr>
          <w:rFonts w:eastAsia="Batang" w:cstheme="minorHAnsi"/>
        </w:rPr>
        <w:t>Важно условие за доброто функциониране на фискалните правила са органите, които осъществяват контрол за спазването им, както и наличието на корективни механизми в случай на отклонение от поставените цели. Проследяването им се базира на универсални критерии за оценка на фискалната политика.</w:t>
      </w:r>
      <w:r>
        <w:rPr>
          <w:rFonts w:eastAsia="Batang" w:cstheme="minorHAnsi"/>
        </w:rPr>
        <w:t xml:space="preserve"> </w:t>
      </w:r>
      <w:r w:rsidRPr="00682446">
        <w:rPr>
          <w:rFonts w:eastAsia="Batang" w:cstheme="minorHAnsi"/>
        </w:rPr>
        <w:t xml:space="preserve">Фискалните правила като цяло налагат ограничения върху фискалната политика на национално ниво, но някои от тях налагат числови ограничения и върху бюджетни показатели на индивидуални бюджети, като тези на общините. </w:t>
      </w:r>
    </w:p>
    <w:p w14:paraId="5F4D031D" w14:textId="5E299023" w:rsidR="003E05B8" w:rsidRPr="00682446" w:rsidRDefault="003E05B8" w:rsidP="003E05B8">
      <w:pPr>
        <w:rPr>
          <w:rFonts w:eastAsia="Batang" w:cstheme="minorHAnsi"/>
        </w:rPr>
      </w:pPr>
      <w:r w:rsidRPr="00682446">
        <w:rPr>
          <w:rFonts w:eastAsia="Batang" w:cstheme="minorHAnsi"/>
        </w:rPr>
        <w:lastRenderedPageBreak/>
        <w:t>От приемането на ЗПФ през 2013</w:t>
      </w:r>
      <w:r w:rsidR="00DF07FD">
        <w:rPr>
          <w:rFonts w:eastAsia="Batang" w:cstheme="minorHAnsi"/>
        </w:rPr>
        <w:t> г.</w:t>
      </w:r>
      <w:r w:rsidRPr="00682446">
        <w:rPr>
          <w:rFonts w:eastAsia="Batang" w:cstheme="minorHAnsi"/>
        </w:rPr>
        <w:t xml:space="preserve"> до настоящия момент са приети три (през 2016, 2017 и 2020</w:t>
      </w:r>
      <w:r w:rsidR="00DF07FD">
        <w:rPr>
          <w:rFonts w:eastAsia="Batang" w:cstheme="minorHAnsi"/>
        </w:rPr>
        <w:t> г.</w:t>
      </w:r>
      <w:r w:rsidRPr="00682446">
        <w:rPr>
          <w:rFonts w:eastAsia="Batang" w:cstheme="minorHAnsi"/>
        </w:rPr>
        <w:t>) съществени изменения и допълнения на ЗПФ, които са били свързани с прецизиране и доразвиване на уредбата с цел подобряване на процесите по управлението на публичните финанси и постигане на пълно съответствие с изискванията на Директива 2011/85/ЕС на Съвета от 8 ноември 2011 година относно изискванията за бюджетните рамки на държавите членки, създаването на условия за изпълнението на относимите регламенти, приети в края на 2011</w:t>
      </w:r>
      <w:r w:rsidR="00DF07FD">
        <w:rPr>
          <w:rFonts w:eastAsia="Batang" w:cstheme="minorHAnsi"/>
        </w:rPr>
        <w:t> г.</w:t>
      </w:r>
      <w:r w:rsidRPr="00682446">
        <w:rPr>
          <w:rFonts w:eastAsia="Batang" w:cstheme="minorHAnsi"/>
        </w:rPr>
        <w:t>, както и по отношение на фискалните правила и ограничения с оглед осигуряване на адекватен отговор на предизвикателствата на COVID-19 кризата и създалата се извънредна обстановка.</w:t>
      </w:r>
    </w:p>
    <w:p w14:paraId="287D6314" w14:textId="77777777" w:rsidR="003E05B8" w:rsidRPr="00682446" w:rsidRDefault="003E05B8" w:rsidP="003E05B8">
      <w:pPr>
        <w:rPr>
          <w:rFonts w:eastAsia="Batang" w:cstheme="minorHAnsi"/>
        </w:rPr>
      </w:pPr>
      <w:r w:rsidRPr="00682446">
        <w:rPr>
          <w:rFonts w:eastAsia="Batang" w:cstheme="minorHAnsi"/>
        </w:rPr>
        <w:t xml:space="preserve">Спазването на фискалните правила и бюджетна дисциплина са отговорности на различни власти. Правителството отговаря за спазването на фискалните правила на национално ниво (за КФП и за сектор „Държавно управление“) при ограничени възможности за въздействие върху подсекторите (местни власти, социалноосигурителни фондове и автономни бюджети), като при налични отклонения може да компенсира само в обхвата на централното правителство. Възможни са отклонения от заложените ограничения, когато са в резултат на възникнали наложителни мерки с еднократен характер и същите не водят до трайни негативни тенденции за развитие на фискалната политика в средносрочен план. </w:t>
      </w:r>
    </w:p>
    <w:p w14:paraId="6D4EAD30" w14:textId="77777777" w:rsidR="003E05B8" w:rsidRPr="00682446" w:rsidRDefault="003E05B8" w:rsidP="003E05B8">
      <w:pPr>
        <w:rPr>
          <w:rFonts w:eastAsia="Batang" w:cstheme="minorHAnsi"/>
        </w:rPr>
      </w:pPr>
      <w:r w:rsidRPr="00682446">
        <w:rPr>
          <w:rFonts w:eastAsia="Batang" w:cstheme="minorHAnsi"/>
        </w:rPr>
        <w:t>На ниво отделни бюджети законовите ангажименти на първостепенните разпоредители с бюджет изискват в рамките на управленската</w:t>
      </w:r>
      <w:r w:rsidRPr="00A2205A">
        <w:rPr>
          <w:rFonts w:eastAsia="Batang" w:cstheme="minorHAnsi"/>
        </w:rPr>
        <w:t xml:space="preserve"> </w:t>
      </w:r>
      <w:r>
        <w:rPr>
          <w:rFonts w:eastAsia="Batang" w:cstheme="minorHAnsi"/>
        </w:rPr>
        <w:t>им</w:t>
      </w:r>
      <w:r w:rsidRPr="00682446">
        <w:rPr>
          <w:rFonts w:eastAsia="Batang" w:cstheme="minorHAnsi"/>
        </w:rPr>
        <w:t xml:space="preserve"> отговорност да се спазва бюджетна дисциплина, в т.ч. и приложимите за тях правила. Това важи и за самостоятелните бюджети, които не са част от държавния бюджет, тъй като те влияят върху параметрите на бюджетната рамка на национално ниво.</w:t>
      </w:r>
    </w:p>
    <w:p w14:paraId="7E56E9BE" w14:textId="77777777" w:rsidR="003E05B8" w:rsidRPr="00682446" w:rsidRDefault="003E05B8" w:rsidP="003E05B8">
      <w:pPr>
        <w:rPr>
          <w:rFonts w:eastAsia="Batang" w:cstheme="minorHAnsi"/>
        </w:rPr>
      </w:pPr>
      <w:r w:rsidRPr="00682446">
        <w:rPr>
          <w:rFonts w:eastAsia="Batang" w:cstheme="minorHAnsi"/>
        </w:rPr>
        <w:t xml:space="preserve">Освен основните принципи, правила и процедури, относими за всички разпоредители с бюджет, натрупаните бюджетни дисбаланси на местните власти и невъзможността да се спазват правилата за общините са причина за законово уреждане на процедури за идентифициране на общини с финансови затруднения и създаване на механизми за финансово оздравяване. </w:t>
      </w:r>
    </w:p>
    <w:p w14:paraId="67522006" w14:textId="77777777" w:rsidR="003E05B8" w:rsidRPr="00682446" w:rsidRDefault="003E05B8" w:rsidP="003E05B8">
      <w:pPr>
        <w:rPr>
          <w:rFonts w:eastAsia="Batang" w:cstheme="minorHAnsi"/>
        </w:rPr>
      </w:pPr>
      <w:r w:rsidRPr="00682446">
        <w:rPr>
          <w:rFonts w:eastAsia="Batang" w:cstheme="minorHAnsi"/>
        </w:rPr>
        <w:t>За периода на прилагане на промените в ЗПФ, по отношение на създадения механизъм за финансово оздравяване на общините, броят на общините, дефинирани като общини с финансови затруднения, намалява.</w:t>
      </w:r>
    </w:p>
    <w:p w14:paraId="54A365B6" w14:textId="6D7976CB" w:rsidR="003E05B8" w:rsidRPr="00682446" w:rsidRDefault="003E05B8" w:rsidP="003E05B8">
      <w:pPr>
        <w:rPr>
          <w:rFonts w:eastAsia="Batang" w:cstheme="minorHAnsi"/>
        </w:rPr>
      </w:pPr>
      <w:r w:rsidRPr="00682446">
        <w:rPr>
          <w:rFonts w:eastAsia="Batang" w:cstheme="minorHAnsi"/>
        </w:rPr>
        <w:t>През 2022</w:t>
      </w:r>
      <w:r w:rsidR="00DF07FD">
        <w:rPr>
          <w:rFonts w:eastAsia="Batang" w:cstheme="minorHAnsi"/>
        </w:rPr>
        <w:t> г.</w:t>
      </w:r>
      <w:r w:rsidRPr="00682446">
        <w:rPr>
          <w:rFonts w:eastAsia="Batang" w:cstheme="minorHAnsi"/>
        </w:rPr>
        <w:t xml:space="preserve"> за общините Симитли и Белово, при които срокът на процедурата за финансово оздравяване изтича през 2019</w:t>
      </w:r>
      <w:r w:rsidR="00DF07FD">
        <w:rPr>
          <w:rFonts w:eastAsia="Batang" w:cstheme="minorHAnsi"/>
        </w:rPr>
        <w:t> г.</w:t>
      </w:r>
      <w:r w:rsidRPr="00682446">
        <w:rPr>
          <w:rFonts w:eastAsia="Batang" w:cstheme="minorHAnsi"/>
        </w:rPr>
        <w:t>, с цел изпълнение на ангажиментите им за възстановяване на безлихвените заеми, отпуснати по реда на чл. 130ж, ал. 1 от ЗПФ, продължава въведената практика за съгласуване от министъра на финансите на проектобюджетите им. Тези общини и през 2022</w:t>
      </w:r>
      <w:r w:rsidR="00DF07FD">
        <w:rPr>
          <w:rFonts w:eastAsia="Batang" w:cstheme="minorHAnsi"/>
        </w:rPr>
        <w:t> г.</w:t>
      </w:r>
      <w:r w:rsidRPr="00682446">
        <w:rPr>
          <w:rFonts w:eastAsia="Batang" w:cstheme="minorHAnsi"/>
        </w:rPr>
        <w:t xml:space="preserve"> са определени като общини с финансови затруднения, като за тях е задължително при изготвяне на новите им планове за финансово оздравяване да бъдат включени мерки за оптимизиране на разходите в дейност „Общински съвети“ и плановете да не включват ползването на безлихвен заем за финансово оздравяване. </w:t>
      </w:r>
    </w:p>
    <w:p w14:paraId="1B81E7A9" w14:textId="11A8F6D4" w:rsidR="003E05B8" w:rsidRPr="00682446" w:rsidRDefault="003E05B8" w:rsidP="003E05B8">
      <w:pPr>
        <w:rPr>
          <w:rFonts w:eastAsia="Batang" w:cstheme="minorHAnsi"/>
        </w:rPr>
      </w:pPr>
      <w:r w:rsidRPr="00682446">
        <w:rPr>
          <w:rFonts w:eastAsia="Batang" w:cstheme="minorHAnsi"/>
        </w:rPr>
        <w:t>През 2022</w:t>
      </w:r>
      <w:r w:rsidR="00DF07FD">
        <w:rPr>
          <w:rFonts w:eastAsia="Batang" w:cstheme="minorHAnsi"/>
        </w:rPr>
        <w:t> г.</w:t>
      </w:r>
      <w:r w:rsidRPr="00682446">
        <w:rPr>
          <w:rFonts w:eastAsia="Batang" w:cstheme="minorHAnsi"/>
        </w:rPr>
        <w:t xml:space="preserve"> се запаз</w:t>
      </w:r>
      <w:r>
        <w:rPr>
          <w:rFonts w:eastAsia="Batang" w:cstheme="minorHAnsi"/>
        </w:rPr>
        <w:t>ва</w:t>
      </w:r>
      <w:r w:rsidRPr="00682446">
        <w:rPr>
          <w:rFonts w:eastAsia="Batang" w:cstheme="minorHAnsi"/>
        </w:rPr>
        <w:t xml:space="preserve"> ред</w:t>
      </w:r>
      <w:r>
        <w:rPr>
          <w:rFonts w:eastAsia="Batang" w:cstheme="minorHAnsi"/>
        </w:rPr>
        <w:t>ът</w:t>
      </w:r>
      <w:r w:rsidRPr="00682446">
        <w:rPr>
          <w:rFonts w:eastAsia="Batang" w:cstheme="minorHAnsi"/>
        </w:rPr>
        <w:t xml:space="preserve"> за определяне на общини с финансови затруднения при изпълнение на проекти, финансирани със средства от Европейския съюз, като и за тези общини е предвидено въвеждането на процедура за оздравяване и реализирането на план за финансово оздравяване.</w:t>
      </w:r>
    </w:p>
    <w:p w14:paraId="61A1117D" w14:textId="77777777" w:rsidR="003E05B8" w:rsidRPr="00682446" w:rsidRDefault="003E05B8" w:rsidP="003E05B8">
      <w:pPr>
        <w:rPr>
          <w:rFonts w:eastAsia="Batang" w:cstheme="minorHAnsi"/>
        </w:rPr>
      </w:pPr>
      <w:r w:rsidRPr="00682446">
        <w:rPr>
          <w:rFonts w:eastAsia="Batang" w:cstheme="minorHAnsi"/>
        </w:rPr>
        <w:t>Наличието на национални фискални правила и едновременното им спазване с правилата и ограниченията, наложени от европейското законодателство, може да бъде както предимство, така и предизвикателство.</w:t>
      </w:r>
    </w:p>
    <w:p w14:paraId="7B28D31B" w14:textId="77777777" w:rsidR="003E05B8" w:rsidRPr="00682446" w:rsidRDefault="003E05B8" w:rsidP="003E05B8">
      <w:pPr>
        <w:rPr>
          <w:rFonts w:eastAsia="Batang" w:cstheme="minorHAnsi"/>
        </w:rPr>
      </w:pPr>
      <w:r w:rsidRPr="00682446">
        <w:rPr>
          <w:rFonts w:eastAsia="Batang" w:cstheme="minorHAnsi"/>
        </w:rPr>
        <w:lastRenderedPageBreak/>
        <w:t xml:space="preserve">Разразилата се в световен мащаб пандемия от COVID-19 и последвалата я глобална икономическа стагнация, довела до свиване на икономическата активност и заетостта, и отразила се крайно неблагоприятно върху редица сектори от икономиката, поставиха на тежко изпитание фискалните рамки на огромен брой държави, в т.ч. и на България. Спазването на фискалните правила се превърна в огромно предизвикателство за почти всяка държава от Европейския съюз, като прогнозите </w:t>
      </w:r>
      <w:r>
        <w:rPr>
          <w:rFonts w:eastAsia="Batang" w:cstheme="minorHAnsi"/>
        </w:rPr>
        <w:t xml:space="preserve">бяха </w:t>
      </w:r>
      <w:r w:rsidRPr="00682446">
        <w:rPr>
          <w:rFonts w:eastAsia="Batang" w:cstheme="minorHAnsi"/>
        </w:rPr>
        <w:t xml:space="preserve">за значително влошаване както на бюджетните дефицити, така и на нивото на държавния дълг. По тази причина в рамките на Европейския съюз беше активирана клаузата за дерогация, която позволява по време на извънредни обстоятелства за известен период от време разходите, пряко свързани с последиците от преодоляването на пандемията, да бъдат изключени от обхвата при </w:t>
      </w:r>
      <w:r>
        <w:rPr>
          <w:rFonts w:eastAsia="Batang" w:cstheme="minorHAnsi"/>
        </w:rPr>
        <w:t>оценяване спазването на съответните фискални правила и ограничения</w:t>
      </w:r>
      <w:r w:rsidRPr="00682446">
        <w:rPr>
          <w:rFonts w:eastAsia="Batang" w:cstheme="minorHAnsi"/>
        </w:rPr>
        <w:t xml:space="preserve">. Това доведе до необходимост от съответстващо преразглеждане на националните цифрови фискални правила и тяхната гъвкавост на фона на глобалните предизвикателства пред икономиката и бюджета. </w:t>
      </w:r>
    </w:p>
    <w:p w14:paraId="6837A5D2" w14:textId="77777777" w:rsidR="003E05B8" w:rsidRPr="00682446" w:rsidRDefault="003E05B8" w:rsidP="003E05B8">
      <w:pPr>
        <w:rPr>
          <w:rFonts w:eastAsia="Batang" w:cstheme="minorHAnsi"/>
        </w:rPr>
      </w:pPr>
      <w:r w:rsidRPr="00682446">
        <w:rPr>
          <w:rFonts w:eastAsia="Batang" w:cstheme="minorHAnsi"/>
        </w:rPr>
        <w:t>В отговор на глобалните предизвикателства, свързани с овладяване и преодоляване на последствията от възникналата пандемия от COVID-19 се мобилизира</w:t>
      </w:r>
      <w:r>
        <w:rPr>
          <w:rFonts w:eastAsia="Batang" w:cstheme="minorHAnsi"/>
        </w:rPr>
        <w:t>ха</w:t>
      </w:r>
      <w:r w:rsidRPr="00682446">
        <w:rPr>
          <w:rFonts w:eastAsia="Batang" w:cstheme="minorHAnsi"/>
        </w:rPr>
        <w:t xml:space="preserve"> както национални, така и европейски ресурси и безпроблемното реализиране на тези проактивни антициклични мерки не следва да бъде възпрепятствано, за което </w:t>
      </w:r>
      <w:r>
        <w:rPr>
          <w:rFonts w:eastAsia="Batang" w:cstheme="minorHAnsi"/>
        </w:rPr>
        <w:t>беше</w:t>
      </w:r>
      <w:r w:rsidRPr="00682446">
        <w:rPr>
          <w:rFonts w:eastAsia="Batang" w:cstheme="minorHAnsi"/>
        </w:rPr>
        <w:t xml:space="preserve"> предвидено в националното законодателство да бъде заложена възможност на временно/еднократно отклонение от ограниченията в условията на извънредни обстоятелства.</w:t>
      </w:r>
    </w:p>
    <w:p w14:paraId="2BC7CEDA" w14:textId="388C9AE3" w:rsidR="00597F1E" w:rsidRDefault="003E05B8" w:rsidP="003E05B8">
      <w:pPr>
        <w:rPr>
          <w:rFonts w:eastAsia="Batang"/>
          <w:szCs w:val="24"/>
        </w:rPr>
      </w:pPr>
      <w:r w:rsidRPr="00682446">
        <w:rPr>
          <w:rFonts w:eastAsia="Batang" w:cstheme="minorHAnsi"/>
        </w:rPr>
        <w:t>Това беше и основна причина за приемането в края на 2020</w:t>
      </w:r>
      <w:r w:rsidR="00DF07FD">
        <w:rPr>
          <w:rFonts w:eastAsia="Batang" w:cstheme="minorHAnsi"/>
        </w:rPr>
        <w:t> г.</w:t>
      </w:r>
      <w:r w:rsidRPr="00682446">
        <w:rPr>
          <w:rFonts w:eastAsia="Batang" w:cstheme="minorHAnsi"/>
        </w:rPr>
        <w:t xml:space="preserve"> на ЗИД на Закона за публичните финанси. С приемането му се създаде по-голяма гъвкавост по отношение на националните фискални правила при наличието на извънредни обстоятелства чрез въвеждането на норми за временно отклонение от ограниченията в съответствие с изискванията на динамичната и бързо променящата се действителност и премахване на предпоставките за проциклично въздействие; ясно дефиниране на ограниченията и допустимите отклонения; осигуряване изпълнението на мерки за ограничаване и преодоляване на последиците от възникнали извънредни ситуации и безпрепятствено усвояване на средства от европейските фондове и програми, в т.ч. и реализирането на съответни планове за възстановяване.</w:t>
      </w:r>
      <w:r>
        <w:rPr>
          <w:rFonts w:eastAsia="Batang" w:cstheme="minorHAnsi"/>
        </w:rPr>
        <w:t xml:space="preserve"> </w:t>
      </w:r>
      <w:r w:rsidRPr="00682446">
        <w:rPr>
          <w:rFonts w:eastAsia="Batang" w:cstheme="minorHAnsi"/>
        </w:rPr>
        <w:t xml:space="preserve">С приемане на </w:t>
      </w:r>
      <w:r>
        <w:rPr>
          <w:rFonts w:eastAsia="Batang" w:cstheme="minorHAnsi"/>
        </w:rPr>
        <w:t>тези промени</w:t>
      </w:r>
      <w:r w:rsidRPr="00682446">
        <w:rPr>
          <w:rFonts w:eastAsia="Batang" w:cstheme="minorHAnsi"/>
        </w:rPr>
        <w:t xml:space="preserve"> се осигури възможност ограниченията да са в съответствие с динамичните предизвикателства при спазване на изискванията на европейското законодателство.</w:t>
      </w:r>
    </w:p>
    <w:p w14:paraId="2B5743F5" w14:textId="77777777" w:rsidR="004D113D" w:rsidRPr="005E6318" w:rsidRDefault="008E682A" w:rsidP="005E6318">
      <w:pPr>
        <w:pStyle w:val="Heading2"/>
      </w:pPr>
      <w:bookmarkStart w:id="142" w:name="_Toc479332459"/>
      <w:bookmarkStart w:id="143" w:name="_Toc352851619"/>
      <w:bookmarkStart w:id="144" w:name="_Toc448227309"/>
      <w:bookmarkStart w:id="145" w:name="_Toc100906088"/>
      <w:r w:rsidRPr="005E6318">
        <w:t>Бюджетни процедури</w:t>
      </w:r>
      <w:bookmarkStart w:id="146" w:name="_Toc352851620"/>
      <w:bookmarkEnd w:id="142"/>
      <w:bookmarkEnd w:id="143"/>
      <w:bookmarkEnd w:id="144"/>
      <w:bookmarkEnd w:id="145"/>
    </w:p>
    <w:p w14:paraId="55A8C339" w14:textId="092FFD43" w:rsidR="003E05B8" w:rsidRPr="00682446" w:rsidRDefault="003E05B8" w:rsidP="003E05B8">
      <w:pPr>
        <w:rPr>
          <w:rFonts w:cstheme="minorHAnsi"/>
          <w:b/>
          <w:bCs/>
        </w:rPr>
      </w:pPr>
      <w:r w:rsidRPr="00682446">
        <w:rPr>
          <w:rFonts w:cstheme="minorHAnsi"/>
          <w:b/>
          <w:bCs/>
        </w:rPr>
        <w:t>Бюджетна процедура за 2023</w:t>
      </w:r>
      <w:r w:rsidR="00DF07FD">
        <w:rPr>
          <w:rFonts w:cstheme="minorHAnsi"/>
          <w:b/>
          <w:bCs/>
        </w:rPr>
        <w:t> г.</w:t>
      </w:r>
    </w:p>
    <w:p w14:paraId="46565206" w14:textId="77777777" w:rsidR="003E05B8" w:rsidRPr="00682446" w:rsidRDefault="003E05B8" w:rsidP="003E05B8">
      <w:pPr>
        <w:rPr>
          <w:rFonts w:eastAsia="Batang" w:cstheme="minorHAnsi"/>
        </w:rPr>
      </w:pPr>
      <w:r w:rsidRPr="00682446">
        <w:rPr>
          <w:rFonts w:eastAsia="Batang" w:cstheme="minorHAnsi"/>
        </w:rPr>
        <w:t>Бюджетирането е постоянен процес, но етапите и стъпките за неговото реализиране търпят своето развитие в зависимост от много фактори – организационни, икономически, политически, законови и други, които предопределят необходимостта от разработването на график, с който да се организира процесът по планирането и съставянето на бюджетните документи.</w:t>
      </w:r>
    </w:p>
    <w:p w14:paraId="789594BB" w14:textId="3BDEFB7C" w:rsidR="003E05B8" w:rsidRPr="00682446" w:rsidRDefault="003E05B8" w:rsidP="003E05B8">
      <w:pPr>
        <w:rPr>
          <w:rFonts w:eastAsia="Batang" w:cstheme="minorHAnsi"/>
        </w:rPr>
      </w:pPr>
      <w:r w:rsidRPr="00682446">
        <w:rPr>
          <w:rFonts w:eastAsia="Batang" w:cstheme="minorHAnsi"/>
        </w:rPr>
        <w:t>В тази връзка следва да се отбележи, че изпълнението на бюджетната процедура за 2022</w:t>
      </w:r>
      <w:r w:rsidR="00DF07FD">
        <w:rPr>
          <w:rFonts w:eastAsia="Batang" w:cstheme="minorHAnsi"/>
        </w:rPr>
        <w:t> г.</w:t>
      </w:r>
      <w:r w:rsidRPr="00682446">
        <w:rPr>
          <w:rFonts w:eastAsia="Batang" w:cstheme="minorHAnsi"/>
        </w:rPr>
        <w:t xml:space="preserve"> беше силно повлияно от политическия цикъл в страната, в т.ч. от неколкократното провеждане през годината на парламентарни избори, и някои ограничения и предизвикателства при реализиране на етапите на процедурата от служебн</w:t>
      </w:r>
      <w:r>
        <w:rPr>
          <w:rFonts w:eastAsia="Batang" w:cstheme="minorHAnsi"/>
        </w:rPr>
        <w:t>и</w:t>
      </w:r>
      <w:r w:rsidRPr="00682446">
        <w:rPr>
          <w:rFonts w:eastAsia="Batang" w:cstheme="minorHAnsi"/>
        </w:rPr>
        <w:t xml:space="preserve"> правителств</w:t>
      </w:r>
      <w:r>
        <w:rPr>
          <w:rFonts w:eastAsia="Batang" w:cstheme="minorHAnsi"/>
        </w:rPr>
        <w:t>а</w:t>
      </w:r>
      <w:r w:rsidRPr="00682446">
        <w:rPr>
          <w:rFonts w:eastAsia="Batang" w:cstheme="minorHAnsi"/>
        </w:rPr>
        <w:t>.</w:t>
      </w:r>
    </w:p>
    <w:p w14:paraId="1D77C0FF" w14:textId="77777777" w:rsidR="003E05B8" w:rsidRPr="00682446" w:rsidRDefault="003E05B8" w:rsidP="003E05B8">
      <w:pPr>
        <w:rPr>
          <w:rFonts w:eastAsia="Batang" w:cstheme="minorHAnsi"/>
        </w:rPr>
      </w:pPr>
      <w:r w:rsidRPr="00682446">
        <w:rPr>
          <w:rFonts w:eastAsia="Batang" w:cstheme="minorHAnsi"/>
        </w:rPr>
        <w:t xml:space="preserve">В Закона за публичните финанси е посочено, че бюджетната процедура включва етапите, сроковете, разпределението на отговорностите и изискванията за съставянето както на средносрочната бюджетна прогноза, така и на проекта на държавния бюджет. Постоянният стремеж за усъвършенстване на качеството на бюджетните документи като израз </w:t>
      </w:r>
      <w:r w:rsidRPr="00682446">
        <w:rPr>
          <w:rFonts w:eastAsia="Batang" w:cstheme="minorHAnsi"/>
        </w:rPr>
        <w:lastRenderedPageBreak/>
        <w:t xml:space="preserve">на доброто управление на публичните финанси предполага бюджетната процедура да отчита както променящите се изисквания към всички отговорни институции, така и изискванията към България като държава членка в рамките на т.нар. Европейски семестър – графикът, чрез който се осъществява съгласуваност на националните икономически и бюджетни политики в рамките на Европейския съюз. </w:t>
      </w:r>
    </w:p>
    <w:p w14:paraId="1633C23E" w14:textId="041F585C" w:rsidR="003E05B8" w:rsidRPr="00682446" w:rsidRDefault="003E05B8" w:rsidP="003E05B8">
      <w:pPr>
        <w:rPr>
          <w:rFonts w:eastAsia="Batang" w:cstheme="minorHAnsi"/>
        </w:rPr>
      </w:pPr>
      <w:r w:rsidRPr="00682446">
        <w:rPr>
          <w:rFonts w:eastAsia="Batang" w:cstheme="minorHAnsi"/>
        </w:rPr>
        <w:t>Бюджетната процедура за 2023</w:t>
      </w:r>
      <w:r w:rsidR="00DF07FD">
        <w:rPr>
          <w:rFonts w:eastAsia="Batang" w:cstheme="minorHAnsi"/>
        </w:rPr>
        <w:t> г.</w:t>
      </w:r>
      <w:r w:rsidRPr="00682446">
        <w:rPr>
          <w:rFonts w:eastAsia="Batang" w:cstheme="minorHAnsi"/>
        </w:rPr>
        <w:t xml:space="preserve"> бе изготвена съгласно правилата на ЗПФ, като при нейната подготовка бяха отразени заложените изисквания за структурата и съдържанието на ключовите бюджетни документи</w:t>
      </w:r>
      <w:r>
        <w:rPr>
          <w:rFonts w:eastAsia="Batang" w:cstheme="minorHAnsi"/>
        </w:rPr>
        <w:t xml:space="preserve"> и</w:t>
      </w:r>
      <w:r w:rsidRPr="00682446">
        <w:rPr>
          <w:rFonts w:eastAsia="Batang" w:cstheme="minorHAnsi"/>
        </w:rPr>
        <w:t xml:space="preserve"> сроковете </w:t>
      </w:r>
      <w:r>
        <w:rPr>
          <w:rFonts w:eastAsia="Batang" w:cstheme="minorHAnsi"/>
        </w:rPr>
        <w:t>за тяхната подготовка</w:t>
      </w:r>
      <w:r w:rsidRPr="00682446">
        <w:rPr>
          <w:rFonts w:eastAsia="Batang" w:cstheme="minorHAnsi"/>
        </w:rPr>
        <w:t>.</w:t>
      </w:r>
    </w:p>
    <w:p w14:paraId="5AAF8290" w14:textId="31168518" w:rsidR="003E05B8" w:rsidRPr="00682446" w:rsidRDefault="003E05B8" w:rsidP="003E05B8">
      <w:pPr>
        <w:rPr>
          <w:rFonts w:eastAsia="Batang" w:cstheme="minorHAnsi"/>
        </w:rPr>
      </w:pPr>
      <w:r w:rsidRPr="00682446">
        <w:rPr>
          <w:rFonts w:eastAsia="Batang" w:cstheme="minorHAnsi"/>
        </w:rPr>
        <w:t>Следва да се има предвид, че с бюджетната процедура за 2023</w:t>
      </w:r>
      <w:r w:rsidR="00DF07FD">
        <w:rPr>
          <w:rFonts w:eastAsia="Batang" w:cstheme="minorHAnsi"/>
        </w:rPr>
        <w:t> г.</w:t>
      </w:r>
      <w:r w:rsidRPr="00682446">
        <w:rPr>
          <w:rFonts w:eastAsia="Batang" w:cstheme="minorHAnsi"/>
        </w:rPr>
        <w:t xml:space="preserve"> се осигурява завръщане към стандартните етапи в процес по подготовка и приемането на бюджета, след като бюджетната процедура за 2022</w:t>
      </w:r>
      <w:r w:rsidR="00DF07FD">
        <w:rPr>
          <w:rFonts w:eastAsia="Batang" w:cstheme="minorHAnsi"/>
        </w:rPr>
        <w:t> г.</w:t>
      </w:r>
      <w:r w:rsidRPr="00682446">
        <w:rPr>
          <w:rFonts w:eastAsia="Batang" w:cstheme="minorHAnsi"/>
        </w:rPr>
        <w:t xml:space="preserve"> беше изпълнявана в условията на продължаваща извънредна епидемична обстановка и политически предизвикателства, което се отрази върху сроковете на изготвяните бюджетни документи на втория етап от бюджетната процедура</w:t>
      </w:r>
      <w:r>
        <w:rPr>
          <w:rFonts w:eastAsia="Batang" w:cstheme="minorHAnsi"/>
        </w:rPr>
        <w:t xml:space="preserve">. След </w:t>
      </w:r>
      <w:r w:rsidRPr="00682446">
        <w:rPr>
          <w:rFonts w:eastAsia="Batang" w:cstheme="minorHAnsi"/>
        </w:rPr>
        <w:t>проведените в края на 2021</w:t>
      </w:r>
      <w:r w:rsidR="00DF07FD">
        <w:rPr>
          <w:rFonts w:eastAsia="Batang" w:cstheme="minorHAnsi"/>
        </w:rPr>
        <w:t> г.</w:t>
      </w:r>
      <w:r w:rsidRPr="00682446">
        <w:rPr>
          <w:rFonts w:eastAsia="Batang" w:cstheme="minorHAnsi"/>
        </w:rPr>
        <w:t xml:space="preserve"> избори и сформирането на ново редовно правителство </w:t>
      </w:r>
      <w:r>
        <w:rPr>
          <w:rFonts w:eastAsia="Batang" w:cstheme="minorHAnsi"/>
        </w:rPr>
        <w:t>бяха предприети стъпки за</w:t>
      </w:r>
      <w:r w:rsidRPr="00682446">
        <w:rPr>
          <w:rFonts w:eastAsia="Batang" w:cstheme="minorHAnsi"/>
        </w:rPr>
        <w:t xml:space="preserve"> изготвянето на окончателен законопроект за държавния бюджет на Република България за 2022</w:t>
      </w:r>
      <w:r w:rsidR="00DF07FD">
        <w:rPr>
          <w:rFonts w:eastAsia="Batang" w:cstheme="minorHAnsi"/>
        </w:rPr>
        <w:t> г.</w:t>
      </w:r>
      <w:r>
        <w:rPr>
          <w:rFonts w:eastAsia="Batang" w:cstheme="minorHAnsi"/>
        </w:rPr>
        <w:t>,</w:t>
      </w:r>
      <w:r w:rsidRPr="00682446">
        <w:rPr>
          <w:rFonts w:eastAsia="Batang" w:cstheme="minorHAnsi"/>
        </w:rPr>
        <w:t xml:space="preserve"> </w:t>
      </w:r>
      <w:r>
        <w:rPr>
          <w:rFonts w:eastAsia="Batang" w:cstheme="minorHAnsi"/>
        </w:rPr>
        <w:t>което наложи</w:t>
      </w:r>
      <w:r w:rsidRPr="00682446">
        <w:rPr>
          <w:rFonts w:eastAsia="Batang" w:cstheme="minorHAnsi"/>
        </w:rPr>
        <w:t xml:space="preserve"> прилагане на разпоредбите на ЗПФ при неприет бюджет, </w:t>
      </w:r>
      <w:r>
        <w:rPr>
          <w:rFonts w:eastAsia="Batang" w:cstheme="minorHAnsi"/>
        </w:rPr>
        <w:t>съответно</w:t>
      </w:r>
      <w:r w:rsidRPr="00682446">
        <w:rPr>
          <w:rFonts w:eastAsia="Batang" w:cstheme="minorHAnsi"/>
        </w:rPr>
        <w:t xml:space="preserve"> в допълнение беше и изготвен и законопроект за удължаване до 31 март 2022</w:t>
      </w:r>
      <w:r w:rsidR="00DF07FD">
        <w:rPr>
          <w:rFonts w:eastAsia="Batang" w:cstheme="minorHAnsi"/>
        </w:rPr>
        <w:t> г.</w:t>
      </w:r>
      <w:r w:rsidRPr="00682446">
        <w:rPr>
          <w:rFonts w:eastAsia="Batang" w:cstheme="minorHAnsi"/>
        </w:rPr>
        <w:t xml:space="preserve"> срока на действие на определени бюджетни разпоредби </w:t>
      </w:r>
      <w:r>
        <w:rPr>
          <w:rFonts w:eastAsia="Batang" w:cstheme="minorHAnsi"/>
        </w:rPr>
        <w:t>от Бюджет 2021</w:t>
      </w:r>
      <w:r w:rsidR="00A407C5">
        <w:rPr>
          <w:rFonts w:eastAsia="Batang" w:cstheme="minorHAnsi"/>
        </w:rPr>
        <w:t xml:space="preserve"> (приетият закон е обнародван в ДВ, бр. </w:t>
      </w:r>
      <w:r w:rsidR="00A407C5" w:rsidRPr="000639F1">
        <w:rPr>
          <w:rFonts w:eastAsia="Batang" w:cstheme="minorHAnsi"/>
        </w:rPr>
        <w:t xml:space="preserve">8 </w:t>
      </w:r>
      <w:r w:rsidR="00A407C5">
        <w:rPr>
          <w:rFonts w:eastAsia="Batang" w:cstheme="minorHAnsi"/>
        </w:rPr>
        <w:t>от 28.01.2022 г., в сила от 01.01.2022 г.)</w:t>
      </w:r>
      <w:r>
        <w:rPr>
          <w:rFonts w:eastAsia="Batang" w:cstheme="minorHAnsi"/>
        </w:rPr>
        <w:t xml:space="preserve"> с цел</w:t>
      </w:r>
      <w:r w:rsidRPr="00682446">
        <w:rPr>
          <w:rFonts w:eastAsia="Batang" w:cstheme="minorHAnsi"/>
        </w:rPr>
        <w:t xml:space="preserve"> осигуряване на финансирането и извършването на социални помощи и други плащания, размерите на които се определят с годишните бюджетни закони, с което се постигна правна сигурност и гарантиране правата и законните интереси на гражданите за прилагане на специалните закони, уреждащи специфични обществени отношения до приемането на редовните бюджетни закони за 2022</w:t>
      </w:r>
      <w:r w:rsidR="00DF07FD">
        <w:rPr>
          <w:rFonts w:eastAsia="Batang" w:cstheme="minorHAnsi"/>
        </w:rPr>
        <w:t> г.</w:t>
      </w:r>
    </w:p>
    <w:p w14:paraId="1A30B771" w14:textId="5F5021BB" w:rsidR="003E05B8" w:rsidRPr="00682446" w:rsidRDefault="003E05B8" w:rsidP="003E05B8">
      <w:pPr>
        <w:rPr>
          <w:rFonts w:eastAsia="Batang" w:cstheme="minorHAnsi"/>
        </w:rPr>
      </w:pPr>
      <w:r w:rsidRPr="00682446">
        <w:rPr>
          <w:rFonts w:eastAsia="Batang" w:cstheme="minorHAnsi"/>
        </w:rPr>
        <w:t>Законът за държавния бюджет на Република България беше приет на 25 февруари 2022</w:t>
      </w:r>
      <w:r w:rsidR="00DF07FD">
        <w:rPr>
          <w:rFonts w:eastAsia="Batang" w:cstheme="minorHAnsi"/>
        </w:rPr>
        <w:t> г.</w:t>
      </w:r>
      <w:r w:rsidRPr="00682446">
        <w:rPr>
          <w:rFonts w:eastAsia="Batang" w:cstheme="minorHAnsi"/>
        </w:rPr>
        <w:t xml:space="preserve"> и обнародван в ДВ, бр. 18 от 4 март 2022</w:t>
      </w:r>
      <w:r w:rsidR="00DF07FD">
        <w:rPr>
          <w:rFonts w:eastAsia="Batang" w:cstheme="minorHAnsi"/>
        </w:rPr>
        <w:t> г.</w:t>
      </w:r>
      <w:r>
        <w:rPr>
          <w:rFonts w:eastAsia="Batang" w:cstheme="minorHAnsi"/>
        </w:rPr>
        <w:t>, а</w:t>
      </w:r>
      <w:r w:rsidRPr="00682446">
        <w:rPr>
          <w:rFonts w:eastAsia="Batang" w:cstheme="minorHAnsi"/>
        </w:rPr>
        <w:t xml:space="preserve"> </w:t>
      </w:r>
      <w:r>
        <w:rPr>
          <w:rFonts w:eastAsia="Batang" w:cstheme="minorHAnsi"/>
        </w:rPr>
        <w:t>с</w:t>
      </w:r>
      <w:r w:rsidRPr="00682446">
        <w:rPr>
          <w:rFonts w:eastAsia="Batang" w:cstheme="minorHAnsi"/>
        </w:rPr>
        <w:t xml:space="preserve"> Решение № 141 на Министерския съвет от 10 март 2022</w:t>
      </w:r>
      <w:r w:rsidR="00DF07FD">
        <w:rPr>
          <w:rFonts w:eastAsia="Batang" w:cstheme="minorHAnsi"/>
        </w:rPr>
        <w:t> г.</w:t>
      </w:r>
      <w:r w:rsidRPr="00682446">
        <w:rPr>
          <w:rFonts w:eastAsia="Batang" w:cstheme="minorHAnsi"/>
        </w:rPr>
        <w:t xml:space="preserve"> бяха одобрени промени в Актуализираната средносрочна бюджетна прогноза за периода 2022</w:t>
      </w:r>
      <w:r w:rsidR="00EC2B93">
        <w:rPr>
          <w:rFonts w:cstheme="minorHAnsi"/>
          <w:lang w:val="en-US"/>
        </w:rPr>
        <w:t>–</w:t>
      </w:r>
      <w:r w:rsidRPr="00682446">
        <w:rPr>
          <w:rFonts w:eastAsia="Batang" w:cstheme="minorHAnsi"/>
        </w:rPr>
        <w:t>2024</w:t>
      </w:r>
      <w:r w:rsidR="00DF07FD">
        <w:rPr>
          <w:rFonts w:eastAsia="Batang" w:cstheme="minorHAnsi"/>
        </w:rPr>
        <w:t> г.</w:t>
      </w:r>
      <w:r>
        <w:rPr>
          <w:rFonts w:eastAsia="Batang" w:cstheme="minorHAnsi"/>
        </w:rPr>
        <w:t>, като п</w:t>
      </w:r>
      <w:r w:rsidRPr="00682446">
        <w:rPr>
          <w:rFonts w:eastAsia="Batang" w:cstheme="minorHAnsi"/>
        </w:rPr>
        <w:t>о този начин се даде възможност за реалната реализация на първия етап от бюджетната процедура за 2023</w:t>
      </w:r>
      <w:r w:rsidR="00DF07FD">
        <w:rPr>
          <w:rFonts w:eastAsia="Batang" w:cstheme="minorHAnsi"/>
        </w:rPr>
        <w:t> г.</w:t>
      </w:r>
    </w:p>
    <w:p w14:paraId="59FA1775" w14:textId="5B1A02C3" w:rsidR="003E05B8" w:rsidRPr="00682446" w:rsidRDefault="003E05B8" w:rsidP="003E05B8">
      <w:pPr>
        <w:rPr>
          <w:rFonts w:eastAsia="Batang" w:cstheme="minorHAnsi"/>
        </w:rPr>
      </w:pPr>
      <w:r w:rsidRPr="00682446">
        <w:rPr>
          <w:rFonts w:eastAsia="Batang" w:cstheme="minorHAnsi"/>
        </w:rPr>
        <w:t>Процедурата за 2023</w:t>
      </w:r>
      <w:r w:rsidR="00DF07FD">
        <w:rPr>
          <w:rFonts w:eastAsia="Batang" w:cstheme="minorHAnsi"/>
        </w:rPr>
        <w:t> г.</w:t>
      </w:r>
      <w:r w:rsidRPr="00682446">
        <w:rPr>
          <w:rFonts w:eastAsia="Batang" w:cstheme="minorHAnsi"/>
        </w:rPr>
        <w:t xml:space="preserve"> бе одобрена с Решение № 38 на Министерския съвет от 27 януари 2022</w:t>
      </w:r>
      <w:r w:rsidR="00DF07FD">
        <w:rPr>
          <w:rFonts w:eastAsia="Batang" w:cstheme="minorHAnsi"/>
        </w:rPr>
        <w:t> г.</w:t>
      </w:r>
      <w:r w:rsidRPr="00682446">
        <w:rPr>
          <w:rFonts w:eastAsia="Batang" w:cstheme="minorHAnsi"/>
        </w:rPr>
        <w:t xml:space="preserve"> С нея Министерският съвет отново определи, освен ПРБ по бюджетите на Министерския съвет, на министерствата и на държавните агенции, и останалите ПРБ, чиито бюджети се включват в държавния бюджет, с изключение на бюджетите на Народното събрание и на съдебната власт, да прилагат програмен фо</w:t>
      </w:r>
      <w:r>
        <w:rPr>
          <w:rFonts w:eastAsia="Batang" w:cstheme="minorHAnsi"/>
        </w:rPr>
        <w:t xml:space="preserve">рмат на бюджет по утвърдени </w:t>
      </w:r>
      <w:r w:rsidRPr="00682446">
        <w:rPr>
          <w:rFonts w:eastAsia="Batang" w:cstheme="minorHAnsi"/>
        </w:rPr>
        <w:t>области на политики/функционални области и бюджетни програми (РМС № 52 от 2022</w:t>
      </w:r>
      <w:r w:rsidR="00DF07FD">
        <w:rPr>
          <w:rFonts w:eastAsia="Batang" w:cstheme="minorHAnsi"/>
        </w:rPr>
        <w:t> г.</w:t>
      </w:r>
      <w:r w:rsidR="00A407C5">
        <w:rPr>
          <w:rFonts w:eastAsia="Batang" w:cstheme="minorHAnsi"/>
        </w:rPr>
        <w:t>)</w:t>
      </w:r>
      <w:r w:rsidRPr="00682446">
        <w:rPr>
          <w:rFonts w:eastAsia="Batang" w:cstheme="minorHAnsi"/>
        </w:rPr>
        <w:t xml:space="preserve"> като инструмент на правителството за повишаване качеството на управление на публичните финанси, подобряване процесите на планиране и изготвяне на проектобюджетите на бюджетните организации, повишаване на прозрачността и отчетността на бюджетните системи.</w:t>
      </w:r>
    </w:p>
    <w:p w14:paraId="6A62C030" w14:textId="73DAF4AA" w:rsidR="003E05B8" w:rsidRPr="00682446" w:rsidRDefault="003E05B8" w:rsidP="003E05B8">
      <w:pPr>
        <w:rPr>
          <w:rFonts w:eastAsia="Batang" w:cstheme="minorHAnsi"/>
        </w:rPr>
      </w:pPr>
      <w:r w:rsidRPr="00682446">
        <w:rPr>
          <w:rFonts w:eastAsia="Batang" w:cstheme="minorHAnsi"/>
        </w:rPr>
        <w:t>При обсъжданията на Бюджет 2022 в Народното събрание законодателят определи изискване ПРБ, които прилагат програмен формат на бюджет, да представят в Народното събрание отчет за изпълнението на програмните си бюджети за всяко тримесечие за 2022</w:t>
      </w:r>
      <w:r w:rsidR="00DF07FD">
        <w:rPr>
          <w:rFonts w:eastAsia="Batang" w:cstheme="minorHAnsi"/>
        </w:rPr>
        <w:t> г.</w:t>
      </w:r>
      <w:r w:rsidRPr="00682446">
        <w:rPr>
          <w:rFonts w:eastAsia="Batang" w:cstheme="minorHAnsi"/>
        </w:rPr>
        <w:t xml:space="preserve"> в срок до 45 дни от края на съответния отчетен период с цел периодично наблюдение на изпълнението и постигнатите резултати (чл. 109 от ЗДБРБ за 2022</w:t>
      </w:r>
      <w:r w:rsidR="00DF07FD">
        <w:rPr>
          <w:rFonts w:eastAsia="Batang" w:cstheme="minorHAnsi"/>
        </w:rPr>
        <w:t> г.</w:t>
      </w:r>
      <w:r w:rsidRPr="00682446">
        <w:rPr>
          <w:rFonts w:eastAsia="Batang" w:cstheme="minorHAnsi"/>
        </w:rPr>
        <w:t xml:space="preserve">). По този начин ще се повиши информираността на </w:t>
      </w:r>
      <w:r>
        <w:rPr>
          <w:rFonts w:eastAsia="Batang" w:cstheme="minorHAnsi"/>
        </w:rPr>
        <w:t>парламента</w:t>
      </w:r>
      <w:r w:rsidRPr="00682446">
        <w:rPr>
          <w:rFonts w:eastAsia="Batang" w:cstheme="minorHAnsi"/>
        </w:rPr>
        <w:t xml:space="preserve"> и ще се засил</w:t>
      </w:r>
      <w:r w:rsidR="00A407C5">
        <w:rPr>
          <w:rFonts w:eastAsia="Batang" w:cstheme="minorHAnsi"/>
        </w:rPr>
        <w:t>ят</w:t>
      </w:r>
      <w:r w:rsidRPr="00682446">
        <w:rPr>
          <w:rFonts w:eastAsia="Batang" w:cstheme="minorHAnsi"/>
        </w:rPr>
        <w:t xml:space="preserve"> контролът и отчетността в рамките на изпълнението на бюджета чрез периодично проследяване и оценка на провежданите правителствени политики и подобряване на фискалното управление в страната.</w:t>
      </w:r>
    </w:p>
    <w:p w14:paraId="6973E5B9" w14:textId="0AB7594D" w:rsidR="003E05B8" w:rsidRPr="00682446" w:rsidRDefault="003E05B8" w:rsidP="003E05B8">
      <w:pPr>
        <w:rPr>
          <w:rFonts w:eastAsia="Batang" w:cstheme="minorHAnsi"/>
        </w:rPr>
      </w:pPr>
      <w:r w:rsidRPr="00682446">
        <w:rPr>
          <w:rFonts w:eastAsia="Batang" w:cstheme="minorHAnsi"/>
        </w:rPr>
        <w:lastRenderedPageBreak/>
        <w:t>В рамките на бюджетната процедура за 2023</w:t>
      </w:r>
      <w:r w:rsidR="00DF07FD">
        <w:rPr>
          <w:rFonts w:eastAsia="Batang" w:cstheme="minorHAnsi"/>
        </w:rPr>
        <w:t> г.</w:t>
      </w:r>
      <w:r w:rsidRPr="00682446">
        <w:rPr>
          <w:rFonts w:eastAsia="Batang" w:cstheme="minorHAnsi"/>
        </w:rPr>
        <w:t xml:space="preserve"> и в съответствие със Закона за публичните финанси се изготвя</w:t>
      </w:r>
      <w:r>
        <w:rPr>
          <w:rFonts w:eastAsia="Batang" w:cstheme="minorHAnsi"/>
        </w:rPr>
        <w:t>т</w:t>
      </w:r>
      <w:r w:rsidRPr="00682446">
        <w:rPr>
          <w:rFonts w:eastAsia="Batang" w:cstheme="minorHAnsi"/>
        </w:rPr>
        <w:t xml:space="preserve"> пролетна и есенна макроикономическа прогноза и се приемат стандарти за финансиране на делегираните от държавата дейности чрез общинските бюджети. В хода на бюджетната процедура са интегрирани и процедури за одобряване от Министерския съвет на проектите, които ще се финансират с държавни и/или държавногарантирани заеми през 2023</w:t>
      </w:r>
      <w:r w:rsidR="00DF07FD">
        <w:rPr>
          <w:rFonts w:eastAsia="Batang" w:cstheme="minorHAnsi"/>
        </w:rPr>
        <w:t> г.</w:t>
      </w:r>
    </w:p>
    <w:p w14:paraId="1E40E6D1" w14:textId="37932F3F" w:rsidR="003E05B8" w:rsidRPr="00682446" w:rsidRDefault="003E05B8" w:rsidP="003E05B8">
      <w:pPr>
        <w:rPr>
          <w:rFonts w:eastAsia="Batang" w:cstheme="minorHAnsi"/>
        </w:rPr>
      </w:pPr>
      <w:r w:rsidRPr="00682446">
        <w:rPr>
          <w:rFonts w:eastAsia="Batang" w:cstheme="minorHAnsi"/>
        </w:rPr>
        <w:t>Процедурата за 2023</w:t>
      </w:r>
      <w:r w:rsidR="00DF07FD">
        <w:rPr>
          <w:rFonts w:eastAsia="Batang" w:cstheme="minorHAnsi"/>
        </w:rPr>
        <w:t> г.</w:t>
      </w:r>
      <w:r w:rsidRPr="00682446">
        <w:rPr>
          <w:rFonts w:eastAsia="Batang" w:cstheme="minorHAnsi"/>
        </w:rPr>
        <w:t xml:space="preserve"> е разделена на два основни етапа. </w:t>
      </w:r>
    </w:p>
    <w:p w14:paraId="3AE39606" w14:textId="22C401FB" w:rsidR="003E05B8" w:rsidRPr="00682446" w:rsidRDefault="003E05B8" w:rsidP="003E05B8">
      <w:pPr>
        <w:rPr>
          <w:rFonts w:eastAsia="Batang" w:cstheme="minorHAnsi"/>
          <w:b/>
        </w:rPr>
      </w:pPr>
      <w:r w:rsidRPr="00682446">
        <w:rPr>
          <w:rFonts w:eastAsia="Batang" w:cstheme="minorHAnsi"/>
          <w:b/>
        </w:rPr>
        <w:t xml:space="preserve">В първия етап </w:t>
      </w:r>
      <w:r w:rsidRPr="00682446">
        <w:rPr>
          <w:rFonts w:eastAsia="Batang" w:cstheme="minorHAnsi"/>
        </w:rPr>
        <w:t>на процедурата през месец април 2022</w:t>
      </w:r>
      <w:r w:rsidR="00DF07FD">
        <w:rPr>
          <w:rFonts w:eastAsia="Batang" w:cstheme="minorHAnsi"/>
        </w:rPr>
        <w:t> г.</w:t>
      </w:r>
      <w:r w:rsidRPr="00682446">
        <w:rPr>
          <w:rFonts w:eastAsia="Batang" w:cstheme="minorHAnsi"/>
        </w:rPr>
        <w:t xml:space="preserve"> Министерският съвет разглежда и одобрява средносрочната бюджетна прогноза за периода 2023-2025</w:t>
      </w:r>
      <w:r w:rsidR="00DF07FD">
        <w:rPr>
          <w:rFonts w:eastAsia="Batang" w:cstheme="minorHAnsi"/>
        </w:rPr>
        <w:t> г.</w:t>
      </w:r>
      <w:r w:rsidRPr="00682446">
        <w:rPr>
          <w:rFonts w:eastAsia="Batang" w:cstheme="minorHAnsi"/>
        </w:rPr>
        <w:t>, ежегодната актуализация на Конвергентната програма и приема стандартите за делегираните от държавата дейности с натурални и стойностни показатели през 2023</w:t>
      </w:r>
      <w:r w:rsidR="00DF07FD">
        <w:rPr>
          <w:rFonts w:eastAsia="Batang" w:cstheme="minorHAnsi"/>
        </w:rPr>
        <w:t> г.</w:t>
      </w:r>
      <w:r w:rsidRPr="00682446">
        <w:rPr>
          <w:rFonts w:eastAsia="Batang" w:cstheme="minorHAnsi"/>
        </w:rPr>
        <w:t>, утвърждава норматив за час програма за подготовка, създаване и разпространение на национални и регионални про</w:t>
      </w:r>
      <w:r>
        <w:rPr>
          <w:rFonts w:eastAsia="Batang" w:cstheme="minorHAnsi"/>
        </w:rPr>
        <w:t>грами на БНР и БНТ през 2023</w:t>
      </w:r>
      <w:r w:rsidR="00DF07FD">
        <w:rPr>
          <w:rFonts w:eastAsia="Batang" w:cstheme="minorHAnsi"/>
        </w:rPr>
        <w:t> г.</w:t>
      </w:r>
      <w:r w:rsidRPr="00682446">
        <w:rPr>
          <w:rFonts w:eastAsia="Batang" w:cstheme="minorHAnsi"/>
        </w:rPr>
        <w:t xml:space="preserve"> Пр</w:t>
      </w:r>
      <w:r>
        <w:rPr>
          <w:rFonts w:eastAsia="Batang" w:cstheme="minorHAnsi"/>
        </w:rPr>
        <w:t xml:space="preserve">едвидено е през </w:t>
      </w:r>
      <w:r w:rsidRPr="00682446">
        <w:rPr>
          <w:rFonts w:eastAsia="Batang" w:cstheme="minorHAnsi"/>
        </w:rPr>
        <w:t>месец юни 2022</w:t>
      </w:r>
      <w:r w:rsidR="00DF07FD">
        <w:rPr>
          <w:rFonts w:eastAsia="Batang" w:cstheme="minorHAnsi"/>
        </w:rPr>
        <w:t> г.</w:t>
      </w:r>
      <w:r w:rsidRPr="00682446">
        <w:rPr>
          <w:rFonts w:eastAsia="Batang" w:cstheme="minorHAnsi"/>
        </w:rPr>
        <w:t xml:space="preserve"> Министерският съвет </w:t>
      </w:r>
      <w:r>
        <w:rPr>
          <w:rFonts w:eastAsia="Batang" w:cstheme="minorHAnsi"/>
        </w:rPr>
        <w:t xml:space="preserve">да </w:t>
      </w:r>
      <w:r w:rsidRPr="00682446">
        <w:rPr>
          <w:rFonts w:eastAsia="Batang" w:cstheme="minorHAnsi"/>
        </w:rPr>
        <w:t>разгледа и одобр</w:t>
      </w:r>
      <w:r>
        <w:rPr>
          <w:rFonts w:eastAsia="Batang" w:cstheme="minorHAnsi"/>
        </w:rPr>
        <w:t>и</w:t>
      </w:r>
      <w:r w:rsidRPr="00682446">
        <w:rPr>
          <w:rFonts w:eastAsia="Batang" w:cstheme="minorHAnsi"/>
        </w:rPr>
        <w:t xml:space="preserve"> изготвения от министъра на образованието и науката проект на решение за одобряване на максималния размер на новите държавни гаранции, които могат да бъдат издадени през 2023</w:t>
      </w:r>
      <w:r w:rsidR="00DF07FD">
        <w:rPr>
          <w:rFonts w:eastAsia="Batang" w:cstheme="minorHAnsi"/>
        </w:rPr>
        <w:t> г.</w:t>
      </w:r>
      <w:r w:rsidRPr="00682446">
        <w:rPr>
          <w:rFonts w:eastAsia="Batang" w:cstheme="minorHAnsi"/>
        </w:rPr>
        <w:t xml:space="preserve"> по Закона за кредитиране на студенти и докторанти, както и изготвения от министъра на финансите проект на решение за одобряване на проектите, които ще се финансират с държавни и/или държавногарантирани заеми през 2023</w:t>
      </w:r>
      <w:r w:rsidR="00DF07FD">
        <w:rPr>
          <w:rFonts w:eastAsia="Batang" w:cstheme="minorHAnsi"/>
        </w:rPr>
        <w:t> г.</w:t>
      </w:r>
      <w:r w:rsidRPr="00682446">
        <w:rPr>
          <w:rFonts w:eastAsia="Batang" w:cstheme="minorHAnsi"/>
        </w:rPr>
        <w:t xml:space="preserve"> Етапът завършва през месец юли с привеждането в съответствие от ПРБ на бюджетните им прогнози за периода 2023</w:t>
      </w:r>
      <w:r w:rsidR="00EC2B93">
        <w:rPr>
          <w:rFonts w:cstheme="minorHAnsi"/>
          <w:lang w:val="en-US"/>
        </w:rPr>
        <w:t>–</w:t>
      </w:r>
      <w:r w:rsidRPr="00682446">
        <w:rPr>
          <w:rFonts w:eastAsia="Batang" w:cstheme="minorHAnsi"/>
        </w:rPr>
        <w:t>2025</w:t>
      </w:r>
      <w:r w:rsidR="00DF07FD">
        <w:rPr>
          <w:rFonts w:eastAsia="Batang" w:cstheme="minorHAnsi"/>
        </w:rPr>
        <w:t> г.</w:t>
      </w:r>
      <w:r w:rsidRPr="00682446">
        <w:rPr>
          <w:rFonts w:eastAsia="Batang" w:cstheme="minorHAnsi"/>
        </w:rPr>
        <w:t xml:space="preserve"> с приетите от Министерския съвет решения и с публикуването на бюджетните прогнози в програмен формат на интернет страниците си при спазване на изискванията на Закона за защита на класифицираната информация.</w:t>
      </w:r>
      <w:r w:rsidRPr="00682446">
        <w:rPr>
          <w:rFonts w:eastAsia="Batang" w:cstheme="minorHAnsi"/>
          <w:b/>
        </w:rPr>
        <w:t xml:space="preserve"> </w:t>
      </w:r>
    </w:p>
    <w:p w14:paraId="47FF4390" w14:textId="1B646D0A" w:rsidR="003E05B8" w:rsidRPr="00682446" w:rsidRDefault="003E05B8" w:rsidP="003E05B8">
      <w:pPr>
        <w:rPr>
          <w:rFonts w:eastAsia="Batang" w:cstheme="minorHAnsi"/>
        </w:rPr>
      </w:pPr>
      <w:r w:rsidRPr="00682446">
        <w:rPr>
          <w:rFonts w:eastAsia="Batang" w:cstheme="minorHAnsi"/>
          <w:b/>
        </w:rPr>
        <w:t>Във втория етап</w:t>
      </w:r>
      <w:r w:rsidRPr="00682446">
        <w:rPr>
          <w:rFonts w:eastAsia="Batang" w:cstheme="minorHAnsi"/>
        </w:rPr>
        <w:t xml:space="preserve"> на процедурата основните процеси и бюджетни документи са свързани с изготвянето на законопроекта на държавния бюджет на Република България за 2023</w:t>
      </w:r>
      <w:r w:rsidR="00DF07FD">
        <w:rPr>
          <w:rFonts w:eastAsia="Batang" w:cstheme="minorHAnsi"/>
        </w:rPr>
        <w:t> г.</w:t>
      </w:r>
      <w:r w:rsidRPr="00682446">
        <w:rPr>
          <w:rFonts w:eastAsia="Batang" w:cstheme="minorHAnsi"/>
        </w:rPr>
        <w:t xml:space="preserve"> и законопроектите за изменение и допълнение на данъчните закони.</w:t>
      </w:r>
    </w:p>
    <w:p w14:paraId="26CFCDEC" w14:textId="074B9B40" w:rsidR="003E05B8" w:rsidRDefault="003E05B8" w:rsidP="003E05B8">
      <w:pPr>
        <w:rPr>
          <w:rFonts w:eastAsia="Batang" w:cstheme="minorHAnsi"/>
        </w:rPr>
      </w:pPr>
      <w:r w:rsidRPr="00682446">
        <w:rPr>
          <w:rFonts w:eastAsia="Batang" w:cstheme="minorHAnsi"/>
        </w:rPr>
        <w:t>Съгласуването с Националното сдружение на общините в Република България на механизма за разпределяне на общата изравнителна субсидия и на целевата субсидия за капиталови разходи по общини и провеждането на консултации по предложенията на сдружението за общия размер на основните бюджетни взаимоотношения на общинските бюджети с централния бюджет и на други предложения по проекта на държавния бюджет за 2023</w:t>
      </w:r>
      <w:r w:rsidR="00DF07FD">
        <w:rPr>
          <w:rFonts w:eastAsia="Batang" w:cstheme="minorHAnsi"/>
        </w:rPr>
        <w:t> г.</w:t>
      </w:r>
      <w:r w:rsidRPr="00682446">
        <w:rPr>
          <w:rFonts w:eastAsia="Batang" w:cstheme="minorHAnsi"/>
        </w:rPr>
        <w:t xml:space="preserve"> в частта му за общините също е част от втория етап. </w:t>
      </w:r>
    </w:p>
    <w:p w14:paraId="0D1B8BB6" w14:textId="2B40247C" w:rsidR="003E05B8" w:rsidRPr="00682446" w:rsidRDefault="003E05B8" w:rsidP="003E05B8">
      <w:pPr>
        <w:rPr>
          <w:rFonts w:eastAsia="Batang" w:cstheme="minorHAnsi"/>
        </w:rPr>
      </w:pPr>
      <w:r w:rsidRPr="00682446">
        <w:rPr>
          <w:rFonts w:eastAsia="Batang" w:cstheme="minorHAnsi"/>
        </w:rPr>
        <w:t>До края на месец октомври 2022</w:t>
      </w:r>
      <w:r w:rsidR="00DF07FD">
        <w:rPr>
          <w:rFonts w:eastAsia="Batang" w:cstheme="minorHAnsi"/>
        </w:rPr>
        <w:t> г.</w:t>
      </w:r>
      <w:r w:rsidRPr="00682446">
        <w:rPr>
          <w:rFonts w:eastAsia="Batang" w:cstheme="minorHAnsi"/>
        </w:rPr>
        <w:t xml:space="preserve"> Министерският съвет разглежда и одобрява изготвените от министъра на финансите проекти на Закон за държавния бюджет на Република България за 2023</w:t>
      </w:r>
      <w:r w:rsidR="00DF07FD">
        <w:rPr>
          <w:rFonts w:eastAsia="Batang" w:cstheme="minorHAnsi"/>
        </w:rPr>
        <w:t> г.</w:t>
      </w:r>
      <w:r w:rsidRPr="00682446">
        <w:rPr>
          <w:rFonts w:eastAsia="Batang" w:cstheme="minorHAnsi"/>
        </w:rPr>
        <w:t xml:space="preserve"> и на актуализирана средносрочна бюджетна прогноза за периода 2023</w:t>
      </w:r>
      <w:r w:rsidR="00EC2B93">
        <w:rPr>
          <w:rFonts w:cstheme="minorHAnsi"/>
          <w:lang w:val="en-US"/>
        </w:rPr>
        <w:t>–</w:t>
      </w:r>
      <w:r w:rsidRPr="00682446">
        <w:rPr>
          <w:rFonts w:eastAsia="Batang" w:cstheme="minorHAnsi"/>
        </w:rPr>
        <w:t>2025</w:t>
      </w:r>
      <w:r w:rsidR="00DF07FD">
        <w:rPr>
          <w:rFonts w:eastAsia="Batang" w:cstheme="minorHAnsi"/>
        </w:rPr>
        <w:t> г.</w:t>
      </w:r>
      <w:r w:rsidRPr="00682446">
        <w:rPr>
          <w:rFonts w:eastAsia="Batang" w:cstheme="minorHAnsi"/>
        </w:rPr>
        <w:t>, която представлява мотиви към законопроекта</w:t>
      </w:r>
      <w:r>
        <w:rPr>
          <w:rFonts w:eastAsia="Batang" w:cstheme="minorHAnsi"/>
        </w:rPr>
        <w:t>, а п</w:t>
      </w:r>
      <w:r w:rsidRPr="00682446">
        <w:rPr>
          <w:rFonts w:eastAsia="Batang" w:cstheme="minorHAnsi"/>
        </w:rPr>
        <w:t>ри необходимост одобрява изменение и допълнение на решението за приемане на стандарти за делегираните от държавата дейности с натурални и стойностни показатели през 2023</w:t>
      </w:r>
      <w:r w:rsidR="00DF07FD">
        <w:rPr>
          <w:rFonts w:eastAsia="Batang" w:cstheme="minorHAnsi"/>
        </w:rPr>
        <w:t> г.</w:t>
      </w:r>
      <w:r w:rsidRPr="00682446">
        <w:rPr>
          <w:rFonts w:eastAsia="Batang" w:cstheme="minorHAnsi"/>
        </w:rPr>
        <w:t xml:space="preserve"> и на решението за утвърждаване на норматив за час програма за подготовка, създаване и разпространение на национални и регионални програми на БНР и БНТ през 2023</w:t>
      </w:r>
      <w:r w:rsidR="00DF07FD">
        <w:rPr>
          <w:rFonts w:eastAsia="Batang" w:cstheme="minorHAnsi"/>
        </w:rPr>
        <w:t> г.</w:t>
      </w:r>
      <w:r w:rsidRPr="00682446">
        <w:rPr>
          <w:rFonts w:eastAsia="Batang" w:cstheme="minorHAnsi"/>
        </w:rPr>
        <w:t xml:space="preserve"> В същия срок Министерският съвет разглежда и одобрява и проекти</w:t>
      </w:r>
      <w:r>
        <w:rPr>
          <w:rFonts w:eastAsia="Batang" w:cstheme="minorHAnsi"/>
        </w:rPr>
        <w:t>те</w:t>
      </w:r>
      <w:r w:rsidRPr="00682446">
        <w:rPr>
          <w:rFonts w:eastAsia="Batang" w:cstheme="minorHAnsi"/>
        </w:rPr>
        <w:t xml:space="preserve"> на Закон за бюджета на Националната здравноосигурителна каса за 2023</w:t>
      </w:r>
      <w:r w:rsidR="00DF07FD">
        <w:rPr>
          <w:rFonts w:eastAsia="Batang" w:cstheme="minorHAnsi"/>
        </w:rPr>
        <w:t> г.</w:t>
      </w:r>
      <w:r>
        <w:rPr>
          <w:rFonts w:eastAsia="Batang" w:cstheme="minorHAnsi"/>
        </w:rPr>
        <w:t xml:space="preserve"> и</w:t>
      </w:r>
      <w:r w:rsidRPr="00682446">
        <w:rPr>
          <w:rFonts w:eastAsia="Batang" w:cstheme="minorHAnsi"/>
        </w:rPr>
        <w:t xml:space="preserve"> на Закон за бюджета на държавното обществено осигуряване за 2023</w:t>
      </w:r>
      <w:r w:rsidR="00DF07FD">
        <w:rPr>
          <w:rFonts w:eastAsia="Batang" w:cstheme="minorHAnsi"/>
        </w:rPr>
        <w:t> г.</w:t>
      </w:r>
    </w:p>
    <w:p w14:paraId="74CB88B3" w14:textId="61CE8F00" w:rsidR="003E05B8" w:rsidRPr="00682446" w:rsidRDefault="003E05B8" w:rsidP="003E05B8">
      <w:pPr>
        <w:rPr>
          <w:rFonts w:cstheme="minorHAnsi"/>
        </w:rPr>
      </w:pPr>
      <w:r w:rsidRPr="00682446">
        <w:rPr>
          <w:rFonts w:cstheme="minorHAnsi"/>
        </w:rPr>
        <w:t>В едномесечен срок от обнародването в „Държавен вестник“ на Закона за държавния бюджет на Република България за 2023</w:t>
      </w:r>
      <w:r w:rsidR="00DF07FD">
        <w:rPr>
          <w:rFonts w:cstheme="minorHAnsi"/>
        </w:rPr>
        <w:t> г.</w:t>
      </w:r>
      <w:r w:rsidRPr="00682446">
        <w:rPr>
          <w:rFonts w:cstheme="minorHAnsi"/>
        </w:rPr>
        <w:t xml:space="preserve"> Министерският съвет приема, по предложение на министъра на финансите, Постановление за изпълнението на държавния бюджет на Република България за 2023</w:t>
      </w:r>
      <w:r w:rsidR="00DF07FD">
        <w:rPr>
          <w:rFonts w:cstheme="minorHAnsi"/>
        </w:rPr>
        <w:t> г.</w:t>
      </w:r>
    </w:p>
    <w:p w14:paraId="3F483516" w14:textId="1411CF63" w:rsidR="003E05B8" w:rsidRPr="00682446" w:rsidRDefault="003E05B8" w:rsidP="003E05B8">
      <w:pPr>
        <w:rPr>
          <w:rFonts w:cstheme="minorHAnsi"/>
        </w:rPr>
      </w:pPr>
      <w:r w:rsidRPr="00682446">
        <w:rPr>
          <w:rFonts w:cstheme="minorHAnsi"/>
        </w:rPr>
        <w:lastRenderedPageBreak/>
        <w:t>При необходимост, в едноседмичен срок от одобряването на промените в актуализираната средносрочна бюджетна прогноза за периода 2023</w:t>
      </w:r>
      <w:r w:rsidR="00EC2B93">
        <w:rPr>
          <w:rFonts w:cstheme="minorHAnsi"/>
          <w:lang w:val="en-US"/>
        </w:rPr>
        <w:t>–</w:t>
      </w:r>
      <w:r w:rsidRPr="00682446">
        <w:rPr>
          <w:rFonts w:cstheme="minorHAnsi"/>
        </w:rPr>
        <w:t>2025</w:t>
      </w:r>
      <w:r w:rsidR="00DF07FD">
        <w:rPr>
          <w:rFonts w:cstheme="minorHAnsi"/>
        </w:rPr>
        <w:t> г.</w:t>
      </w:r>
      <w:r w:rsidRPr="00682446">
        <w:rPr>
          <w:rFonts w:cstheme="minorHAnsi"/>
        </w:rPr>
        <w:t xml:space="preserve"> първостепенните разпоредители с бюджет по бюджетите на бюджетните организации, които са определени да прилагат програмен формат на бюджет актуализират програмните формати на бюджетите си, изпращат ги до Министерството на финансите, Сметната палата и Народното събрание и ги публикуват на интернет страниците</w:t>
      </w:r>
      <w:r>
        <w:rPr>
          <w:rFonts w:cstheme="minorHAnsi"/>
        </w:rPr>
        <w:t xml:space="preserve"> си</w:t>
      </w:r>
      <w:r w:rsidRPr="00682446">
        <w:rPr>
          <w:rFonts w:cstheme="minorHAnsi"/>
        </w:rPr>
        <w:t>, с което бюджетната процедура за 2023</w:t>
      </w:r>
      <w:r w:rsidR="00DF07FD">
        <w:rPr>
          <w:rFonts w:cstheme="minorHAnsi"/>
        </w:rPr>
        <w:t> г.</w:t>
      </w:r>
      <w:r w:rsidRPr="00682446">
        <w:rPr>
          <w:rFonts w:cstheme="minorHAnsi"/>
        </w:rPr>
        <w:t xml:space="preserve"> приключва.</w:t>
      </w:r>
    </w:p>
    <w:p w14:paraId="0718EEFA" w14:textId="4C2284D3" w:rsidR="00CD15E6" w:rsidRPr="005B2032" w:rsidRDefault="003E05B8" w:rsidP="003E05B8">
      <w:pPr>
        <w:rPr>
          <w:rFonts w:eastAsia="Batang"/>
          <w:szCs w:val="24"/>
          <w:lang w:val="en-US"/>
        </w:rPr>
      </w:pPr>
      <w:r w:rsidRPr="00682446">
        <w:rPr>
          <w:rFonts w:cstheme="minorHAnsi"/>
        </w:rPr>
        <w:t>Бюджетната процедура за 2023</w:t>
      </w:r>
      <w:r w:rsidR="00DF07FD">
        <w:rPr>
          <w:rFonts w:cstheme="minorHAnsi"/>
        </w:rPr>
        <w:t> г.</w:t>
      </w:r>
      <w:r w:rsidRPr="00682446">
        <w:rPr>
          <w:rFonts w:cstheme="minorHAnsi"/>
        </w:rPr>
        <w:t xml:space="preserve"> към момента следва определените срокове за изготвянето на основните бюджетни документи, което създава условия за прозрачност и представлява елемент на доброто управление на публичните финанси в страната. Добросъвестното участие в бюджетния процес на всички бюджетни организации е условие за цялостния успех на процедурата и предпоставка за постигане на желаните крайни резултати от провеждането ѝ</w:t>
      </w:r>
      <w:r w:rsidRPr="00682446">
        <w:rPr>
          <w:rFonts w:eastAsia="Batang" w:cstheme="minorHAnsi"/>
          <w:lang w:val="en-US"/>
        </w:rPr>
        <w:t>.</w:t>
      </w:r>
    </w:p>
    <w:p w14:paraId="1FCF615A" w14:textId="77777777" w:rsidR="004D113D" w:rsidRPr="005E6318" w:rsidRDefault="004D113D" w:rsidP="005E6318">
      <w:pPr>
        <w:pStyle w:val="Heading2"/>
      </w:pPr>
      <w:bookmarkStart w:id="147" w:name="_Toc100906089"/>
      <w:r w:rsidRPr="005E6318">
        <w:t>Други институционални развития във връзка с публичните финанси</w:t>
      </w:r>
      <w:bookmarkEnd w:id="147"/>
    </w:p>
    <w:p w14:paraId="401EA999" w14:textId="7122B7EF" w:rsidR="00D641EE" w:rsidRPr="00D641EE" w:rsidRDefault="00D641EE" w:rsidP="005E6318">
      <w:r w:rsidRPr="00D641EE">
        <w:t xml:space="preserve">След присъединяването на българския лев към Валутен механизъм II и банковия съюз чрез установяването на тясно сътрудничество с </w:t>
      </w:r>
      <w:r w:rsidR="009D5B59">
        <w:rPr>
          <w:rFonts w:cstheme="minorHAnsi"/>
        </w:rPr>
        <w:t>Европейската централна банка (</w:t>
      </w:r>
      <w:r w:rsidRPr="00D641EE">
        <w:t>ЕЦБ</w:t>
      </w:r>
      <w:r w:rsidR="009D5B59">
        <w:t>)</w:t>
      </w:r>
      <w:r w:rsidRPr="00D641EE">
        <w:t xml:space="preserve"> на 10 юли 2020</w:t>
      </w:r>
      <w:r w:rsidR="00DF07FD">
        <w:t> г.</w:t>
      </w:r>
      <w:r w:rsidRPr="00D641EE">
        <w:t xml:space="preserve">, процесът по подготовка на България за членството в еврозоната навлезе в интензивната си фаза. Амбицията е България да се присъедини към еврозоната </w:t>
      </w:r>
      <w:r>
        <w:t>на 1 януари 2024</w:t>
      </w:r>
      <w:r w:rsidR="00DF07FD">
        <w:t> г.</w:t>
      </w:r>
      <w:r>
        <w:t>, като дотогава в</w:t>
      </w:r>
      <w:r w:rsidRPr="00D641EE">
        <w:t>алутният борд ще бъде запазен, а валутният курс ще остане непроменен на 1</w:t>
      </w:r>
      <w:r w:rsidR="004013BE">
        <w:t>.</w:t>
      </w:r>
      <w:r w:rsidRPr="00D641EE">
        <w:t>95583 лв. за едно евро.</w:t>
      </w:r>
    </w:p>
    <w:p w14:paraId="55EEA5DB" w14:textId="2C696C5B" w:rsidR="00D641EE" w:rsidRPr="00D641EE" w:rsidRDefault="00D641EE" w:rsidP="005E6318">
      <w:r>
        <w:t xml:space="preserve">Продължава </w:t>
      </w:r>
      <w:r w:rsidRPr="00D641EE">
        <w:t>работата по практическата подготовка на страната за въвеждане на еврото. Координационният съвет за подготовка за членство на страната в еврозоната</w:t>
      </w:r>
      <w:r w:rsidR="009D5B59">
        <w:t>, съ</w:t>
      </w:r>
      <w:r w:rsidRPr="00D641EE">
        <w:t>председателстван от министъра на финансите и управителят на БНБ е органът, който ръководи този процес.</w:t>
      </w:r>
    </w:p>
    <w:p w14:paraId="3F5DA6E3" w14:textId="2C9B2A66" w:rsidR="00D641EE" w:rsidRPr="00D641EE" w:rsidRDefault="00D641EE" w:rsidP="005E6318">
      <w:r>
        <w:t>На 30 юни 2021</w:t>
      </w:r>
      <w:r w:rsidR="00DF07FD">
        <w:t> г.</w:t>
      </w:r>
      <w:r>
        <w:t xml:space="preserve"> Координационният съвет одобри </w:t>
      </w:r>
      <w:r w:rsidRPr="00D641EE">
        <w:t xml:space="preserve">проект на Национален план за въвеждане на еврото в Република България, който предстои скоро да бъде внесен за разглеждане в МС. </w:t>
      </w:r>
    </w:p>
    <w:p w14:paraId="06D834A0" w14:textId="77777777" w:rsidR="00D641EE" w:rsidRPr="00D641EE" w:rsidRDefault="00D641EE" w:rsidP="005E6318">
      <w:r w:rsidRPr="00D641EE">
        <w:t xml:space="preserve">Националният план за въвеждане на еврото в България е стратегическият документ, въз основа на който ще се реализира оперативната работа за замяна на лева с еврото. В него са описани принципите, институционалната и правно-нормативната рамка за приемане на еврото. </w:t>
      </w:r>
    </w:p>
    <w:p w14:paraId="2F678FA7" w14:textId="77777777" w:rsidR="00D641EE" w:rsidRPr="00D641EE" w:rsidRDefault="00D641EE" w:rsidP="005E6318">
      <w:r w:rsidRPr="00D641EE">
        <w:t>По-конкретно, Планът разглежда всички важни оперативни дейности и мерки, които участниците в подготовката за въвеждането на еврото – частният, публичният сектор и гражданите – следва да извършват като част от процеса по въвеждането на еврото.</w:t>
      </w:r>
    </w:p>
    <w:p w14:paraId="32FED5FB" w14:textId="643ED5AF" w:rsidR="00D641EE" w:rsidRPr="00D641EE" w:rsidRDefault="00D641EE" w:rsidP="005E6318">
      <w:r w:rsidRPr="00D641EE">
        <w:t>Преди приемането на еврото в България ще се проведе всеобхватна разяснителна кампания, за да се информира п</w:t>
      </w:r>
      <w:r w:rsidR="008F09E9">
        <w:t>о-добре обществото за процеса по</w:t>
      </w:r>
      <w:r w:rsidRPr="00D641EE">
        <w:t xml:space="preserve"> присъединяване </w:t>
      </w:r>
      <w:r w:rsidR="004013BE">
        <w:t>към</w:t>
      </w:r>
      <w:r w:rsidR="00AC7FD1">
        <w:t xml:space="preserve"> </w:t>
      </w:r>
      <w:r w:rsidR="000A6642">
        <w:t>еврозоната</w:t>
      </w:r>
      <w:r w:rsidR="00AC7FD1">
        <w:t>.</w:t>
      </w:r>
    </w:p>
    <w:p w14:paraId="0C99BB5D" w14:textId="77777777" w:rsidR="00D359FF" w:rsidRPr="005E6318" w:rsidRDefault="00D359FF" w:rsidP="005E6318">
      <w:pPr>
        <w:pStyle w:val="Heading1"/>
      </w:pPr>
      <w:bookmarkStart w:id="148" w:name="_Toc448227310"/>
      <w:bookmarkStart w:id="149" w:name="_Toc479332461"/>
      <w:bookmarkStart w:id="150" w:name="_Toc100906090"/>
      <w:r w:rsidRPr="005E6318">
        <w:lastRenderedPageBreak/>
        <w:t xml:space="preserve">Приложение </w:t>
      </w:r>
      <w:bookmarkEnd w:id="146"/>
      <w:r w:rsidR="00B32FA7" w:rsidRPr="005E6318">
        <w:t>А</w:t>
      </w:r>
      <w:bookmarkEnd w:id="148"/>
      <w:bookmarkEnd w:id="149"/>
      <w:bookmarkEnd w:id="150"/>
    </w:p>
    <w:p w14:paraId="00B58647" w14:textId="77777777" w:rsidR="00A9281C" w:rsidRPr="002A19EC" w:rsidRDefault="00102EAD" w:rsidP="002A19EC">
      <w:pPr>
        <w:pStyle w:val="Heading2"/>
        <w:numPr>
          <w:ilvl w:val="0"/>
          <w:numId w:val="0"/>
        </w:numPr>
      </w:pPr>
      <w:bookmarkStart w:id="151" w:name="_Toc448227311"/>
      <w:bookmarkStart w:id="152" w:name="_Toc479332462"/>
      <w:bookmarkStart w:id="153" w:name="_Toc100906091"/>
      <w:r w:rsidRPr="002A19EC">
        <w:t>Табл. 1а:</w:t>
      </w:r>
      <w:r w:rsidR="00FD5BD4" w:rsidRPr="002A19EC">
        <w:t xml:space="preserve"> </w:t>
      </w:r>
      <w:r w:rsidRPr="002A19EC">
        <w:t>Макроикономически перспективи</w:t>
      </w:r>
      <w:bookmarkEnd w:id="151"/>
      <w:bookmarkEnd w:id="152"/>
      <w:bookmarkEnd w:id="153"/>
    </w:p>
    <w:tbl>
      <w:tblPr>
        <w:tblStyle w:val="Style19"/>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2691"/>
        <w:gridCol w:w="708"/>
        <w:gridCol w:w="944"/>
        <w:gridCol w:w="944"/>
        <w:gridCol w:w="944"/>
        <w:gridCol w:w="944"/>
        <w:gridCol w:w="944"/>
        <w:gridCol w:w="945"/>
      </w:tblGrid>
      <w:tr w:rsidR="005B2032" w:rsidRPr="00A41CDE" w14:paraId="18733FC2" w14:textId="77777777" w:rsidTr="00C2491D">
        <w:trPr>
          <w:trHeight w:val="340"/>
          <w:jc w:val="center"/>
        </w:trPr>
        <w:tc>
          <w:tcPr>
            <w:tcW w:w="2691" w:type="dxa"/>
            <w:vMerge w:val="restart"/>
            <w:shd w:val="clear" w:color="auto" w:fill="D7D4F1"/>
            <w:vAlign w:val="center"/>
          </w:tcPr>
          <w:p w14:paraId="4EECFAB4" w14:textId="77777777" w:rsidR="006B7AF3" w:rsidRPr="00A41CDE" w:rsidRDefault="006B7AF3" w:rsidP="004334CC">
            <w:pPr>
              <w:pStyle w:val="tabletextleft"/>
              <w:spacing w:before="120" w:after="120"/>
              <w:rPr>
                <w:rFonts w:asciiTheme="minorHAnsi" w:hAnsiTheme="minorHAnsi" w:cstheme="minorHAnsi"/>
                <w:szCs w:val="18"/>
              </w:rPr>
            </w:pPr>
          </w:p>
        </w:tc>
        <w:tc>
          <w:tcPr>
            <w:tcW w:w="708" w:type="dxa"/>
            <w:vMerge w:val="restart"/>
            <w:shd w:val="clear" w:color="auto" w:fill="D7D4F1"/>
            <w:vAlign w:val="center"/>
            <w:hideMark/>
          </w:tcPr>
          <w:p w14:paraId="745AABF9" w14:textId="77777777" w:rsidR="006B7AF3" w:rsidRPr="00A41CDE" w:rsidRDefault="006B7AF3" w:rsidP="004334CC">
            <w:pPr>
              <w:pStyle w:val="tabletextleft"/>
              <w:spacing w:before="120" w:after="120"/>
              <w:rPr>
                <w:rFonts w:asciiTheme="minorHAnsi" w:hAnsiTheme="minorHAnsi" w:cstheme="minorHAnsi"/>
                <w:b/>
                <w:szCs w:val="18"/>
              </w:rPr>
            </w:pPr>
            <w:r w:rsidRPr="00A41CDE">
              <w:rPr>
                <w:rFonts w:asciiTheme="minorHAnsi" w:hAnsiTheme="minorHAnsi" w:cstheme="minorHAnsi"/>
                <w:b/>
                <w:szCs w:val="18"/>
              </w:rPr>
              <w:t>Код по ЕСС 2010</w:t>
            </w:r>
          </w:p>
        </w:tc>
        <w:tc>
          <w:tcPr>
            <w:tcW w:w="944" w:type="dxa"/>
            <w:shd w:val="clear" w:color="auto" w:fill="D7D4F1"/>
            <w:vAlign w:val="center"/>
          </w:tcPr>
          <w:p w14:paraId="558459EE" w14:textId="659E8213" w:rsidR="006B7AF3" w:rsidRPr="00A41CDE" w:rsidRDefault="004F44ED" w:rsidP="004334CC">
            <w:pPr>
              <w:pStyle w:val="tabletextleft"/>
              <w:spacing w:before="120" w:after="120"/>
              <w:jc w:val="center"/>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1</w:t>
            </w:r>
          </w:p>
        </w:tc>
        <w:tc>
          <w:tcPr>
            <w:tcW w:w="944" w:type="dxa"/>
            <w:shd w:val="clear" w:color="auto" w:fill="D7D4F1"/>
            <w:vAlign w:val="center"/>
          </w:tcPr>
          <w:p w14:paraId="517ADDA5" w14:textId="6E76D4F0" w:rsidR="006B7AF3" w:rsidRPr="00A41CDE" w:rsidRDefault="004F44ED" w:rsidP="004334CC">
            <w:pPr>
              <w:pStyle w:val="tabletextleft"/>
              <w:spacing w:before="120" w:after="120"/>
              <w:jc w:val="center"/>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1</w:t>
            </w:r>
          </w:p>
        </w:tc>
        <w:tc>
          <w:tcPr>
            <w:tcW w:w="944" w:type="dxa"/>
            <w:shd w:val="clear" w:color="auto" w:fill="D7D4F1"/>
            <w:vAlign w:val="center"/>
          </w:tcPr>
          <w:p w14:paraId="7195E924" w14:textId="4EA9ADB9" w:rsidR="006B7AF3" w:rsidRPr="00A41CDE" w:rsidRDefault="004F44ED" w:rsidP="004334CC">
            <w:pPr>
              <w:pStyle w:val="tabletextleft"/>
              <w:spacing w:before="120" w:after="120"/>
              <w:jc w:val="center"/>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2</w:t>
            </w:r>
          </w:p>
        </w:tc>
        <w:tc>
          <w:tcPr>
            <w:tcW w:w="944" w:type="dxa"/>
            <w:shd w:val="clear" w:color="auto" w:fill="D7D4F1"/>
            <w:vAlign w:val="center"/>
          </w:tcPr>
          <w:p w14:paraId="1F1E00FE" w14:textId="2B2372FA" w:rsidR="006B7AF3" w:rsidRPr="00A41CDE" w:rsidRDefault="004F44ED" w:rsidP="004334CC">
            <w:pPr>
              <w:pStyle w:val="tabletextleft"/>
              <w:spacing w:before="120" w:after="120"/>
              <w:jc w:val="center"/>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3</w:t>
            </w:r>
          </w:p>
        </w:tc>
        <w:tc>
          <w:tcPr>
            <w:tcW w:w="944" w:type="dxa"/>
            <w:shd w:val="clear" w:color="auto" w:fill="D7D4F1"/>
            <w:vAlign w:val="center"/>
          </w:tcPr>
          <w:p w14:paraId="5D18CDF0" w14:textId="5ADFB85C" w:rsidR="006B7AF3" w:rsidRPr="00A41CDE" w:rsidRDefault="004F44ED" w:rsidP="004334CC">
            <w:pPr>
              <w:pStyle w:val="tabletextleft"/>
              <w:spacing w:before="120" w:after="120"/>
              <w:jc w:val="center"/>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4</w:t>
            </w:r>
          </w:p>
        </w:tc>
        <w:tc>
          <w:tcPr>
            <w:tcW w:w="945" w:type="dxa"/>
            <w:shd w:val="clear" w:color="auto" w:fill="D7D4F1"/>
            <w:vAlign w:val="center"/>
          </w:tcPr>
          <w:p w14:paraId="1BA15CD6" w14:textId="42D919F8" w:rsidR="006B7AF3" w:rsidRPr="00A41CDE" w:rsidRDefault="004F44ED" w:rsidP="004334CC">
            <w:pPr>
              <w:pStyle w:val="tabletextleft"/>
              <w:spacing w:before="120" w:after="120"/>
              <w:jc w:val="center"/>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5</w:t>
            </w:r>
          </w:p>
        </w:tc>
      </w:tr>
      <w:tr w:rsidR="005B2032" w:rsidRPr="00A41CDE" w14:paraId="5381845D" w14:textId="77777777" w:rsidTr="00C2491D">
        <w:trPr>
          <w:trHeight w:val="340"/>
          <w:jc w:val="center"/>
        </w:trPr>
        <w:tc>
          <w:tcPr>
            <w:tcW w:w="2691" w:type="dxa"/>
            <w:vMerge/>
            <w:shd w:val="clear" w:color="auto" w:fill="D7D4F1"/>
            <w:vAlign w:val="center"/>
            <w:hideMark/>
          </w:tcPr>
          <w:p w14:paraId="1861A9EE" w14:textId="77777777" w:rsidR="00A964EF" w:rsidRPr="00A41CDE" w:rsidRDefault="00A964EF" w:rsidP="004334CC">
            <w:pPr>
              <w:pStyle w:val="tabletextleft"/>
              <w:spacing w:before="120" w:after="120"/>
              <w:rPr>
                <w:rFonts w:asciiTheme="minorHAnsi" w:hAnsiTheme="minorHAnsi" w:cstheme="minorHAnsi"/>
                <w:szCs w:val="18"/>
              </w:rPr>
            </w:pPr>
          </w:p>
        </w:tc>
        <w:tc>
          <w:tcPr>
            <w:tcW w:w="708" w:type="dxa"/>
            <w:vMerge/>
            <w:shd w:val="clear" w:color="auto" w:fill="D7D4F1"/>
            <w:vAlign w:val="center"/>
            <w:hideMark/>
          </w:tcPr>
          <w:p w14:paraId="75C0C8A1" w14:textId="77777777" w:rsidR="00A964EF" w:rsidRPr="00A41CDE" w:rsidRDefault="00A964EF" w:rsidP="004334CC">
            <w:pPr>
              <w:pStyle w:val="tabletextleft"/>
              <w:spacing w:before="120" w:after="120"/>
              <w:rPr>
                <w:rFonts w:asciiTheme="minorHAnsi" w:hAnsiTheme="minorHAnsi" w:cstheme="minorHAnsi"/>
                <w:b/>
                <w:szCs w:val="18"/>
              </w:rPr>
            </w:pPr>
          </w:p>
        </w:tc>
        <w:tc>
          <w:tcPr>
            <w:tcW w:w="944" w:type="dxa"/>
            <w:shd w:val="clear" w:color="auto" w:fill="D7D4F1"/>
            <w:vAlign w:val="center"/>
            <w:hideMark/>
          </w:tcPr>
          <w:p w14:paraId="7FDDB907"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Равнище</w:t>
            </w:r>
          </w:p>
          <w:p w14:paraId="78103B26"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(млн. лв.)</w:t>
            </w:r>
          </w:p>
        </w:tc>
        <w:tc>
          <w:tcPr>
            <w:tcW w:w="944" w:type="dxa"/>
            <w:shd w:val="clear" w:color="auto" w:fill="D7D4F1"/>
            <w:vAlign w:val="center"/>
            <w:hideMark/>
          </w:tcPr>
          <w:p w14:paraId="21BA1984"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Темп на изменение</w:t>
            </w:r>
          </w:p>
        </w:tc>
        <w:tc>
          <w:tcPr>
            <w:tcW w:w="944" w:type="dxa"/>
            <w:shd w:val="clear" w:color="auto" w:fill="D7D4F1"/>
            <w:vAlign w:val="center"/>
            <w:hideMark/>
          </w:tcPr>
          <w:p w14:paraId="7B71A867"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Темп на изменение</w:t>
            </w:r>
          </w:p>
        </w:tc>
        <w:tc>
          <w:tcPr>
            <w:tcW w:w="944" w:type="dxa"/>
            <w:shd w:val="clear" w:color="auto" w:fill="D7D4F1"/>
            <w:vAlign w:val="center"/>
            <w:hideMark/>
          </w:tcPr>
          <w:p w14:paraId="5256743F"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Темп на изменение</w:t>
            </w:r>
          </w:p>
        </w:tc>
        <w:tc>
          <w:tcPr>
            <w:tcW w:w="944" w:type="dxa"/>
            <w:shd w:val="clear" w:color="auto" w:fill="D7D4F1"/>
            <w:vAlign w:val="center"/>
            <w:hideMark/>
          </w:tcPr>
          <w:p w14:paraId="59B68667"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Темп на изменение</w:t>
            </w:r>
          </w:p>
        </w:tc>
        <w:tc>
          <w:tcPr>
            <w:tcW w:w="945" w:type="dxa"/>
            <w:shd w:val="clear" w:color="auto" w:fill="D7D4F1"/>
            <w:vAlign w:val="center"/>
            <w:hideMark/>
          </w:tcPr>
          <w:p w14:paraId="4A4EFE60" w14:textId="77777777" w:rsidR="00A964EF" w:rsidRPr="00A41CDE" w:rsidRDefault="00A964EF" w:rsidP="004334CC">
            <w:pPr>
              <w:pStyle w:val="tabletextleft"/>
              <w:spacing w:before="0" w:after="0"/>
              <w:jc w:val="center"/>
              <w:rPr>
                <w:rFonts w:asciiTheme="minorHAnsi" w:hAnsiTheme="minorHAnsi" w:cstheme="minorHAnsi"/>
                <w:b/>
                <w:w w:val="90"/>
                <w:szCs w:val="18"/>
              </w:rPr>
            </w:pPr>
            <w:r w:rsidRPr="00A41CDE">
              <w:rPr>
                <w:rFonts w:asciiTheme="minorHAnsi" w:hAnsiTheme="minorHAnsi" w:cstheme="minorHAnsi"/>
                <w:b/>
                <w:w w:val="90"/>
                <w:szCs w:val="18"/>
              </w:rPr>
              <w:t>Темп на изменение</w:t>
            </w:r>
          </w:p>
        </w:tc>
      </w:tr>
      <w:tr w:rsidR="005B2032" w:rsidRPr="00A41CDE" w14:paraId="54F8627D" w14:textId="77777777" w:rsidTr="00C2491D">
        <w:trPr>
          <w:trHeight w:val="340"/>
          <w:jc w:val="center"/>
        </w:trPr>
        <w:tc>
          <w:tcPr>
            <w:tcW w:w="2691" w:type="dxa"/>
            <w:vAlign w:val="center"/>
            <w:hideMark/>
          </w:tcPr>
          <w:p w14:paraId="2ABFB54F"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 xml:space="preserve">Реален БВП </w:t>
            </w:r>
            <w:r w:rsidRPr="00A41CDE">
              <w:rPr>
                <w:rFonts w:asciiTheme="minorHAnsi" w:hAnsiTheme="minorHAnsi" w:cstheme="minorHAnsi"/>
                <w:szCs w:val="18"/>
              </w:rPr>
              <w:br/>
              <w:t>(по цени от 2015 година)</w:t>
            </w:r>
          </w:p>
        </w:tc>
        <w:tc>
          <w:tcPr>
            <w:tcW w:w="708" w:type="dxa"/>
            <w:vAlign w:val="center"/>
            <w:hideMark/>
          </w:tcPr>
          <w:p w14:paraId="179B6328"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B1*g</w:t>
            </w:r>
          </w:p>
        </w:tc>
        <w:tc>
          <w:tcPr>
            <w:tcW w:w="944" w:type="dxa"/>
            <w:vAlign w:val="center"/>
          </w:tcPr>
          <w:p w14:paraId="3F37A5A3" w14:textId="1729D13C"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100 956</w:t>
            </w:r>
          </w:p>
        </w:tc>
        <w:tc>
          <w:tcPr>
            <w:tcW w:w="944" w:type="dxa"/>
            <w:vAlign w:val="center"/>
          </w:tcPr>
          <w:p w14:paraId="54DA2938" w14:textId="57167310"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44" w:type="dxa"/>
            <w:vAlign w:val="center"/>
          </w:tcPr>
          <w:p w14:paraId="506C1C5D" w14:textId="61705565"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944" w:type="dxa"/>
            <w:vAlign w:val="center"/>
          </w:tcPr>
          <w:p w14:paraId="5E88FF83" w14:textId="59E13D9E"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944" w:type="dxa"/>
            <w:vAlign w:val="center"/>
          </w:tcPr>
          <w:p w14:paraId="48BF3BBA" w14:textId="11E9DDD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945" w:type="dxa"/>
            <w:vAlign w:val="center"/>
          </w:tcPr>
          <w:p w14:paraId="6B632110" w14:textId="0B51BDE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4</w:t>
            </w:r>
          </w:p>
        </w:tc>
      </w:tr>
      <w:tr w:rsidR="005B2032" w:rsidRPr="00A41CDE" w14:paraId="51CB72BC" w14:textId="77777777" w:rsidTr="00C2491D">
        <w:trPr>
          <w:trHeight w:val="340"/>
          <w:jc w:val="center"/>
        </w:trPr>
        <w:tc>
          <w:tcPr>
            <w:tcW w:w="2691" w:type="dxa"/>
            <w:vAlign w:val="center"/>
            <w:hideMark/>
          </w:tcPr>
          <w:p w14:paraId="57E74307"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Номинален БВП</w:t>
            </w:r>
          </w:p>
        </w:tc>
        <w:tc>
          <w:tcPr>
            <w:tcW w:w="708" w:type="dxa"/>
            <w:vAlign w:val="center"/>
            <w:hideMark/>
          </w:tcPr>
          <w:p w14:paraId="5E0359C7"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B1*g</w:t>
            </w:r>
          </w:p>
        </w:tc>
        <w:tc>
          <w:tcPr>
            <w:tcW w:w="944" w:type="dxa"/>
            <w:vAlign w:val="center"/>
          </w:tcPr>
          <w:p w14:paraId="41981942" w14:textId="5740E393"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132 744</w:t>
            </w:r>
          </w:p>
        </w:tc>
        <w:tc>
          <w:tcPr>
            <w:tcW w:w="944" w:type="dxa"/>
            <w:vAlign w:val="center"/>
          </w:tcPr>
          <w:p w14:paraId="030DDD62" w14:textId="60768552"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10</w:t>
            </w:r>
            <w:r w:rsidR="000B3666" w:rsidRPr="00A41CDE">
              <w:rPr>
                <w:rFonts w:asciiTheme="minorHAnsi" w:hAnsiTheme="minorHAnsi" w:cstheme="minorHAnsi"/>
                <w:szCs w:val="18"/>
              </w:rPr>
              <w:t>.</w:t>
            </w:r>
            <w:r w:rsidRPr="00A41CDE">
              <w:rPr>
                <w:rFonts w:asciiTheme="minorHAnsi" w:hAnsiTheme="minorHAnsi" w:cstheme="minorHAnsi"/>
                <w:szCs w:val="18"/>
              </w:rPr>
              <w:t>7</w:t>
            </w:r>
          </w:p>
        </w:tc>
        <w:tc>
          <w:tcPr>
            <w:tcW w:w="944" w:type="dxa"/>
            <w:vAlign w:val="center"/>
          </w:tcPr>
          <w:p w14:paraId="45F2BB5D" w14:textId="6A588090"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11</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0C0AB290" w14:textId="4C255343"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4" w:type="dxa"/>
            <w:vAlign w:val="center"/>
          </w:tcPr>
          <w:p w14:paraId="1170E547" w14:textId="594FB3E3"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7</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45" w:type="dxa"/>
            <w:vAlign w:val="center"/>
          </w:tcPr>
          <w:p w14:paraId="331899A7" w14:textId="270A9146"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w:t>
            </w:r>
            <w:r w:rsidR="000B3666" w:rsidRPr="00A41CDE">
              <w:rPr>
                <w:rFonts w:asciiTheme="minorHAnsi" w:hAnsiTheme="minorHAnsi" w:cstheme="minorHAnsi"/>
                <w:szCs w:val="18"/>
              </w:rPr>
              <w:t>.</w:t>
            </w:r>
            <w:r w:rsidRPr="00A41CDE">
              <w:rPr>
                <w:rFonts w:asciiTheme="minorHAnsi" w:hAnsiTheme="minorHAnsi" w:cstheme="minorHAnsi"/>
                <w:szCs w:val="18"/>
              </w:rPr>
              <w:t>2</w:t>
            </w:r>
          </w:p>
        </w:tc>
      </w:tr>
      <w:tr w:rsidR="005B2032" w:rsidRPr="00A41CDE" w14:paraId="0A257BFE" w14:textId="77777777" w:rsidTr="00C2491D">
        <w:trPr>
          <w:trHeight w:val="340"/>
          <w:jc w:val="center"/>
        </w:trPr>
        <w:tc>
          <w:tcPr>
            <w:tcW w:w="9064" w:type="dxa"/>
            <w:gridSpan w:val="8"/>
            <w:vAlign w:val="center"/>
          </w:tcPr>
          <w:p w14:paraId="04FD72B0" w14:textId="77777777" w:rsidR="00A964EF" w:rsidRPr="00A41CDE" w:rsidRDefault="00A964EF" w:rsidP="004334CC">
            <w:pPr>
              <w:pStyle w:val="tabletextleft"/>
              <w:spacing w:before="120" w:after="120"/>
              <w:jc w:val="right"/>
              <w:rPr>
                <w:rFonts w:asciiTheme="minorHAnsi" w:hAnsiTheme="minorHAnsi" w:cstheme="minorHAnsi"/>
                <w:szCs w:val="18"/>
              </w:rPr>
            </w:pPr>
          </w:p>
        </w:tc>
      </w:tr>
      <w:tr w:rsidR="005B2032" w:rsidRPr="00A41CDE" w14:paraId="1107974F" w14:textId="77777777" w:rsidTr="00C2491D">
        <w:trPr>
          <w:trHeight w:val="340"/>
          <w:jc w:val="center"/>
        </w:trPr>
        <w:tc>
          <w:tcPr>
            <w:tcW w:w="2691" w:type="dxa"/>
            <w:vAlign w:val="center"/>
            <w:hideMark/>
          </w:tcPr>
          <w:p w14:paraId="5B127FA3"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Частно потребление</w:t>
            </w:r>
          </w:p>
        </w:tc>
        <w:tc>
          <w:tcPr>
            <w:tcW w:w="708" w:type="dxa"/>
            <w:vAlign w:val="center"/>
            <w:hideMark/>
          </w:tcPr>
          <w:p w14:paraId="6FB76B2D"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P.3</w:t>
            </w:r>
          </w:p>
        </w:tc>
        <w:tc>
          <w:tcPr>
            <w:tcW w:w="944" w:type="dxa"/>
            <w:vAlign w:val="center"/>
          </w:tcPr>
          <w:p w14:paraId="6A978AD1" w14:textId="4CB76166"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68 857</w:t>
            </w:r>
          </w:p>
        </w:tc>
        <w:tc>
          <w:tcPr>
            <w:tcW w:w="944" w:type="dxa"/>
            <w:vAlign w:val="center"/>
          </w:tcPr>
          <w:p w14:paraId="52B55C4D" w14:textId="05AA8965"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8</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12A2D0CA" w14:textId="7DC915F8"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44" w:type="dxa"/>
            <w:vAlign w:val="center"/>
          </w:tcPr>
          <w:p w14:paraId="0B308E8F" w14:textId="69FFD17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5</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44" w:type="dxa"/>
            <w:vAlign w:val="center"/>
          </w:tcPr>
          <w:p w14:paraId="60D9A7C3" w14:textId="577B6642"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945" w:type="dxa"/>
            <w:vAlign w:val="center"/>
          </w:tcPr>
          <w:p w14:paraId="1905DD4D" w14:textId="2AC6D7BA"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4</w:t>
            </w:r>
          </w:p>
        </w:tc>
      </w:tr>
      <w:tr w:rsidR="005B2032" w:rsidRPr="00A41CDE" w14:paraId="29287A1B" w14:textId="77777777" w:rsidTr="00C2491D">
        <w:trPr>
          <w:trHeight w:val="340"/>
          <w:jc w:val="center"/>
        </w:trPr>
        <w:tc>
          <w:tcPr>
            <w:tcW w:w="2691" w:type="dxa"/>
            <w:vAlign w:val="center"/>
            <w:hideMark/>
          </w:tcPr>
          <w:p w14:paraId="6B447E59"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Правителствено потребление</w:t>
            </w:r>
          </w:p>
        </w:tc>
        <w:tc>
          <w:tcPr>
            <w:tcW w:w="708" w:type="dxa"/>
            <w:vAlign w:val="center"/>
            <w:hideMark/>
          </w:tcPr>
          <w:p w14:paraId="3DB01591"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P.3</w:t>
            </w:r>
          </w:p>
        </w:tc>
        <w:tc>
          <w:tcPr>
            <w:tcW w:w="944" w:type="dxa"/>
            <w:vAlign w:val="center"/>
          </w:tcPr>
          <w:p w14:paraId="2738319F" w14:textId="3985962A"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18 588</w:t>
            </w:r>
          </w:p>
        </w:tc>
        <w:tc>
          <w:tcPr>
            <w:tcW w:w="944" w:type="dxa"/>
            <w:vAlign w:val="center"/>
          </w:tcPr>
          <w:p w14:paraId="31D4615A" w14:textId="48E0AE33"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3BA78333" w14:textId="16497FB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24611CA3" w14:textId="0EAA238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7</w:t>
            </w:r>
          </w:p>
        </w:tc>
        <w:tc>
          <w:tcPr>
            <w:tcW w:w="944" w:type="dxa"/>
            <w:vAlign w:val="center"/>
          </w:tcPr>
          <w:p w14:paraId="3C945C47" w14:textId="4B0A6E70"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45" w:type="dxa"/>
            <w:vAlign w:val="center"/>
          </w:tcPr>
          <w:p w14:paraId="22A4D913" w14:textId="06FCBD88"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3</w:t>
            </w:r>
          </w:p>
        </w:tc>
      </w:tr>
      <w:tr w:rsidR="005B2032" w:rsidRPr="00A41CDE" w14:paraId="4AE80DED" w14:textId="77777777" w:rsidTr="00C2491D">
        <w:trPr>
          <w:trHeight w:val="340"/>
          <w:jc w:val="center"/>
        </w:trPr>
        <w:tc>
          <w:tcPr>
            <w:tcW w:w="2691" w:type="dxa"/>
            <w:vAlign w:val="center"/>
            <w:hideMark/>
          </w:tcPr>
          <w:p w14:paraId="10E12D3C" w14:textId="0229624C"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 xml:space="preserve">Бруто образуване на основен </w:t>
            </w:r>
            <w:r w:rsidR="002A19EC" w:rsidRPr="00A41CDE">
              <w:rPr>
                <w:rFonts w:asciiTheme="minorHAnsi" w:hAnsiTheme="minorHAnsi" w:cstheme="minorHAnsi"/>
                <w:szCs w:val="18"/>
              </w:rPr>
              <w:br/>
            </w:r>
            <w:r w:rsidRPr="00A41CDE">
              <w:rPr>
                <w:rFonts w:asciiTheme="minorHAnsi" w:hAnsiTheme="minorHAnsi" w:cstheme="minorHAnsi"/>
                <w:szCs w:val="18"/>
              </w:rPr>
              <w:t>капитал</w:t>
            </w:r>
          </w:p>
        </w:tc>
        <w:tc>
          <w:tcPr>
            <w:tcW w:w="708" w:type="dxa"/>
            <w:vAlign w:val="center"/>
            <w:hideMark/>
          </w:tcPr>
          <w:p w14:paraId="29911EF4"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P.51</w:t>
            </w:r>
          </w:p>
        </w:tc>
        <w:tc>
          <w:tcPr>
            <w:tcW w:w="944" w:type="dxa"/>
            <w:vAlign w:val="center"/>
          </w:tcPr>
          <w:p w14:paraId="3F5D4D68" w14:textId="28E3AB2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17 774</w:t>
            </w:r>
          </w:p>
        </w:tc>
        <w:tc>
          <w:tcPr>
            <w:tcW w:w="944" w:type="dxa"/>
            <w:vAlign w:val="center"/>
          </w:tcPr>
          <w:p w14:paraId="796F75A8" w14:textId="0532905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-11</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440196EE" w14:textId="157F5263"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7</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944" w:type="dxa"/>
            <w:vAlign w:val="center"/>
          </w:tcPr>
          <w:p w14:paraId="0C080DB1" w14:textId="256BC7C1"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2C0201FD" w14:textId="23BCBA2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5" w:type="dxa"/>
            <w:vAlign w:val="center"/>
          </w:tcPr>
          <w:p w14:paraId="641313B6" w14:textId="5ABBE098"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9</w:t>
            </w:r>
          </w:p>
        </w:tc>
      </w:tr>
      <w:tr w:rsidR="005B2032" w:rsidRPr="00A41CDE" w14:paraId="6CB2A32B" w14:textId="77777777" w:rsidTr="00C2491D">
        <w:trPr>
          <w:trHeight w:val="340"/>
          <w:jc w:val="center"/>
        </w:trPr>
        <w:tc>
          <w:tcPr>
            <w:tcW w:w="2691" w:type="dxa"/>
            <w:vAlign w:val="center"/>
            <w:hideMark/>
          </w:tcPr>
          <w:p w14:paraId="436B0AA6" w14:textId="45C5C1AC"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Изменение на запасите и нетно при</w:t>
            </w:r>
            <w:r w:rsidR="004334CC" w:rsidRPr="00A41CDE">
              <w:rPr>
                <w:rFonts w:asciiTheme="minorHAnsi" w:hAnsiTheme="minorHAnsi" w:cstheme="minorHAnsi"/>
                <w:szCs w:val="18"/>
              </w:rPr>
              <w:t xml:space="preserve"> </w:t>
            </w:r>
            <w:r w:rsidRPr="00A41CDE">
              <w:rPr>
                <w:rFonts w:asciiTheme="minorHAnsi" w:hAnsiTheme="minorHAnsi" w:cstheme="minorHAnsi"/>
                <w:szCs w:val="18"/>
              </w:rPr>
              <w:t>добиване на активи (% от БВП)</w:t>
            </w:r>
          </w:p>
        </w:tc>
        <w:tc>
          <w:tcPr>
            <w:tcW w:w="708" w:type="dxa"/>
            <w:vAlign w:val="center"/>
            <w:hideMark/>
          </w:tcPr>
          <w:p w14:paraId="7C845C11"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P.52+</w:t>
            </w:r>
            <w:r w:rsidRPr="00A41CDE">
              <w:rPr>
                <w:rFonts w:asciiTheme="minorHAnsi" w:hAnsiTheme="minorHAnsi" w:cstheme="minorHAnsi"/>
                <w:szCs w:val="18"/>
              </w:rPr>
              <w:br/>
              <w:t>P.53</w:t>
            </w:r>
          </w:p>
        </w:tc>
        <w:tc>
          <w:tcPr>
            <w:tcW w:w="944" w:type="dxa"/>
            <w:vAlign w:val="center"/>
          </w:tcPr>
          <w:p w14:paraId="7CCCE93D" w14:textId="23CB5BA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2 370</w:t>
            </w:r>
          </w:p>
        </w:tc>
        <w:tc>
          <w:tcPr>
            <w:tcW w:w="944" w:type="dxa"/>
            <w:vAlign w:val="center"/>
          </w:tcPr>
          <w:p w14:paraId="5C1CCD1C" w14:textId="0BA7582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57F58011" w14:textId="5423559A"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003EDE4D" w14:textId="500D54D9"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06E2E673" w14:textId="6511EC6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5" w:type="dxa"/>
            <w:vAlign w:val="center"/>
          </w:tcPr>
          <w:p w14:paraId="49AF7F47" w14:textId="61ED18C4"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r>
      <w:tr w:rsidR="005B2032" w:rsidRPr="00A41CDE" w14:paraId="2F60A394" w14:textId="77777777" w:rsidTr="00C2491D">
        <w:trPr>
          <w:trHeight w:val="340"/>
          <w:jc w:val="center"/>
        </w:trPr>
        <w:tc>
          <w:tcPr>
            <w:tcW w:w="2691" w:type="dxa"/>
            <w:vAlign w:val="center"/>
            <w:hideMark/>
          </w:tcPr>
          <w:p w14:paraId="1C2A981E"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Износ на стоки и услуги</w:t>
            </w:r>
          </w:p>
        </w:tc>
        <w:tc>
          <w:tcPr>
            <w:tcW w:w="708" w:type="dxa"/>
            <w:vAlign w:val="center"/>
            <w:hideMark/>
          </w:tcPr>
          <w:p w14:paraId="291A752A"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P.6</w:t>
            </w:r>
          </w:p>
        </w:tc>
        <w:tc>
          <w:tcPr>
            <w:tcW w:w="944" w:type="dxa"/>
            <w:vAlign w:val="center"/>
          </w:tcPr>
          <w:p w14:paraId="770DA3EC" w14:textId="1118DDCE"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67 121</w:t>
            </w:r>
          </w:p>
        </w:tc>
        <w:tc>
          <w:tcPr>
            <w:tcW w:w="944" w:type="dxa"/>
            <w:vAlign w:val="center"/>
          </w:tcPr>
          <w:p w14:paraId="61568281" w14:textId="173654C0"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9</w:t>
            </w:r>
          </w:p>
        </w:tc>
        <w:tc>
          <w:tcPr>
            <w:tcW w:w="944" w:type="dxa"/>
            <w:vAlign w:val="center"/>
          </w:tcPr>
          <w:p w14:paraId="4ED96CBF" w14:textId="38DA6CA5"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4" w:type="dxa"/>
            <w:vAlign w:val="center"/>
          </w:tcPr>
          <w:p w14:paraId="062DCC15" w14:textId="1DD92144"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44" w:type="dxa"/>
            <w:vAlign w:val="center"/>
          </w:tcPr>
          <w:p w14:paraId="25FAFC4D" w14:textId="104B79E2"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5</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945" w:type="dxa"/>
            <w:vAlign w:val="center"/>
          </w:tcPr>
          <w:p w14:paraId="28ADD211" w14:textId="2D457074"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6</w:t>
            </w:r>
          </w:p>
        </w:tc>
      </w:tr>
      <w:tr w:rsidR="005B2032" w:rsidRPr="00A41CDE" w14:paraId="761CE73A" w14:textId="77777777" w:rsidTr="00C2491D">
        <w:trPr>
          <w:trHeight w:val="340"/>
          <w:jc w:val="center"/>
        </w:trPr>
        <w:tc>
          <w:tcPr>
            <w:tcW w:w="2691" w:type="dxa"/>
            <w:vAlign w:val="center"/>
            <w:hideMark/>
          </w:tcPr>
          <w:p w14:paraId="29703098"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Внос на стоки и услуги</w:t>
            </w:r>
          </w:p>
        </w:tc>
        <w:tc>
          <w:tcPr>
            <w:tcW w:w="708" w:type="dxa"/>
            <w:vAlign w:val="center"/>
            <w:hideMark/>
          </w:tcPr>
          <w:p w14:paraId="50050A2A"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P.7</w:t>
            </w:r>
          </w:p>
        </w:tc>
        <w:tc>
          <w:tcPr>
            <w:tcW w:w="944" w:type="dxa"/>
            <w:vAlign w:val="center"/>
          </w:tcPr>
          <w:p w14:paraId="6C63CA04" w14:textId="132E50F0"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75 121</w:t>
            </w:r>
          </w:p>
        </w:tc>
        <w:tc>
          <w:tcPr>
            <w:tcW w:w="944" w:type="dxa"/>
            <w:vAlign w:val="center"/>
          </w:tcPr>
          <w:p w14:paraId="4B49F6B6" w14:textId="4134407E"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12</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44" w:type="dxa"/>
            <w:vAlign w:val="center"/>
          </w:tcPr>
          <w:p w14:paraId="6F8A7650" w14:textId="5284E5A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5</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44" w:type="dxa"/>
            <w:vAlign w:val="center"/>
          </w:tcPr>
          <w:p w14:paraId="2DE9BEDE" w14:textId="19D8A9A5"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4" w:type="dxa"/>
            <w:vAlign w:val="center"/>
          </w:tcPr>
          <w:p w14:paraId="7B4C2263" w14:textId="54267ADB"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w:t>
            </w:r>
            <w:r w:rsidR="000B3666" w:rsidRPr="00A41CDE">
              <w:rPr>
                <w:rFonts w:asciiTheme="minorHAnsi" w:hAnsiTheme="minorHAnsi" w:cstheme="minorHAnsi"/>
                <w:szCs w:val="18"/>
              </w:rPr>
              <w:t>.</w:t>
            </w:r>
            <w:r w:rsidRPr="00A41CDE">
              <w:rPr>
                <w:rFonts w:asciiTheme="minorHAnsi" w:hAnsiTheme="minorHAnsi" w:cstheme="minorHAnsi"/>
                <w:szCs w:val="18"/>
              </w:rPr>
              <w:t>5</w:t>
            </w:r>
          </w:p>
        </w:tc>
        <w:tc>
          <w:tcPr>
            <w:tcW w:w="945" w:type="dxa"/>
            <w:vAlign w:val="center"/>
          </w:tcPr>
          <w:p w14:paraId="32D024B4" w14:textId="6B192B99"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6</w:t>
            </w:r>
            <w:r w:rsidR="000B3666" w:rsidRPr="00A41CDE">
              <w:rPr>
                <w:rFonts w:asciiTheme="minorHAnsi" w:hAnsiTheme="minorHAnsi" w:cstheme="minorHAnsi"/>
                <w:szCs w:val="18"/>
              </w:rPr>
              <w:t>.</w:t>
            </w:r>
            <w:r w:rsidRPr="00A41CDE">
              <w:rPr>
                <w:rFonts w:asciiTheme="minorHAnsi" w:hAnsiTheme="minorHAnsi" w:cstheme="minorHAnsi"/>
                <w:szCs w:val="18"/>
              </w:rPr>
              <w:t>8</w:t>
            </w:r>
          </w:p>
        </w:tc>
      </w:tr>
      <w:tr w:rsidR="005B2032" w:rsidRPr="00A41CDE" w14:paraId="1541A95A" w14:textId="77777777" w:rsidTr="00C2491D">
        <w:trPr>
          <w:trHeight w:val="340"/>
          <w:jc w:val="center"/>
        </w:trPr>
        <w:tc>
          <w:tcPr>
            <w:tcW w:w="9064" w:type="dxa"/>
            <w:gridSpan w:val="8"/>
            <w:vAlign w:val="center"/>
          </w:tcPr>
          <w:p w14:paraId="4DDF941B" w14:textId="77777777" w:rsidR="00A964EF" w:rsidRPr="00A41CDE" w:rsidRDefault="00A964EF" w:rsidP="004334CC">
            <w:pPr>
              <w:pStyle w:val="tabletextleft"/>
              <w:spacing w:before="120" w:after="120"/>
              <w:jc w:val="right"/>
              <w:rPr>
                <w:rFonts w:asciiTheme="minorHAnsi" w:hAnsiTheme="minorHAnsi" w:cstheme="minorHAnsi"/>
                <w:szCs w:val="18"/>
              </w:rPr>
            </w:pPr>
          </w:p>
        </w:tc>
      </w:tr>
      <w:tr w:rsidR="005B2032" w:rsidRPr="00A41CDE" w14:paraId="791B88D3" w14:textId="77777777" w:rsidTr="00C2491D">
        <w:trPr>
          <w:trHeight w:val="340"/>
          <w:jc w:val="center"/>
        </w:trPr>
        <w:tc>
          <w:tcPr>
            <w:tcW w:w="2691" w:type="dxa"/>
            <w:vAlign w:val="center"/>
            <w:hideMark/>
          </w:tcPr>
          <w:p w14:paraId="130A977F"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Крайно вътрешно търсене</w:t>
            </w:r>
          </w:p>
        </w:tc>
        <w:tc>
          <w:tcPr>
            <w:tcW w:w="708" w:type="dxa"/>
            <w:vAlign w:val="center"/>
          </w:tcPr>
          <w:p w14:paraId="1862A6A6" w14:textId="77777777" w:rsidR="007C6657" w:rsidRPr="00A41CDE" w:rsidRDefault="007C6657" w:rsidP="004334CC">
            <w:pPr>
              <w:pStyle w:val="tabletextleft"/>
              <w:spacing w:before="120" w:after="120"/>
              <w:rPr>
                <w:rFonts w:asciiTheme="minorHAnsi" w:hAnsiTheme="minorHAnsi" w:cstheme="minorHAnsi"/>
                <w:szCs w:val="18"/>
              </w:rPr>
            </w:pPr>
          </w:p>
        </w:tc>
        <w:tc>
          <w:tcPr>
            <w:tcW w:w="944" w:type="dxa"/>
            <w:vAlign w:val="center"/>
          </w:tcPr>
          <w:p w14:paraId="1B9FFB09" w14:textId="7777777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w:t>
            </w:r>
          </w:p>
        </w:tc>
        <w:tc>
          <w:tcPr>
            <w:tcW w:w="944" w:type="dxa"/>
            <w:vAlign w:val="center"/>
          </w:tcPr>
          <w:p w14:paraId="636E3BBE" w14:textId="65F099D6"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44" w:type="dxa"/>
            <w:vAlign w:val="center"/>
          </w:tcPr>
          <w:p w14:paraId="16F6E010" w14:textId="3606841D"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944" w:type="dxa"/>
            <w:vAlign w:val="center"/>
          </w:tcPr>
          <w:p w14:paraId="17FE78D7" w14:textId="20D7906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44" w:type="dxa"/>
            <w:vAlign w:val="center"/>
          </w:tcPr>
          <w:p w14:paraId="186E9E55" w14:textId="001879C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9</w:t>
            </w:r>
          </w:p>
        </w:tc>
        <w:tc>
          <w:tcPr>
            <w:tcW w:w="945" w:type="dxa"/>
            <w:vAlign w:val="center"/>
          </w:tcPr>
          <w:p w14:paraId="66BCEEA1" w14:textId="5EAF3DA9"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7</w:t>
            </w:r>
          </w:p>
        </w:tc>
      </w:tr>
      <w:tr w:rsidR="005B2032" w:rsidRPr="00A41CDE" w14:paraId="7AA3EA12" w14:textId="77777777" w:rsidTr="00C2491D">
        <w:trPr>
          <w:trHeight w:val="340"/>
          <w:jc w:val="center"/>
        </w:trPr>
        <w:tc>
          <w:tcPr>
            <w:tcW w:w="2691" w:type="dxa"/>
            <w:vAlign w:val="center"/>
            <w:hideMark/>
          </w:tcPr>
          <w:p w14:paraId="305D0DE6" w14:textId="724E456F"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Изменение в запасите и нетно при</w:t>
            </w:r>
            <w:r w:rsidR="004334CC" w:rsidRPr="00A41CDE">
              <w:rPr>
                <w:rFonts w:asciiTheme="minorHAnsi" w:hAnsiTheme="minorHAnsi" w:cstheme="minorHAnsi"/>
                <w:szCs w:val="18"/>
              </w:rPr>
              <w:t xml:space="preserve"> </w:t>
            </w:r>
            <w:r w:rsidRPr="00A41CDE">
              <w:rPr>
                <w:rFonts w:asciiTheme="minorHAnsi" w:hAnsiTheme="minorHAnsi" w:cstheme="minorHAnsi"/>
                <w:szCs w:val="18"/>
              </w:rPr>
              <w:t>добиване на активи</w:t>
            </w:r>
          </w:p>
        </w:tc>
        <w:tc>
          <w:tcPr>
            <w:tcW w:w="708" w:type="dxa"/>
            <w:vAlign w:val="center"/>
            <w:hideMark/>
          </w:tcPr>
          <w:p w14:paraId="7CEB0525"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P.52+P.53</w:t>
            </w:r>
          </w:p>
        </w:tc>
        <w:tc>
          <w:tcPr>
            <w:tcW w:w="944" w:type="dxa"/>
            <w:vAlign w:val="center"/>
          </w:tcPr>
          <w:p w14:paraId="5F315F6A" w14:textId="7777777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w:t>
            </w:r>
          </w:p>
        </w:tc>
        <w:tc>
          <w:tcPr>
            <w:tcW w:w="944" w:type="dxa"/>
            <w:vAlign w:val="center"/>
          </w:tcPr>
          <w:p w14:paraId="042652D5" w14:textId="076B105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9</w:t>
            </w:r>
          </w:p>
        </w:tc>
        <w:tc>
          <w:tcPr>
            <w:tcW w:w="944" w:type="dxa"/>
            <w:vAlign w:val="center"/>
          </w:tcPr>
          <w:p w14:paraId="4D446961" w14:textId="322109BD"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4" w:type="dxa"/>
            <w:vAlign w:val="center"/>
          </w:tcPr>
          <w:p w14:paraId="548B8A53" w14:textId="7706C938"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4" w:type="dxa"/>
            <w:vAlign w:val="center"/>
          </w:tcPr>
          <w:p w14:paraId="08467510" w14:textId="44DEFC19"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5" w:type="dxa"/>
            <w:vAlign w:val="center"/>
          </w:tcPr>
          <w:p w14:paraId="1205914D" w14:textId="616A4538"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1</w:t>
            </w:r>
          </w:p>
        </w:tc>
      </w:tr>
      <w:tr w:rsidR="005B2032" w:rsidRPr="00A41CDE" w14:paraId="7A668587" w14:textId="77777777" w:rsidTr="00C2491D">
        <w:trPr>
          <w:trHeight w:val="340"/>
          <w:jc w:val="center"/>
        </w:trPr>
        <w:tc>
          <w:tcPr>
            <w:tcW w:w="2691" w:type="dxa"/>
            <w:vAlign w:val="center"/>
            <w:hideMark/>
          </w:tcPr>
          <w:p w14:paraId="7D57B018" w14:textId="0D7843AE"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 xml:space="preserve">Външен баланс на стоки и </w:t>
            </w:r>
            <w:r w:rsidR="004334CC" w:rsidRPr="00A41CDE">
              <w:rPr>
                <w:rFonts w:asciiTheme="minorHAnsi" w:hAnsiTheme="minorHAnsi" w:cstheme="minorHAnsi"/>
                <w:szCs w:val="18"/>
              </w:rPr>
              <w:br/>
            </w:r>
            <w:r w:rsidRPr="00A41CDE">
              <w:rPr>
                <w:rFonts w:asciiTheme="minorHAnsi" w:hAnsiTheme="minorHAnsi" w:cstheme="minorHAnsi"/>
                <w:szCs w:val="18"/>
              </w:rPr>
              <w:t>услуги</w:t>
            </w:r>
          </w:p>
        </w:tc>
        <w:tc>
          <w:tcPr>
            <w:tcW w:w="708" w:type="dxa"/>
            <w:vAlign w:val="center"/>
            <w:hideMark/>
          </w:tcPr>
          <w:p w14:paraId="280B76CA" w14:textId="77777777" w:rsidR="007C6657" w:rsidRPr="00A41CDE" w:rsidRDefault="007C6657" w:rsidP="004334CC">
            <w:pPr>
              <w:pStyle w:val="tabletextleft"/>
              <w:spacing w:before="120" w:after="120"/>
              <w:rPr>
                <w:rFonts w:asciiTheme="minorHAnsi" w:hAnsiTheme="minorHAnsi" w:cstheme="minorHAnsi"/>
                <w:szCs w:val="18"/>
              </w:rPr>
            </w:pPr>
            <w:r w:rsidRPr="00A41CDE">
              <w:rPr>
                <w:rFonts w:asciiTheme="minorHAnsi" w:hAnsiTheme="minorHAnsi" w:cstheme="minorHAnsi"/>
                <w:szCs w:val="18"/>
              </w:rPr>
              <w:t>B.11</w:t>
            </w:r>
          </w:p>
        </w:tc>
        <w:tc>
          <w:tcPr>
            <w:tcW w:w="944" w:type="dxa"/>
            <w:vAlign w:val="center"/>
          </w:tcPr>
          <w:p w14:paraId="5AD8F6C7" w14:textId="7777777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w:t>
            </w:r>
          </w:p>
        </w:tc>
        <w:tc>
          <w:tcPr>
            <w:tcW w:w="944" w:type="dxa"/>
            <w:vAlign w:val="center"/>
          </w:tcPr>
          <w:p w14:paraId="50801080" w14:textId="36A5E477"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44" w:type="dxa"/>
            <w:vAlign w:val="center"/>
          </w:tcPr>
          <w:p w14:paraId="5C05E108" w14:textId="0E8AE32C"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944" w:type="dxa"/>
            <w:vAlign w:val="center"/>
          </w:tcPr>
          <w:p w14:paraId="6896C446" w14:textId="66F67595"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5</w:t>
            </w:r>
          </w:p>
        </w:tc>
        <w:tc>
          <w:tcPr>
            <w:tcW w:w="944" w:type="dxa"/>
            <w:vAlign w:val="center"/>
          </w:tcPr>
          <w:p w14:paraId="7AF49F7F" w14:textId="52E90A7F"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45" w:type="dxa"/>
            <w:vAlign w:val="center"/>
          </w:tcPr>
          <w:p w14:paraId="1597C4D3" w14:textId="4FEBDB92" w:rsidR="007C6657" w:rsidRPr="00A41CDE" w:rsidRDefault="007C6657" w:rsidP="004334CC">
            <w:pPr>
              <w:pStyle w:val="tabletextleft"/>
              <w:spacing w:before="120" w:after="120"/>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4</w:t>
            </w:r>
          </w:p>
        </w:tc>
      </w:tr>
    </w:tbl>
    <w:p w14:paraId="101A8EC4" w14:textId="77777777" w:rsidR="004334CC" w:rsidRDefault="004334CC" w:rsidP="002A19EC">
      <w:pPr>
        <w:pStyle w:val="Heading2"/>
        <w:numPr>
          <w:ilvl w:val="0"/>
          <w:numId w:val="0"/>
        </w:numPr>
      </w:pPr>
      <w:bookmarkStart w:id="154" w:name="_Toc417566026"/>
      <w:bookmarkStart w:id="155" w:name="_Toc448227312"/>
      <w:bookmarkStart w:id="156" w:name="_Toc479332463"/>
      <w:r>
        <w:br w:type="page"/>
      </w:r>
    </w:p>
    <w:p w14:paraId="4A1D72B2" w14:textId="5FD52C8A" w:rsidR="00A40586" w:rsidRPr="002A19EC" w:rsidRDefault="00A40586" w:rsidP="002A19EC">
      <w:pPr>
        <w:pStyle w:val="Heading2"/>
        <w:numPr>
          <w:ilvl w:val="0"/>
          <w:numId w:val="0"/>
        </w:numPr>
      </w:pPr>
      <w:bookmarkStart w:id="157" w:name="_Toc100906092"/>
      <w:r w:rsidRPr="002A19EC">
        <w:lastRenderedPageBreak/>
        <w:t>Табл. 1б:</w:t>
      </w:r>
      <w:r w:rsidR="002B3ACC" w:rsidRPr="002A19EC">
        <w:t xml:space="preserve"> </w:t>
      </w:r>
      <w:r w:rsidRPr="002A19EC">
        <w:t>Ценова динамика</w:t>
      </w:r>
      <w:bookmarkEnd w:id="154"/>
      <w:bookmarkEnd w:id="155"/>
      <w:bookmarkEnd w:id="156"/>
      <w:bookmarkEnd w:id="157"/>
    </w:p>
    <w:tbl>
      <w:tblPr>
        <w:tblStyle w:val="Style19"/>
        <w:tblW w:w="9072" w:type="dxa"/>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2978"/>
        <w:gridCol w:w="661"/>
        <w:gridCol w:w="848"/>
        <w:gridCol w:w="1055"/>
        <w:gridCol w:w="883"/>
        <w:gridCol w:w="882"/>
        <w:gridCol w:w="882"/>
        <w:gridCol w:w="883"/>
      </w:tblGrid>
      <w:tr w:rsidR="005B2032" w:rsidRPr="00A41CDE" w14:paraId="13B8A4EC" w14:textId="77777777" w:rsidTr="00C2491D">
        <w:trPr>
          <w:trHeight w:val="454"/>
          <w:jc w:val="center"/>
        </w:trPr>
        <w:tc>
          <w:tcPr>
            <w:tcW w:w="2978" w:type="dxa"/>
            <w:vMerge w:val="restart"/>
            <w:shd w:val="clear" w:color="auto" w:fill="D7D4F1"/>
          </w:tcPr>
          <w:p w14:paraId="66C5EACE" w14:textId="77777777" w:rsidR="006B7AF3" w:rsidRPr="00A41CDE" w:rsidRDefault="006B7AF3" w:rsidP="00C1337B">
            <w:pPr>
              <w:pStyle w:val="tabletextleft"/>
              <w:rPr>
                <w:rFonts w:asciiTheme="minorHAnsi" w:hAnsiTheme="minorHAnsi" w:cstheme="minorHAnsi"/>
                <w:szCs w:val="18"/>
              </w:rPr>
            </w:pPr>
          </w:p>
        </w:tc>
        <w:tc>
          <w:tcPr>
            <w:tcW w:w="661" w:type="dxa"/>
            <w:vMerge w:val="restart"/>
            <w:shd w:val="clear" w:color="auto" w:fill="D7D4F1"/>
            <w:vAlign w:val="center"/>
            <w:hideMark/>
          </w:tcPr>
          <w:p w14:paraId="51CDE05D" w14:textId="77777777" w:rsidR="006B7AF3" w:rsidRPr="00A41CDE" w:rsidRDefault="006B7AF3" w:rsidP="00C1337B">
            <w:pPr>
              <w:pStyle w:val="tabletextleft"/>
              <w:rPr>
                <w:rFonts w:asciiTheme="minorHAnsi" w:hAnsiTheme="minorHAnsi" w:cstheme="minorHAnsi"/>
                <w:szCs w:val="18"/>
              </w:rPr>
            </w:pPr>
            <w:r w:rsidRPr="00A41CDE">
              <w:rPr>
                <w:rFonts w:asciiTheme="minorHAnsi" w:hAnsiTheme="minorHAnsi" w:cstheme="minorHAnsi"/>
                <w:szCs w:val="18"/>
              </w:rPr>
              <w:t>Код по ЕСС 2010</w:t>
            </w:r>
          </w:p>
        </w:tc>
        <w:tc>
          <w:tcPr>
            <w:tcW w:w="848" w:type="dxa"/>
            <w:shd w:val="clear" w:color="auto" w:fill="D7D4F1"/>
            <w:vAlign w:val="center"/>
          </w:tcPr>
          <w:p w14:paraId="62252F78" w14:textId="65205419" w:rsidR="006B7AF3" w:rsidRPr="00A41CDE" w:rsidRDefault="004F44ED" w:rsidP="00831051">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1</w:t>
            </w:r>
          </w:p>
        </w:tc>
        <w:tc>
          <w:tcPr>
            <w:tcW w:w="1055" w:type="dxa"/>
            <w:shd w:val="clear" w:color="auto" w:fill="D7D4F1"/>
            <w:vAlign w:val="center"/>
          </w:tcPr>
          <w:p w14:paraId="479AE6B6" w14:textId="167A3936" w:rsidR="006B7AF3" w:rsidRPr="00A41CDE" w:rsidRDefault="004F44ED" w:rsidP="00831051">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1</w:t>
            </w:r>
          </w:p>
        </w:tc>
        <w:tc>
          <w:tcPr>
            <w:tcW w:w="883" w:type="dxa"/>
            <w:shd w:val="clear" w:color="auto" w:fill="D7D4F1"/>
            <w:vAlign w:val="center"/>
          </w:tcPr>
          <w:p w14:paraId="1C919EF9" w14:textId="488D57E6" w:rsidR="006B7AF3" w:rsidRPr="00A41CDE" w:rsidRDefault="004F44ED" w:rsidP="00831051">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2</w:t>
            </w:r>
          </w:p>
        </w:tc>
        <w:tc>
          <w:tcPr>
            <w:tcW w:w="882" w:type="dxa"/>
            <w:shd w:val="clear" w:color="auto" w:fill="D7D4F1"/>
            <w:vAlign w:val="center"/>
          </w:tcPr>
          <w:p w14:paraId="198C7B8B" w14:textId="3CB1AA3B" w:rsidR="006B7AF3" w:rsidRPr="00A41CDE" w:rsidRDefault="004F44ED" w:rsidP="00831051">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3</w:t>
            </w:r>
          </w:p>
        </w:tc>
        <w:tc>
          <w:tcPr>
            <w:tcW w:w="882" w:type="dxa"/>
            <w:shd w:val="clear" w:color="auto" w:fill="D7D4F1"/>
            <w:vAlign w:val="center"/>
          </w:tcPr>
          <w:p w14:paraId="3D6C491B" w14:textId="1F5BE84E" w:rsidR="006B7AF3" w:rsidRPr="00A41CDE" w:rsidRDefault="004F44ED" w:rsidP="00831051">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4</w:t>
            </w:r>
          </w:p>
        </w:tc>
        <w:tc>
          <w:tcPr>
            <w:tcW w:w="883" w:type="dxa"/>
            <w:shd w:val="clear" w:color="auto" w:fill="D7D4F1"/>
            <w:vAlign w:val="center"/>
          </w:tcPr>
          <w:p w14:paraId="7E3D60D4" w14:textId="38DEB5E4" w:rsidR="006B7AF3" w:rsidRPr="00A41CDE" w:rsidRDefault="004F44ED" w:rsidP="00831051">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31051" w:rsidRPr="00A41CDE">
              <w:rPr>
                <w:rFonts w:asciiTheme="minorHAnsi" w:hAnsiTheme="minorHAnsi" w:cstheme="minorHAnsi"/>
                <w:b/>
                <w:szCs w:val="18"/>
              </w:rPr>
              <w:t>5</w:t>
            </w:r>
          </w:p>
        </w:tc>
      </w:tr>
      <w:tr w:rsidR="005B2032" w:rsidRPr="00A41CDE" w14:paraId="790804DB" w14:textId="77777777" w:rsidTr="00C2491D">
        <w:trPr>
          <w:trHeight w:val="454"/>
          <w:jc w:val="center"/>
        </w:trPr>
        <w:tc>
          <w:tcPr>
            <w:tcW w:w="2978" w:type="dxa"/>
            <w:vMerge/>
            <w:shd w:val="clear" w:color="auto" w:fill="D7D4F1"/>
            <w:vAlign w:val="center"/>
            <w:hideMark/>
          </w:tcPr>
          <w:p w14:paraId="2D9BA79C" w14:textId="77777777" w:rsidR="00A964EF" w:rsidRPr="00A41CDE" w:rsidRDefault="00A964EF" w:rsidP="00C1337B">
            <w:pPr>
              <w:pStyle w:val="tabletextleft"/>
              <w:rPr>
                <w:rFonts w:asciiTheme="minorHAnsi" w:hAnsiTheme="minorHAnsi" w:cstheme="minorHAnsi"/>
                <w:szCs w:val="18"/>
              </w:rPr>
            </w:pPr>
          </w:p>
        </w:tc>
        <w:tc>
          <w:tcPr>
            <w:tcW w:w="661" w:type="dxa"/>
            <w:vMerge/>
            <w:shd w:val="clear" w:color="auto" w:fill="D7D4F1"/>
            <w:vAlign w:val="center"/>
            <w:hideMark/>
          </w:tcPr>
          <w:p w14:paraId="4779D627" w14:textId="77777777" w:rsidR="00A964EF" w:rsidRPr="00A41CDE" w:rsidRDefault="00A964EF" w:rsidP="00C1337B">
            <w:pPr>
              <w:pStyle w:val="tabletextleft"/>
              <w:rPr>
                <w:rFonts w:asciiTheme="minorHAnsi" w:hAnsiTheme="minorHAnsi" w:cstheme="minorHAnsi"/>
                <w:szCs w:val="18"/>
              </w:rPr>
            </w:pPr>
          </w:p>
        </w:tc>
        <w:tc>
          <w:tcPr>
            <w:tcW w:w="848" w:type="dxa"/>
            <w:shd w:val="clear" w:color="auto" w:fill="D7D4F1"/>
            <w:vAlign w:val="center"/>
            <w:hideMark/>
          </w:tcPr>
          <w:p w14:paraId="28195EC6"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Равнище</w:t>
            </w:r>
          </w:p>
        </w:tc>
        <w:tc>
          <w:tcPr>
            <w:tcW w:w="1055" w:type="dxa"/>
            <w:shd w:val="clear" w:color="auto" w:fill="D7D4F1"/>
            <w:vAlign w:val="center"/>
            <w:hideMark/>
          </w:tcPr>
          <w:p w14:paraId="7055AC24"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r w:rsidRPr="00A41CDE">
              <w:rPr>
                <w:rFonts w:asciiTheme="minorHAnsi" w:hAnsiTheme="minorHAnsi" w:cstheme="minorHAnsi"/>
                <w:szCs w:val="18"/>
                <w:vertAlign w:val="superscript"/>
              </w:rPr>
              <w:footnoteReference w:id="34"/>
            </w:r>
          </w:p>
        </w:tc>
        <w:tc>
          <w:tcPr>
            <w:tcW w:w="883" w:type="dxa"/>
            <w:shd w:val="clear" w:color="auto" w:fill="D7D4F1"/>
            <w:vAlign w:val="center"/>
            <w:hideMark/>
          </w:tcPr>
          <w:p w14:paraId="21B9D598"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882" w:type="dxa"/>
            <w:shd w:val="clear" w:color="auto" w:fill="D7D4F1"/>
            <w:vAlign w:val="center"/>
            <w:hideMark/>
          </w:tcPr>
          <w:p w14:paraId="7143ED13"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882" w:type="dxa"/>
            <w:shd w:val="clear" w:color="auto" w:fill="D7D4F1"/>
            <w:vAlign w:val="center"/>
            <w:hideMark/>
          </w:tcPr>
          <w:p w14:paraId="55EAEF55"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883" w:type="dxa"/>
            <w:shd w:val="clear" w:color="auto" w:fill="D7D4F1"/>
            <w:vAlign w:val="center"/>
            <w:hideMark/>
          </w:tcPr>
          <w:p w14:paraId="30EC6C6B"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r>
      <w:tr w:rsidR="005B2032" w:rsidRPr="00A41CDE" w14:paraId="7B69A805" w14:textId="77777777" w:rsidTr="00C2491D">
        <w:trPr>
          <w:trHeight w:val="454"/>
          <w:jc w:val="center"/>
        </w:trPr>
        <w:tc>
          <w:tcPr>
            <w:tcW w:w="2978" w:type="dxa"/>
            <w:vAlign w:val="center"/>
            <w:hideMark/>
          </w:tcPr>
          <w:p w14:paraId="43AF4A68"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Дефлатор на БВП</w:t>
            </w:r>
          </w:p>
        </w:tc>
        <w:tc>
          <w:tcPr>
            <w:tcW w:w="661" w:type="dxa"/>
            <w:vAlign w:val="center"/>
          </w:tcPr>
          <w:p w14:paraId="36C65392"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7180CF12"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7594C6DE" w14:textId="463A918E"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6</w:t>
            </w:r>
            <w:r w:rsidR="000B3666" w:rsidRPr="00A41CDE">
              <w:rPr>
                <w:rFonts w:ascii="Calibri" w:hAnsi="Calibri" w:cs="Calibri"/>
                <w:szCs w:val="18"/>
              </w:rPr>
              <w:t>.</w:t>
            </w:r>
            <w:r w:rsidRPr="00A41CDE">
              <w:rPr>
                <w:rFonts w:ascii="Calibri" w:hAnsi="Calibri" w:cs="Calibri"/>
                <w:szCs w:val="18"/>
              </w:rPr>
              <w:t>2</w:t>
            </w:r>
          </w:p>
        </w:tc>
        <w:tc>
          <w:tcPr>
            <w:tcW w:w="883" w:type="dxa"/>
            <w:vAlign w:val="bottom"/>
          </w:tcPr>
          <w:p w14:paraId="679E310D" w14:textId="33A6D2D9"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8</w:t>
            </w:r>
            <w:r w:rsidR="000B3666" w:rsidRPr="00A41CDE">
              <w:rPr>
                <w:rFonts w:ascii="Calibri" w:hAnsi="Calibri" w:cs="Calibri"/>
                <w:szCs w:val="18"/>
              </w:rPr>
              <w:t>.</w:t>
            </w:r>
            <w:r w:rsidRPr="00A41CDE">
              <w:rPr>
                <w:rFonts w:ascii="Calibri" w:hAnsi="Calibri" w:cs="Calibri"/>
                <w:szCs w:val="18"/>
              </w:rPr>
              <w:t>2</w:t>
            </w:r>
          </w:p>
        </w:tc>
        <w:tc>
          <w:tcPr>
            <w:tcW w:w="882" w:type="dxa"/>
            <w:vAlign w:val="bottom"/>
          </w:tcPr>
          <w:p w14:paraId="3ACCAA0C" w14:textId="1ADD09E8"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6</w:t>
            </w:r>
            <w:r w:rsidR="000B3666" w:rsidRPr="00A41CDE">
              <w:rPr>
                <w:rFonts w:ascii="Calibri" w:hAnsi="Calibri" w:cs="Calibri"/>
                <w:szCs w:val="18"/>
              </w:rPr>
              <w:t>.</w:t>
            </w:r>
            <w:r w:rsidRPr="00A41CDE">
              <w:rPr>
                <w:rFonts w:ascii="Calibri" w:hAnsi="Calibri" w:cs="Calibri"/>
                <w:szCs w:val="18"/>
              </w:rPr>
              <w:t>1</w:t>
            </w:r>
          </w:p>
        </w:tc>
        <w:tc>
          <w:tcPr>
            <w:tcW w:w="882" w:type="dxa"/>
            <w:vAlign w:val="bottom"/>
          </w:tcPr>
          <w:p w14:paraId="58A45E88" w14:textId="3BF8780F"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3</w:t>
            </w:r>
            <w:r w:rsidR="000B3666" w:rsidRPr="00A41CDE">
              <w:rPr>
                <w:rFonts w:ascii="Calibri" w:hAnsi="Calibri" w:cs="Calibri"/>
                <w:szCs w:val="18"/>
              </w:rPr>
              <w:t>.</w:t>
            </w:r>
            <w:r w:rsidRPr="00A41CDE">
              <w:rPr>
                <w:rFonts w:ascii="Calibri" w:hAnsi="Calibri" w:cs="Calibri"/>
                <w:szCs w:val="18"/>
              </w:rPr>
              <w:t>7</w:t>
            </w:r>
          </w:p>
        </w:tc>
        <w:tc>
          <w:tcPr>
            <w:tcW w:w="883" w:type="dxa"/>
            <w:vAlign w:val="bottom"/>
          </w:tcPr>
          <w:p w14:paraId="34CB6EE2" w14:textId="5E7B1D99"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7</w:t>
            </w:r>
          </w:p>
        </w:tc>
      </w:tr>
      <w:tr w:rsidR="005B2032" w:rsidRPr="00A41CDE" w14:paraId="07F6C617" w14:textId="77777777" w:rsidTr="00C2491D">
        <w:trPr>
          <w:trHeight w:val="454"/>
          <w:jc w:val="center"/>
        </w:trPr>
        <w:tc>
          <w:tcPr>
            <w:tcW w:w="2978" w:type="dxa"/>
            <w:vAlign w:val="center"/>
            <w:hideMark/>
          </w:tcPr>
          <w:p w14:paraId="1F5FB271"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Дефлатор на частното потребление</w:t>
            </w:r>
          </w:p>
        </w:tc>
        <w:tc>
          <w:tcPr>
            <w:tcW w:w="661" w:type="dxa"/>
            <w:vAlign w:val="center"/>
          </w:tcPr>
          <w:p w14:paraId="354D5ECF"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743B0928"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17DB3B32" w14:textId="39BFCE16"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3</w:t>
            </w:r>
            <w:r w:rsidR="000B3666" w:rsidRPr="00A41CDE">
              <w:rPr>
                <w:rFonts w:ascii="Calibri" w:hAnsi="Calibri" w:cs="Calibri"/>
                <w:szCs w:val="18"/>
              </w:rPr>
              <w:t>.</w:t>
            </w:r>
            <w:r w:rsidRPr="00A41CDE">
              <w:rPr>
                <w:rFonts w:ascii="Calibri" w:hAnsi="Calibri" w:cs="Calibri"/>
                <w:szCs w:val="18"/>
              </w:rPr>
              <w:t>6</w:t>
            </w:r>
          </w:p>
        </w:tc>
        <w:tc>
          <w:tcPr>
            <w:tcW w:w="883" w:type="dxa"/>
            <w:vAlign w:val="bottom"/>
          </w:tcPr>
          <w:p w14:paraId="507AA3C9" w14:textId="462CE8ED"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7</w:t>
            </w:r>
            <w:r w:rsidR="000B3666" w:rsidRPr="00A41CDE">
              <w:rPr>
                <w:rFonts w:ascii="Calibri" w:hAnsi="Calibri" w:cs="Calibri"/>
                <w:szCs w:val="18"/>
              </w:rPr>
              <w:t>.</w:t>
            </w:r>
            <w:r w:rsidRPr="00A41CDE">
              <w:rPr>
                <w:rFonts w:ascii="Calibri" w:hAnsi="Calibri" w:cs="Calibri"/>
                <w:szCs w:val="18"/>
              </w:rPr>
              <w:t>9</w:t>
            </w:r>
          </w:p>
        </w:tc>
        <w:tc>
          <w:tcPr>
            <w:tcW w:w="882" w:type="dxa"/>
            <w:vAlign w:val="bottom"/>
          </w:tcPr>
          <w:p w14:paraId="0BEA3FD2" w14:textId="1CCF3CF6"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3</w:t>
            </w:r>
            <w:r w:rsidR="000B3666" w:rsidRPr="00A41CDE">
              <w:rPr>
                <w:rFonts w:ascii="Calibri" w:hAnsi="Calibri" w:cs="Calibri"/>
                <w:szCs w:val="18"/>
              </w:rPr>
              <w:t>.</w:t>
            </w:r>
            <w:r w:rsidRPr="00A41CDE">
              <w:rPr>
                <w:rFonts w:ascii="Calibri" w:hAnsi="Calibri" w:cs="Calibri"/>
                <w:szCs w:val="18"/>
              </w:rPr>
              <w:t>6</w:t>
            </w:r>
          </w:p>
        </w:tc>
        <w:tc>
          <w:tcPr>
            <w:tcW w:w="882" w:type="dxa"/>
            <w:vAlign w:val="bottom"/>
          </w:tcPr>
          <w:p w14:paraId="349F210C" w14:textId="156A0514"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6</w:t>
            </w:r>
          </w:p>
        </w:tc>
        <w:tc>
          <w:tcPr>
            <w:tcW w:w="883" w:type="dxa"/>
            <w:vAlign w:val="bottom"/>
          </w:tcPr>
          <w:p w14:paraId="57C3A751" w14:textId="6ACD81E9"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2</w:t>
            </w:r>
          </w:p>
        </w:tc>
      </w:tr>
      <w:tr w:rsidR="005B2032" w:rsidRPr="00A41CDE" w14:paraId="0EE5BE23" w14:textId="77777777" w:rsidTr="00C2491D">
        <w:trPr>
          <w:trHeight w:val="454"/>
          <w:jc w:val="center"/>
        </w:trPr>
        <w:tc>
          <w:tcPr>
            <w:tcW w:w="2978" w:type="dxa"/>
            <w:vAlign w:val="center"/>
            <w:hideMark/>
          </w:tcPr>
          <w:p w14:paraId="211A16E8"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ХИПЦ</w:t>
            </w:r>
            <w:r w:rsidRPr="00A41CDE">
              <w:rPr>
                <w:rFonts w:asciiTheme="minorHAnsi" w:hAnsiTheme="minorHAnsi" w:cstheme="minorHAnsi"/>
                <w:szCs w:val="18"/>
              </w:rPr>
              <w:footnoteReference w:id="35"/>
            </w:r>
          </w:p>
        </w:tc>
        <w:tc>
          <w:tcPr>
            <w:tcW w:w="661" w:type="dxa"/>
            <w:vAlign w:val="center"/>
          </w:tcPr>
          <w:p w14:paraId="00ED7EC1"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322455A1"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36F5DF13" w14:textId="6D4C5705"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8</w:t>
            </w:r>
          </w:p>
        </w:tc>
        <w:tc>
          <w:tcPr>
            <w:tcW w:w="883" w:type="dxa"/>
            <w:vAlign w:val="bottom"/>
          </w:tcPr>
          <w:p w14:paraId="117BBC3A" w14:textId="5362D9A6"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10</w:t>
            </w:r>
            <w:r w:rsidR="000B3666" w:rsidRPr="00A41CDE">
              <w:rPr>
                <w:rFonts w:ascii="Calibri" w:hAnsi="Calibri" w:cs="Calibri"/>
                <w:szCs w:val="18"/>
              </w:rPr>
              <w:t>.</w:t>
            </w:r>
            <w:r w:rsidRPr="00A41CDE">
              <w:rPr>
                <w:rFonts w:ascii="Calibri" w:hAnsi="Calibri" w:cs="Calibri"/>
                <w:szCs w:val="18"/>
              </w:rPr>
              <w:t>4</w:t>
            </w:r>
          </w:p>
        </w:tc>
        <w:tc>
          <w:tcPr>
            <w:tcW w:w="882" w:type="dxa"/>
            <w:vAlign w:val="bottom"/>
          </w:tcPr>
          <w:p w14:paraId="52F0B078" w14:textId="04F1023D"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5</w:t>
            </w:r>
            <w:r w:rsidR="000B3666" w:rsidRPr="00A41CDE">
              <w:rPr>
                <w:rFonts w:ascii="Calibri" w:hAnsi="Calibri" w:cs="Calibri"/>
                <w:szCs w:val="18"/>
              </w:rPr>
              <w:t>.</w:t>
            </w:r>
            <w:r w:rsidRPr="00A41CDE">
              <w:rPr>
                <w:rFonts w:ascii="Calibri" w:hAnsi="Calibri" w:cs="Calibri"/>
                <w:szCs w:val="18"/>
              </w:rPr>
              <w:t>1</w:t>
            </w:r>
          </w:p>
        </w:tc>
        <w:tc>
          <w:tcPr>
            <w:tcW w:w="882" w:type="dxa"/>
            <w:vAlign w:val="bottom"/>
          </w:tcPr>
          <w:p w14:paraId="76AEDCA8" w14:textId="2E08AAD9"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7</w:t>
            </w:r>
          </w:p>
        </w:tc>
        <w:tc>
          <w:tcPr>
            <w:tcW w:w="883" w:type="dxa"/>
            <w:vAlign w:val="bottom"/>
          </w:tcPr>
          <w:p w14:paraId="2D541CE8" w14:textId="76A9B05B"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3</w:t>
            </w:r>
          </w:p>
        </w:tc>
      </w:tr>
      <w:tr w:rsidR="005B2032" w:rsidRPr="00A41CDE" w14:paraId="2889A1C0" w14:textId="77777777" w:rsidTr="00C2491D">
        <w:trPr>
          <w:trHeight w:val="454"/>
          <w:jc w:val="center"/>
        </w:trPr>
        <w:tc>
          <w:tcPr>
            <w:tcW w:w="2978" w:type="dxa"/>
            <w:vAlign w:val="center"/>
            <w:hideMark/>
          </w:tcPr>
          <w:p w14:paraId="1EBBEDA1"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 xml:space="preserve">Дефлатор на правителственото </w:t>
            </w:r>
            <w:r w:rsidRPr="00A41CDE">
              <w:rPr>
                <w:rFonts w:asciiTheme="minorHAnsi" w:hAnsiTheme="minorHAnsi" w:cstheme="minorHAnsi"/>
                <w:szCs w:val="18"/>
              </w:rPr>
              <w:br/>
              <w:t>потребление</w:t>
            </w:r>
          </w:p>
        </w:tc>
        <w:tc>
          <w:tcPr>
            <w:tcW w:w="661" w:type="dxa"/>
            <w:vAlign w:val="center"/>
          </w:tcPr>
          <w:p w14:paraId="2A97F3B6"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226D45C4"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551A2FF7" w14:textId="5D035DE3"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9</w:t>
            </w:r>
            <w:r w:rsidR="000B3666" w:rsidRPr="00A41CDE">
              <w:rPr>
                <w:rFonts w:ascii="Calibri" w:hAnsi="Calibri" w:cs="Calibri"/>
                <w:szCs w:val="18"/>
              </w:rPr>
              <w:t>.</w:t>
            </w:r>
            <w:r w:rsidRPr="00A41CDE">
              <w:rPr>
                <w:rFonts w:ascii="Calibri" w:hAnsi="Calibri" w:cs="Calibri"/>
                <w:szCs w:val="18"/>
              </w:rPr>
              <w:t>2</w:t>
            </w:r>
          </w:p>
        </w:tc>
        <w:tc>
          <w:tcPr>
            <w:tcW w:w="883" w:type="dxa"/>
            <w:vAlign w:val="bottom"/>
          </w:tcPr>
          <w:p w14:paraId="68AF06AC" w14:textId="736CAE56"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10</w:t>
            </w:r>
            <w:r w:rsidR="000B3666" w:rsidRPr="00A41CDE">
              <w:rPr>
                <w:rFonts w:ascii="Calibri" w:hAnsi="Calibri" w:cs="Calibri"/>
                <w:szCs w:val="18"/>
              </w:rPr>
              <w:t>.</w:t>
            </w:r>
            <w:r w:rsidRPr="00A41CDE">
              <w:rPr>
                <w:rFonts w:ascii="Calibri" w:hAnsi="Calibri" w:cs="Calibri"/>
                <w:szCs w:val="18"/>
              </w:rPr>
              <w:t>2</w:t>
            </w:r>
          </w:p>
        </w:tc>
        <w:tc>
          <w:tcPr>
            <w:tcW w:w="882" w:type="dxa"/>
            <w:vAlign w:val="bottom"/>
          </w:tcPr>
          <w:p w14:paraId="1D9FDC90" w14:textId="339800DA"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9</w:t>
            </w:r>
          </w:p>
        </w:tc>
        <w:tc>
          <w:tcPr>
            <w:tcW w:w="882" w:type="dxa"/>
            <w:vAlign w:val="bottom"/>
          </w:tcPr>
          <w:p w14:paraId="18DD3F41" w14:textId="602422A3"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w:t>
            </w:r>
            <w:r w:rsidR="000B3666" w:rsidRPr="00A41CDE">
              <w:rPr>
                <w:rFonts w:ascii="Calibri" w:hAnsi="Calibri" w:cs="Calibri"/>
                <w:szCs w:val="18"/>
              </w:rPr>
              <w:t>.</w:t>
            </w:r>
            <w:r w:rsidRPr="00A41CDE">
              <w:rPr>
                <w:rFonts w:ascii="Calibri" w:hAnsi="Calibri" w:cs="Calibri"/>
                <w:szCs w:val="18"/>
              </w:rPr>
              <w:t>0</w:t>
            </w:r>
          </w:p>
        </w:tc>
        <w:tc>
          <w:tcPr>
            <w:tcW w:w="883" w:type="dxa"/>
            <w:vAlign w:val="bottom"/>
          </w:tcPr>
          <w:p w14:paraId="7AD06A44" w14:textId="1407B970"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w:t>
            </w:r>
            <w:r w:rsidR="000B3666" w:rsidRPr="00A41CDE">
              <w:rPr>
                <w:rFonts w:ascii="Calibri" w:hAnsi="Calibri" w:cs="Calibri"/>
                <w:szCs w:val="18"/>
              </w:rPr>
              <w:t>.</w:t>
            </w:r>
            <w:r w:rsidRPr="00A41CDE">
              <w:rPr>
                <w:rFonts w:ascii="Calibri" w:hAnsi="Calibri" w:cs="Calibri"/>
                <w:szCs w:val="18"/>
              </w:rPr>
              <w:t>9</w:t>
            </w:r>
          </w:p>
        </w:tc>
      </w:tr>
      <w:tr w:rsidR="005B2032" w:rsidRPr="00A41CDE" w14:paraId="5EA852AF" w14:textId="77777777" w:rsidTr="00C2491D">
        <w:trPr>
          <w:trHeight w:val="454"/>
          <w:jc w:val="center"/>
        </w:trPr>
        <w:tc>
          <w:tcPr>
            <w:tcW w:w="2978" w:type="dxa"/>
            <w:vAlign w:val="center"/>
            <w:hideMark/>
          </w:tcPr>
          <w:p w14:paraId="430EFDB8"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Дефлатор на инвестициите</w:t>
            </w:r>
          </w:p>
        </w:tc>
        <w:tc>
          <w:tcPr>
            <w:tcW w:w="661" w:type="dxa"/>
            <w:vAlign w:val="center"/>
          </w:tcPr>
          <w:p w14:paraId="312853D0"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73240F7A"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4972AF02" w14:textId="48BAF600"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7</w:t>
            </w:r>
            <w:r w:rsidR="000B3666" w:rsidRPr="00A41CDE">
              <w:rPr>
                <w:rFonts w:ascii="Calibri" w:hAnsi="Calibri" w:cs="Calibri"/>
                <w:szCs w:val="18"/>
              </w:rPr>
              <w:t>.</w:t>
            </w:r>
            <w:r w:rsidRPr="00A41CDE">
              <w:rPr>
                <w:rFonts w:ascii="Calibri" w:hAnsi="Calibri" w:cs="Calibri"/>
                <w:szCs w:val="18"/>
              </w:rPr>
              <w:t>6</w:t>
            </w:r>
          </w:p>
        </w:tc>
        <w:tc>
          <w:tcPr>
            <w:tcW w:w="883" w:type="dxa"/>
            <w:vAlign w:val="bottom"/>
          </w:tcPr>
          <w:p w14:paraId="4FB0CAF3" w14:textId="29259620"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10</w:t>
            </w:r>
            <w:r w:rsidR="000B3666" w:rsidRPr="00A41CDE">
              <w:rPr>
                <w:rFonts w:ascii="Calibri" w:hAnsi="Calibri" w:cs="Calibri"/>
                <w:szCs w:val="18"/>
              </w:rPr>
              <w:t>.</w:t>
            </w:r>
            <w:r w:rsidRPr="00A41CDE">
              <w:rPr>
                <w:rFonts w:ascii="Calibri" w:hAnsi="Calibri" w:cs="Calibri"/>
                <w:szCs w:val="18"/>
              </w:rPr>
              <w:t>3</w:t>
            </w:r>
          </w:p>
        </w:tc>
        <w:tc>
          <w:tcPr>
            <w:tcW w:w="882" w:type="dxa"/>
            <w:vAlign w:val="bottom"/>
          </w:tcPr>
          <w:p w14:paraId="4C66A358" w14:textId="531D8BA5"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5</w:t>
            </w:r>
            <w:r w:rsidR="000B3666" w:rsidRPr="00A41CDE">
              <w:rPr>
                <w:rFonts w:ascii="Calibri" w:hAnsi="Calibri" w:cs="Calibri"/>
                <w:szCs w:val="18"/>
              </w:rPr>
              <w:t>.</w:t>
            </w:r>
            <w:r w:rsidRPr="00A41CDE">
              <w:rPr>
                <w:rFonts w:ascii="Calibri" w:hAnsi="Calibri" w:cs="Calibri"/>
                <w:szCs w:val="18"/>
              </w:rPr>
              <w:t>6</w:t>
            </w:r>
          </w:p>
        </w:tc>
        <w:tc>
          <w:tcPr>
            <w:tcW w:w="882" w:type="dxa"/>
            <w:vAlign w:val="bottom"/>
          </w:tcPr>
          <w:p w14:paraId="1895435C" w14:textId="369D5A9B"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8</w:t>
            </w:r>
          </w:p>
        </w:tc>
        <w:tc>
          <w:tcPr>
            <w:tcW w:w="883" w:type="dxa"/>
            <w:vAlign w:val="bottom"/>
          </w:tcPr>
          <w:p w14:paraId="3145D27A" w14:textId="075682DB"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3</w:t>
            </w:r>
          </w:p>
        </w:tc>
      </w:tr>
      <w:tr w:rsidR="005B2032" w:rsidRPr="00A41CDE" w14:paraId="273FAB36" w14:textId="77777777" w:rsidTr="00C2491D">
        <w:trPr>
          <w:trHeight w:val="454"/>
          <w:jc w:val="center"/>
        </w:trPr>
        <w:tc>
          <w:tcPr>
            <w:tcW w:w="2978" w:type="dxa"/>
            <w:vAlign w:val="center"/>
            <w:hideMark/>
          </w:tcPr>
          <w:p w14:paraId="7A78DE89"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 xml:space="preserve">Дефлатор на цените на износа </w:t>
            </w:r>
            <w:r w:rsidRPr="00A41CDE">
              <w:rPr>
                <w:rFonts w:asciiTheme="minorHAnsi" w:hAnsiTheme="minorHAnsi" w:cstheme="minorHAnsi"/>
                <w:szCs w:val="18"/>
              </w:rPr>
              <w:br/>
              <w:t>(стоки и услуги)</w:t>
            </w:r>
          </w:p>
        </w:tc>
        <w:tc>
          <w:tcPr>
            <w:tcW w:w="661" w:type="dxa"/>
            <w:vAlign w:val="center"/>
          </w:tcPr>
          <w:p w14:paraId="09FE1B3E"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7467DB88"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4F5DF195" w14:textId="461832AD"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14</w:t>
            </w:r>
            <w:r w:rsidR="000B3666" w:rsidRPr="00A41CDE">
              <w:rPr>
                <w:rFonts w:ascii="Calibri" w:hAnsi="Calibri" w:cs="Calibri"/>
                <w:szCs w:val="18"/>
              </w:rPr>
              <w:t>.</w:t>
            </w:r>
            <w:r w:rsidRPr="00A41CDE">
              <w:rPr>
                <w:rFonts w:ascii="Calibri" w:hAnsi="Calibri" w:cs="Calibri"/>
                <w:szCs w:val="18"/>
              </w:rPr>
              <w:t>7</w:t>
            </w:r>
          </w:p>
        </w:tc>
        <w:tc>
          <w:tcPr>
            <w:tcW w:w="883" w:type="dxa"/>
            <w:vAlign w:val="bottom"/>
          </w:tcPr>
          <w:p w14:paraId="6209C0A9" w14:textId="1FF6B25C"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21</w:t>
            </w:r>
            <w:r w:rsidR="000B3666" w:rsidRPr="00A41CDE">
              <w:rPr>
                <w:rFonts w:ascii="Calibri" w:hAnsi="Calibri" w:cs="Calibri"/>
                <w:szCs w:val="18"/>
              </w:rPr>
              <w:t>.</w:t>
            </w:r>
            <w:r w:rsidRPr="00A41CDE">
              <w:rPr>
                <w:rFonts w:ascii="Calibri" w:hAnsi="Calibri" w:cs="Calibri"/>
                <w:szCs w:val="18"/>
              </w:rPr>
              <w:t>1</w:t>
            </w:r>
          </w:p>
        </w:tc>
        <w:tc>
          <w:tcPr>
            <w:tcW w:w="882" w:type="dxa"/>
            <w:vAlign w:val="bottom"/>
          </w:tcPr>
          <w:p w14:paraId="2B3103F0" w14:textId="2CA7018D"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w:t>
            </w:r>
            <w:r w:rsidR="000B3666" w:rsidRPr="00A41CDE">
              <w:rPr>
                <w:rFonts w:ascii="Calibri" w:hAnsi="Calibri" w:cs="Calibri"/>
                <w:szCs w:val="18"/>
              </w:rPr>
              <w:t>.</w:t>
            </w:r>
            <w:r w:rsidRPr="00A41CDE">
              <w:rPr>
                <w:rFonts w:ascii="Calibri" w:hAnsi="Calibri" w:cs="Calibri"/>
                <w:szCs w:val="18"/>
              </w:rPr>
              <w:t>2</w:t>
            </w:r>
          </w:p>
        </w:tc>
        <w:tc>
          <w:tcPr>
            <w:tcW w:w="882" w:type="dxa"/>
            <w:vAlign w:val="bottom"/>
          </w:tcPr>
          <w:p w14:paraId="1270E149" w14:textId="57C8827A"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-0</w:t>
            </w:r>
            <w:r w:rsidR="000B3666" w:rsidRPr="00A41CDE">
              <w:rPr>
                <w:rFonts w:ascii="Calibri" w:hAnsi="Calibri" w:cs="Calibri"/>
                <w:szCs w:val="18"/>
              </w:rPr>
              <w:t>.</w:t>
            </w:r>
            <w:r w:rsidRPr="00A41CDE">
              <w:rPr>
                <w:rFonts w:ascii="Calibri" w:hAnsi="Calibri" w:cs="Calibri"/>
                <w:szCs w:val="18"/>
              </w:rPr>
              <w:t>2</w:t>
            </w:r>
          </w:p>
        </w:tc>
        <w:tc>
          <w:tcPr>
            <w:tcW w:w="883" w:type="dxa"/>
            <w:vAlign w:val="bottom"/>
          </w:tcPr>
          <w:p w14:paraId="0F7F71DC" w14:textId="7F4DCDBE"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0</w:t>
            </w:r>
            <w:r w:rsidR="000B3666" w:rsidRPr="00A41CDE">
              <w:rPr>
                <w:rFonts w:ascii="Calibri" w:hAnsi="Calibri" w:cs="Calibri"/>
                <w:szCs w:val="18"/>
              </w:rPr>
              <w:t>.</w:t>
            </w:r>
            <w:r w:rsidRPr="00A41CDE">
              <w:rPr>
                <w:rFonts w:ascii="Calibri" w:hAnsi="Calibri" w:cs="Calibri"/>
                <w:szCs w:val="18"/>
              </w:rPr>
              <w:t>2</w:t>
            </w:r>
          </w:p>
        </w:tc>
      </w:tr>
      <w:tr w:rsidR="005B2032" w:rsidRPr="00A41CDE" w14:paraId="63C3C4B2" w14:textId="77777777" w:rsidTr="00C2491D">
        <w:trPr>
          <w:trHeight w:val="454"/>
          <w:jc w:val="center"/>
        </w:trPr>
        <w:tc>
          <w:tcPr>
            <w:tcW w:w="2978" w:type="dxa"/>
            <w:vAlign w:val="center"/>
            <w:hideMark/>
          </w:tcPr>
          <w:p w14:paraId="5098097D"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 xml:space="preserve">Дефлатор на цените на вноса </w:t>
            </w:r>
            <w:r w:rsidRPr="00A41CDE">
              <w:rPr>
                <w:rFonts w:asciiTheme="minorHAnsi" w:hAnsiTheme="minorHAnsi" w:cstheme="minorHAnsi"/>
                <w:szCs w:val="18"/>
              </w:rPr>
              <w:br/>
              <w:t>(стоки и услуги)</w:t>
            </w:r>
          </w:p>
        </w:tc>
        <w:tc>
          <w:tcPr>
            <w:tcW w:w="661" w:type="dxa"/>
            <w:vAlign w:val="center"/>
          </w:tcPr>
          <w:p w14:paraId="73B0D633" w14:textId="77777777" w:rsidR="007C6657" w:rsidRPr="00A41CDE" w:rsidRDefault="007C6657" w:rsidP="007C6657">
            <w:pPr>
              <w:pStyle w:val="tabletextleft"/>
              <w:rPr>
                <w:rFonts w:asciiTheme="minorHAnsi" w:hAnsiTheme="minorHAnsi" w:cstheme="minorHAnsi"/>
                <w:szCs w:val="18"/>
              </w:rPr>
            </w:pPr>
          </w:p>
        </w:tc>
        <w:tc>
          <w:tcPr>
            <w:tcW w:w="848" w:type="dxa"/>
            <w:vAlign w:val="center"/>
          </w:tcPr>
          <w:p w14:paraId="621661E7" w14:textId="77777777" w:rsidR="007C6657" w:rsidRPr="00A41CDE" w:rsidRDefault="007C6657" w:rsidP="007C6657">
            <w:pPr>
              <w:pStyle w:val="tabletextleft"/>
              <w:jc w:val="right"/>
              <w:rPr>
                <w:rFonts w:asciiTheme="minorHAnsi" w:hAnsiTheme="minorHAnsi" w:cstheme="minorHAnsi"/>
                <w:szCs w:val="18"/>
              </w:rPr>
            </w:pPr>
            <w:r w:rsidRPr="00A41CDE">
              <w:rPr>
                <w:rFonts w:asciiTheme="minorHAnsi" w:hAnsiTheme="minorHAnsi" w:cstheme="minorHAnsi"/>
                <w:szCs w:val="18"/>
              </w:rPr>
              <w:t>100</w:t>
            </w:r>
          </w:p>
        </w:tc>
        <w:tc>
          <w:tcPr>
            <w:tcW w:w="1055" w:type="dxa"/>
            <w:vAlign w:val="bottom"/>
          </w:tcPr>
          <w:p w14:paraId="0FB6D308" w14:textId="7E5A97C3"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13</w:t>
            </w:r>
            <w:r w:rsidR="000B3666" w:rsidRPr="00A41CDE">
              <w:rPr>
                <w:rFonts w:ascii="Calibri" w:hAnsi="Calibri" w:cs="Calibri"/>
                <w:szCs w:val="18"/>
              </w:rPr>
              <w:t>.</w:t>
            </w:r>
            <w:r w:rsidRPr="00A41CDE">
              <w:rPr>
                <w:rFonts w:ascii="Calibri" w:hAnsi="Calibri" w:cs="Calibri"/>
                <w:szCs w:val="18"/>
              </w:rPr>
              <w:t>5</w:t>
            </w:r>
          </w:p>
        </w:tc>
        <w:tc>
          <w:tcPr>
            <w:tcW w:w="883" w:type="dxa"/>
            <w:vAlign w:val="bottom"/>
          </w:tcPr>
          <w:p w14:paraId="73CA93E6" w14:textId="194A1502"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22</w:t>
            </w:r>
            <w:r w:rsidR="000B3666" w:rsidRPr="00A41CDE">
              <w:rPr>
                <w:rFonts w:ascii="Calibri" w:hAnsi="Calibri" w:cs="Calibri"/>
                <w:szCs w:val="18"/>
              </w:rPr>
              <w:t>.</w:t>
            </w:r>
            <w:r w:rsidRPr="00A41CDE">
              <w:rPr>
                <w:rFonts w:ascii="Calibri" w:hAnsi="Calibri" w:cs="Calibri"/>
                <w:szCs w:val="18"/>
              </w:rPr>
              <w:t>1</w:t>
            </w:r>
          </w:p>
        </w:tc>
        <w:tc>
          <w:tcPr>
            <w:tcW w:w="882" w:type="dxa"/>
            <w:vAlign w:val="bottom"/>
          </w:tcPr>
          <w:p w14:paraId="3D98CF06" w14:textId="7CF447CF"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-4</w:t>
            </w:r>
            <w:r w:rsidR="000B3666" w:rsidRPr="00A41CDE">
              <w:rPr>
                <w:rFonts w:ascii="Calibri" w:hAnsi="Calibri" w:cs="Calibri"/>
                <w:szCs w:val="18"/>
              </w:rPr>
              <w:t>.</w:t>
            </w:r>
            <w:r w:rsidRPr="00A41CDE">
              <w:rPr>
                <w:rFonts w:ascii="Calibri" w:hAnsi="Calibri" w:cs="Calibri"/>
                <w:szCs w:val="18"/>
              </w:rPr>
              <w:t>1</w:t>
            </w:r>
          </w:p>
        </w:tc>
        <w:tc>
          <w:tcPr>
            <w:tcW w:w="882" w:type="dxa"/>
            <w:vAlign w:val="bottom"/>
          </w:tcPr>
          <w:p w14:paraId="2A4AE562" w14:textId="675A3499"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-2</w:t>
            </w:r>
            <w:r w:rsidR="000B3666" w:rsidRPr="00A41CDE">
              <w:rPr>
                <w:rFonts w:ascii="Calibri" w:hAnsi="Calibri" w:cs="Calibri"/>
                <w:szCs w:val="18"/>
              </w:rPr>
              <w:t>.</w:t>
            </w:r>
            <w:r w:rsidRPr="00A41CDE">
              <w:rPr>
                <w:rFonts w:ascii="Calibri" w:hAnsi="Calibri" w:cs="Calibri"/>
                <w:szCs w:val="18"/>
              </w:rPr>
              <w:t>1</w:t>
            </w:r>
          </w:p>
        </w:tc>
        <w:tc>
          <w:tcPr>
            <w:tcW w:w="883" w:type="dxa"/>
            <w:vAlign w:val="bottom"/>
          </w:tcPr>
          <w:p w14:paraId="164EB007" w14:textId="1F1CB6D3" w:rsidR="007C6657" w:rsidRPr="00A41CDE" w:rsidRDefault="007C6657" w:rsidP="007C6657">
            <w:pPr>
              <w:pStyle w:val="tabletextleft"/>
              <w:jc w:val="right"/>
              <w:rPr>
                <w:rFonts w:asciiTheme="minorHAnsi" w:hAnsiTheme="minorHAnsi" w:cstheme="minorHAnsi"/>
                <w:szCs w:val="18"/>
              </w:rPr>
            </w:pPr>
            <w:r w:rsidRPr="00A41CDE">
              <w:rPr>
                <w:rFonts w:ascii="Calibri" w:hAnsi="Calibri" w:cs="Calibri"/>
                <w:szCs w:val="18"/>
              </w:rPr>
              <w:t>-0</w:t>
            </w:r>
            <w:r w:rsidR="000B3666" w:rsidRPr="00A41CDE">
              <w:rPr>
                <w:rFonts w:ascii="Calibri" w:hAnsi="Calibri" w:cs="Calibri"/>
                <w:szCs w:val="18"/>
              </w:rPr>
              <w:t>.</w:t>
            </w:r>
            <w:r w:rsidRPr="00A41CDE">
              <w:rPr>
                <w:rFonts w:ascii="Calibri" w:hAnsi="Calibri" w:cs="Calibri"/>
                <w:szCs w:val="18"/>
              </w:rPr>
              <w:t>6</w:t>
            </w:r>
          </w:p>
        </w:tc>
      </w:tr>
    </w:tbl>
    <w:p w14:paraId="685DDDCB" w14:textId="77777777" w:rsidR="00A40586" w:rsidRPr="002A19EC" w:rsidRDefault="00A40586" w:rsidP="00195A0D">
      <w:pPr>
        <w:pStyle w:val="Heading2"/>
        <w:numPr>
          <w:ilvl w:val="0"/>
          <w:numId w:val="0"/>
        </w:numPr>
        <w:spacing w:before="720"/>
      </w:pPr>
      <w:bookmarkStart w:id="158" w:name="_Toc417566027"/>
      <w:bookmarkStart w:id="159" w:name="_Toc448227313"/>
      <w:bookmarkStart w:id="160" w:name="_Toc479332464"/>
      <w:bookmarkStart w:id="161" w:name="_Toc100906093"/>
      <w:r w:rsidRPr="002A19EC">
        <w:t>Табл. 1в: Развитие на пазара на труда</w:t>
      </w:r>
      <w:bookmarkEnd w:id="158"/>
      <w:bookmarkEnd w:id="159"/>
      <w:bookmarkEnd w:id="160"/>
      <w:bookmarkEnd w:id="161"/>
    </w:p>
    <w:tbl>
      <w:tblPr>
        <w:tblStyle w:val="Style19"/>
        <w:tblW w:w="9072" w:type="dxa"/>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2927"/>
        <w:gridCol w:w="708"/>
        <w:gridCol w:w="907"/>
        <w:gridCol w:w="906"/>
        <w:gridCol w:w="906"/>
        <w:gridCol w:w="906"/>
        <w:gridCol w:w="906"/>
        <w:gridCol w:w="906"/>
      </w:tblGrid>
      <w:tr w:rsidR="005B2032" w:rsidRPr="00A41CDE" w14:paraId="6E90E051" w14:textId="77777777" w:rsidTr="00C2491D">
        <w:trPr>
          <w:trHeight w:val="510"/>
          <w:jc w:val="center"/>
        </w:trPr>
        <w:tc>
          <w:tcPr>
            <w:tcW w:w="2927" w:type="dxa"/>
            <w:vMerge w:val="restart"/>
            <w:shd w:val="clear" w:color="auto" w:fill="D7D4F1"/>
            <w:vAlign w:val="center"/>
            <w:hideMark/>
          </w:tcPr>
          <w:p w14:paraId="74129B9F" w14:textId="77777777" w:rsidR="0049761C" w:rsidRPr="00A41CDE" w:rsidRDefault="0049761C" w:rsidP="00C47465">
            <w:pPr>
              <w:pStyle w:val="tabletextleft"/>
              <w:rPr>
                <w:rFonts w:asciiTheme="minorHAnsi" w:hAnsiTheme="minorHAnsi" w:cstheme="minorHAnsi"/>
                <w:szCs w:val="18"/>
              </w:rPr>
            </w:pPr>
            <w:r w:rsidRPr="00A41CDE">
              <w:rPr>
                <w:rFonts w:asciiTheme="minorHAnsi" w:hAnsiTheme="minorHAnsi" w:cstheme="minorHAnsi"/>
                <w:szCs w:val="18"/>
              </w:rPr>
              <w:t> </w:t>
            </w:r>
          </w:p>
        </w:tc>
        <w:tc>
          <w:tcPr>
            <w:tcW w:w="708" w:type="dxa"/>
            <w:vMerge w:val="restart"/>
            <w:shd w:val="clear" w:color="auto" w:fill="D7D4F1"/>
            <w:vAlign w:val="center"/>
            <w:hideMark/>
          </w:tcPr>
          <w:p w14:paraId="08E90BAA" w14:textId="77777777" w:rsidR="0049761C" w:rsidRPr="00A41CDE" w:rsidRDefault="0049761C" w:rsidP="00C1337B">
            <w:pPr>
              <w:pStyle w:val="tabletextleft"/>
              <w:rPr>
                <w:rFonts w:asciiTheme="minorHAnsi" w:hAnsiTheme="minorHAnsi" w:cstheme="minorHAnsi"/>
                <w:szCs w:val="18"/>
              </w:rPr>
            </w:pPr>
            <w:r w:rsidRPr="00A41CDE">
              <w:rPr>
                <w:rFonts w:asciiTheme="minorHAnsi" w:hAnsiTheme="minorHAnsi" w:cstheme="minorHAnsi"/>
                <w:szCs w:val="18"/>
              </w:rPr>
              <w:t>Код по ЕСС 2010</w:t>
            </w:r>
          </w:p>
        </w:tc>
        <w:tc>
          <w:tcPr>
            <w:tcW w:w="907" w:type="dxa"/>
            <w:shd w:val="clear" w:color="auto" w:fill="D7D4F1"/>
            <w:vAlign w:val="center"/>
          </w:tcPr>
          <w:p w14:paraId="6F71379F" w14:textId="41521E50" w:rsidR="0049761C" w:rsidRPr="00A41CDE" w:rsidRDefault="004F44ED" w:rsidP="00806F52">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06F52" w:rsidRPr="00A41CDE">
              <w:rPr>
                <w:rFonts w:asciiTheme="minorHAnsi" w:hAnsiTheme="minorHAnsi" w:cstheme="minorHAnsi"/>
                <w:b/>
                <w:szCs w:val="18"/>
              </w:rPr>
              <w:t>1</w:t>
            </w:r>
          </w:p>
        </w:tc>
        <w:tc>
          <w:tcPr>
            <w:tcW w:w="906" w:type="dxa"/>
            <w:shd w:val="clear" w:color="auto" w:fill="D7D4F1"/>
            <w:vAlign w:val="center"/>
          </w:tcPr>
          <w:p w14:paraId="656FB7CF" w14:textId="56131CF6" w:rsidR="0049761C" w:rsidRPr="00A41CDE" w:rsidRDefault="004F44ED" w:rsidP="00806F52">
            <w:pPr>
              <w:pStyle w:val="tabletextleft"/>
              <w:jc w:val="right"/>
              <w:rPr>
                <w:rFonts w:asciiTheme="minorHAnsi" w:hAnsiTheme="minorHAnsi" w:cstheme="minorHAnsi"/>
                <w:b/>
                <w:szCs w:val="18"/>
              </w:rPr>
            </w:pPr>
            <w:r w:rsidRPr="00A41CDE">
              <w:rPr>
                <w:rFonts w:asciiTheme="minorHAnsi" w:hAnsiTheme="minorHAnsi" w:cstheme="minorHAnsi"/>
                <w:b/>
                <w:szCs w:val="18"/>
              </w:rPr>
              <w:t>202</w:t>
            </w:r>
            <w:r w:rsidR="00806F52" w:rsidRPr="00A41CDE">
              <w:rPr>
                <w:rFonts w:asciiTheme="minorHAnsi" w:hAnsiTheme="minorHAnsi" w:cstheme="minorHAnsi"/>
                <w:b/>
                <w:szCs w:val="18"/>
              </w:rPr>
              <w:t>1</w:t>
            </w:r>
          </w:p>
        </w:tc>
        <w:tc>
          <w:tcPr>
            <w:tcW w:w="906" w:type="dxa"/>
            <w:shd w:val="clear" w:color="auto" w:fill="D7D4F1"/>
            <w:vAlign w:val="center"/>
          </w:tcPr>
          <w:p w14:paraId="09EB7384" w14:textId="6A3CD33C" w:rsidR="0049761C" w:rsidRPr="00A41CDE" w:rsidRDefault="004F44ED" w:rsidP="00C47465">
            <w:pPr>
              <w:pStyle w:val="tabletextleft"/>
              <w:jc w:val="right"/>
              <w:rPr>
                <w:rFonts w:asciiTheme="minorHAnsi" w:hAnsiTheme="minorHAnsi" w:cstheme="minorHAnsi"/>
                <w:b/>
                <w:szCs w:val="18"/>
              </w:rPr>
            </w:pPr>
            <w:r w:rsidRPr="00A41CDE">
              <w:rPr>
                <w:rFonts w:asciiTheme="minorHAnsi" w:hAnsiTheme="minorHAnsi" w:cstheme="minorHAnsi"/>
                <w:b/>
                <w:szCs w:val="18"/>
              </w:rPr>
              <w:t>2</w:t>
            </w:r>
            <w:r w:rsidR="00806F52" w:rsidRPr="00A41CDE">
              <w:rPr>
                <w:rFonts w:asciiTheme="minorHAnsi" w:hAnsiTheme="minorHAnsi" w:cstheme="minorHAnsi"/>
                <w:b/>
                <w:szCs w:val="18"/>
              </w:rPr>
              <w:t>022</w:t>
            </w:r>
          </w:p>
        </w:tc>
        <w:tc>
          <w:tcPr>
            <w:tcW w:w="906" w:type="dxa"/>
            <w:shd w:val="clear" w:color="auto" w:fill="D7D4F1"/>
            <w:vAlign w:val="center"/>
          </w:tcPr>
          <w:p w14:paraId="28BB5756" w14:textId="0C9AA5FA" w:rsidR="0049761C" w:rsidRPr="00A41CDE" w:rsidRDefault="00806F52" w:rsidP="00C47465">
            <w:pPr>
              <w:pStyle w:val="tabletextleft"/>
              <w:jc w:val="right"/>
              <w:rPr>
                <w:rFonts w:asciiTheme="minorHAnsi" w:hAnsiTheme="minorHAnsi" w:cstheme="minorHAnsi"/>
                <w:b/>
                <w:szCs w:val="18"/>
              </w:rPr>
            </w:pPr>
            <w:r w:rsidRPr="00A41CDE">
              <w:rPr>
                <w:rFonts w:asciiTheme="minorHAnsi" w:hAnsiTheme="minorHAnsi" w:cstheme="minorHAnsi"/>
                <w:b/>
                <w:szCs w:val="18"/>
              </w:rPr>
              <w:t>2023</w:t>
            </w:r>
          </w:p>
        </w:tc>
        <w:tc>
          <w:tcPr>
            <w:tcW w:w="906" w:type="dxa"/>
            <w:shd w:val="clear" w:color="auto" w:fill="D7D4F1"/>
            <w:vAlign w:val="center"/>
          </w:tcPr>
          <w:p w14:paraId="3612438D" w14:textId="714FCC53" w:rsidR="0049761C" w:rsidRPr="00A41CDE" w:rsidRDefault="00806F52" w:rsidP="00C47465">
            <w:pPr>
              <w:pStyle w:val="tabletextleft"/>
              <w:jc w:val="right"/>
              <w:rPr>
                <w:rFonts w:asciiTheme="minorHAnsi" w:hAnsiTheme="minorHAnsi" w:cstheme="minorHAnsi"/>
                <w:b/>
                <w:szCs w:val="18"/>
              </w:rPr>
            </w:pPr>
            <w:r w:rsidRPr="00A41CDE">
              <w:rPr>
                <w:rFonts w:asciiTheme="minorHAnsi" w:hAnsiTheme="minorHAnsi" w:cstheme="minorHAnsi"/>
                <w:b/>
                <w:szCs w:val="18"/>
              </w:rPr>
              <w:t>2024</w:t>
            </w:r>
          </w:p>
        </w:tc>
        <w:tc>
          <w:tcPr>
            <w:tcW w:w="906" w:type="dxa"/>
            <w:shd w:val="clear" w:color="auto" w:fill="D7D4F1"/>
            <w:vAlign w:val="center"/>
          </w:tcPr>
          <w:p w14:paraId="75B652BC" w14:textId="176C6FF0" w:rsidR="0049761C" w:rsidRPr="00A41CDE" w:rsidRDefault="00806F52" w:rsidP="00C47465">
            <w:pPr>
              <w:pStyle w:val="tabletextleft"/>
              <w:jc w:val="right"/>
              <w:rPr>
                <w:rFonts w:asciiTheme="minorHAnsi" w:hAnsiTheme="minorHAnsi" w:cstheme="minorHAnsi"/>
                <w:b/>
                <w:szCs w:val="18"/>
              </w:rPr>
            </w:pPr>
            <w:r w:rsidRPr="00A41CDE">
              <w:rPr>
                <w:rFonts w:asciiTheme="minorHAnsi" w:hAnsiTheme="minorHAnsi" w:cstheme="minorHAnsi"/>
                <w:b/>
                <w:szCs w:val="18"/>
              </w:rPr>
              <w:t>2025</w:t>
            </w:r>
          </w:p>
        </w:tc>
      </w:tr>
      <w:tr w:rsidR="005B2032" w:rsidRPr="00A41CDE" w14:paraId="220AD72D" w14:textId="77777777" w:rsidTr="00C2491D">
        <w:trPr>
          <w:trHeight w:val="510"/>
          <w:jc w:val="center"/>
        </w:trPr>
        <w:tc>
          <w:tcPr>
            <w:tcW w:w="2927" w:type="dxa"/>
            <w:vMerge/>
            <w:shd w:val="clear" w:color="auto" w:fill="D7D4F1"/>
            <w:vAlign w:val="center"/>
            <w:hideMark/>
          </w:tcPr>
          <w:p w14:paraId="46FA8487" w14:textId="77777777" w:rsidR="00A964EF" w:rsidRPr="00A41CDE" w:rsidRDefault="00A964EF" w:rsidP="00C47465">
            <w:pPr>
              <w:pStyle w:val="tabletextleft"/>
              <w:rPr>
                <w:rFonts w:asciiTheme="minorHAnsi" w:hAnsiTheme="minorHAnsi" w:cstheme="minorHAnsi"/>
                <w:szCs w:val="18"/>
              </w:rPr>
            </w:pPr>
          </w:p>
        </w:tc>
        <w:tc>
          <w:tcPr>
            <w:tcW w:w="708" w:type="dxa"/>
            <w:vMerge/>
            <w:shd w:val="clear" w:color="auto" w:fill="D7D4F1"/>
            <w:vAlign w:val="center"/>
            <w:hideMark/>
          </w:tcPr>
          <w:p w14:paraId="13BB07B0" w14:textId="77777777" w:rsidR="00A964EF" w:rsidRPr="00A41CDE" w:rsidRDefault="00A964EF" w:rsidP="00C1337B">
            <w:pPr>
              <w:pStyle w:val="tabletextleft"/>
              <w:rPr>
                <w:rFonts w:asciiTheme="minorHAnsi" w:hAnsiTheme="minorHAnsi" w:cstheme="minorHAnsi"/>
                <w:szCs w:val="18"/>
              </w:rPr>
            </w:pPr>
          </w:p>
        </w:tc>
        <w:tc>
          <w:tcPr>
            <w:tcW w:w="907" w:type="dxa"/>
            <w:shd w:val="clear" w:color="auto" w:fill="D7D4F1"/>
            <w:vAlign w:val="center"/>
            <w:hideMark/>
          </w:tcPr>
          <w:p w14:paraId="092299D9"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Равнище</w:t>
            </w:r>
          </w:p>
        </w:tc>
        <w:tc>
          <w:tcPr>
            <w:tcW w:w="906" w:type="dxa"/>
            <w:shd w:val="clear" w:color="auto" w:fill="D7D4F1"/>
            <w:vAlign w:val="center"/>
            <w:hideMark/>
          </w:tcPr>
          <w:p w14:paraId="0F74C212"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906" w:type="dxa"/>
            <w:shd w:val="clear" w:color="auto" w:fill="D7D4F1"/>
            <w:vAlign w:val="center"/>
            <w:hideMark/>
          </w:tcPr>
          <w:p w14:paraId="0D45F4C6"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906" w:type="dxa"/>
            <w:shd w:val="clear" w:color="auto" w:fill="D7D4F1"/>
            <w:vAlign w:val="center"/>
            <w:hideMark/>
          </w:tcPr>
          <w:p w14:paraId="4FCC074D"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906" w:type="dxa"/>
            <w:shd w:val="clear" w:color="auto" w:fill="D7D4F1"/>
            <w:vAlign w:val="center"/>
            <w:hideMark/>
          </w:tcPr>
          <w:p w14:paraId="6140F7BA"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c>
          <w:tcPr>
            <w:tcW w:w="906" w:type="dxa"/>
            <w:shd w:val="clear" w:color="auto" w:fill="D7D4F1"/>
            <w:vAlign w:val="center"/>
            <w:hideMark/>
          </w:tcPr>
          <w:p w14:paraId="146C83D9" w14:textId="77777777" w:rsidR="00A964EF" w:rsidRPr="00A41CDE" w:rsidRDefault="00A964EF" w:rsidP="00C47465">
            <w:pPr>
              <w:pStyle w:val="tabletextleft"/>
              <w:jc w:val="right"/>
              <w:rPr>
                <w:rFonts w:asciiTheme="minorHAnsi" w:hAnsiTheme="minorHAnsi" w:cstheme="minorHAnsi"/>
                <w:szCs w:val="18"/>
              </w:rPr>
            </w:pPr>
            <w:r w:rsidRPr="00A41CDE">
              <w:rPr>
                <w:rFonts w:asciiTheme="minorHAnsi" w:hAnsiTheme="minorHAnsi" w:cstheme="minorHAnsi"/>
                <w:szCs w:val="18"/>
              </w:rPr>
              <w:t>Промяна</w:t>
            </w:r>
          </w:p>
        </w:tc>
      </w:tr>
      <w:tr w:rsidR="005B2032" w:rsidRPr="00A41CDE" w14:paraId="1EF500F8" w14:textId="77777777" w:rsidTr="00C2491D">
        <w:trPr>
          <w:trHeight w:val="510"/>
          <w:jc w:val="center"/>
        </w:trPr>
        <w:tc>
          <w:tcPr>
            <w:tcW w:w="2927" w:type="dxa"/>
            <w:vAlign w:val="center"/>
            <w:hideMark/>
          </w:tcPr>
          <w:p w14:paraId="14EDADCB"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Заетост (хил. души)</w:t>
            </w:r>
            <w:r w:rsidRPr="00A41CDE">
              <w:rPr>
                <w:rFonts w:asciiTheme="minorHAnsi" w:hAnsiTheme="minorHAnsi" w:cstheme="minorHAnsi"/>
                <w:szCs w:val="18"/>
                <w:vertAlign w:val="superscript"/>
              </w:rPr>
              <w:footnoteReference w:id="36"/>
            </w:r>
          </w:p>
        </w:tc>
        <w:tc>
          <w:tcPr>
            <w:tcW w:w="708" w:type="dxa"/>
            <w:vAlign w:val="center"/>
            <w:hideMark/>
          </w:tcPr>
          <w:p w14:paraId="7D31136B" w14:textId="77777777" w:rsidR="007C6657" w:rsidRPr="00A41CDE" w:rsidRDefault="007C6657" w:rsidP="00E21AB7">
            <w:pPr>
              <w:pStyle w:val="tabletextleft"/>
              <w:rPr>
                <w:rFonts w:asciiTheme="minorHAnsi" w:hAnsiTheme="minorHAnsi" w:cstheme="minorHAnsi"/>
                <w:szCs w:val="18"/>
              </w:rPr>
            </w:pPr>
          </w:p>
        </w:tc>
        <w:tc>
          <w:tcPr>
            <w:tcW w:w="907" w:type="dxa"/>
            <w:noWrap/>
            <w:vAlign w:val="center"/>
          </w:tcPr>
          <w:p w14:paraId="5EC2E56F" w14:textId="52932B08"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3 458</w:t>
            </w:r>
          </w:p>
        </w:tc>
        <w:tc>
          <w:tcPr>
            <w:tcW w:w="906" w:type="dxa"/>
            <w:vAlign w:val="center"/>
          </w:tcPr>
          <w:p w14:paraId="75E8AD03" w14:textId="3608FEBB"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06" w:type="dxa"/>
            <w:vAlign w:val="center"/>
          </w:tcPr>
          <w:p w14:paraId="7A42362F" w14:textId="28ED27D2"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7</w:t>
            </w:r>
          </w:p>
        </w:tc>
        <w:tc>
          <w:tcPr>
            <w:tcW w:w="906" w:type="dxa"/>
            <w:vAlign w:val="center"/>
          </w:tcPr>
          <w:p w14:paraId="5925B111" w14:textId="10F9F207"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906" w:type="dxa"/>
            <w:vAlign w:val="center"/>
          </w:tcPr>
          <w:p w14:paraId="1606CD18" w14:textId="5E361D25"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06" w:type="dxa"/>
            <w:vAlign w:val="center"/>
          </w:tcPr>
          <w:p w14:paraId="1DF6C51F" w14:textId="40178FD3"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6</w:t>
            </w:r>
          </w:p>
        </w:tc>
      </w:tr>
      <w:tr w:rsidR="005B2032" w:rsidRPr="00A41CDE" w14:paraId="10854958" w14:textId="77777777" w:rsidTr="00C2491D">
        <w:trPr>
          <w:trHeight w:val="510"/>
          <w:jc w:val="center"/>
        </w:trPr>
        <w:tc>
          <w:tcPr>
            <w:tcW w:w="2927" w:type="dxa"/>
            <w:vAlign w:val="center"/>
            <w:hideMark/>
          </w:tcPr>
          <w:p w14:paraId="3832E13E"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 xml:space="preserve">Заетост </w:t>
            </w:r>
            <w:r w:rsidRPr="00A41CDE">
              <w:rPr>
                <w:rFonts w:asciiTheme="minorHAnsi" w:hAnsiTheme="minorHAnsi" w:cstheme="minorHAnsi"/>
                <w:szCs w:val="18"/>
              </w:rPr>
              <w:br/>
              <w:t>(млн. отработени часове)</w:t>
            </w:r>
            <w:r w:rsidRPr="00A41CDE">
              <w:rPr>
                <w:rFonts w:asciiTheme="minorHAnsi" w:hAnsiTheme="minorHAnsi" w:cstheme="minorHAnsi"/>
                <w:szCs w:val="18"/>
                <w:vertAlign w:val="superscript"/>
              </w:rPr>
              <w:footnoteReference w:id="37"/>
            </w:r>
          </w:p>
        </w:tc>
        <w:tc>
          <w:tcPr>
            <w:tcW w:w="708" w:type="dxa"/>
            <w:vAlign w:val="center"/>
          </w:tcPr>
          <w:p w14:paraId="12F7D561" w14:textId="77777777" w:rsidR="007C6657" w:rsidRPr="00A41CDE" w:rsidRDefault="007C6657" w:rsidP="00E21AB7">
            <w:pPr>
              <w:pStyle w:val="tabletextleft"/>
              <w:rPr>
                <w:rFonts w:asciiTheme="minorHAnsi" w:hAnsiTheme="minorHAnsi" w:cstheme="minorHAnsi"/>
                <w:szCs w:val="18"/>
              </w:rPr>
            </w:pPr>
          </w:p>
        </w:tc>
        <w:tc>
          <w:tcPr>
            <w:tcW w:w="907" w:type="dxa"/>
            <w:vAlign w:val="center"/>
          </w:tcPr>
          <w:p w14:paraId="48C19326" w14:textId="2779A98B"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5 601</w:t>
            </w:r>
          </w:p>
        </w:tc>
        <w:tc>
          <w:tcPr>
            <w:tcW w:w="906" w:type="dxa"/>
            <w:vAlign w:val="center"/>
          </w:tcPr>
          <w:p w14:paraId="4536F963" w14:textId="030009F1"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06" w:type="dxa"/>
            <w:vAlign w:val="center"/>
          </w:tcPr>
          <w:p w14:paraId="690A29F9" w14:textId="708FA5BF"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06" w:type="dxa"/>
            <w:vAlign w:val="center"/>
          </w:tcPr>
          <w:p w14:paraId="45F91B96" w14:textId="3CD53CB9"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5</w:t>
            </w:r>
          </w:p>
        </w:tc>
        <w:tc>
          <w:tcPr>
            <w:tcW w:w="906" w:type="dxa"/>
            <w:vAlign w:val="center"/>
          </w:tcPr>
          <w:p w14:paraId="00A41313" w14:textId="6051D413"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06" w:type="dxa"/>
            <w:vAlign w:val="center"/>
          </w:tcPr>
          <w:p w14:paraId="317C819E" w14:textId="6202F323"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7</w:t>
            </w:r>
          </w:p>
        </w:tc>
      </w:tr>
      <w:tr w:rsidR="005B2032" w:rsidRPr="00A41CDE" w14:paraId="07579393" w14:textId="77777777" w:rsidTr="00C2491D">
        <w:trPr>
          <w:trHeight w:val="510"/>
          <w:jc w:val="center"/>
        </w:trPr>
        <w:tc>
          <w:tcPr>
            <w:tcW w:w="2927" w:type="dxa"/>
            <w:vAlign w:val="center"/>
            <w:hideMark/>
          </w:tcPr>
          <w:p w14:paraId="645B63C2"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Безработица</w:t>
            </w:r>
            <w:r w:rsidRPr="00A41CDE">
              <w:rPr>
                <w:rFonts w:asciiTheme="minorHAnsi" w:hAnsiTheme="minorHAnsi" w:cstheme="minorHAnsi"/>
                <w:szCs w:val="18"/>
                <w:vertAlign w:val="superscript"/>
              </w:rPr>
              <w:footnoteReference w:id="38"/>
            </w:r>
          </w:p>
        </w:tc>
        <w:tc>
          <w:tcPr>
            <w:tcW w:w="708" w:type="dxa"/>
            <w:vAlign w:val="center"/>
          </w:tcPr>
          <w:p w14:paraId="210F072C" w14:textId="77777777" w:rsidR="007C6657" w:rsidRPr="00A41CDE" w:rsidRDefault="007C6657" w:rsidP="00E21AB7">
            <w:pPr>
              <w:pStyle w:val="tabletextleft"/>
              <w:rPr>
                <w:rFonts w:asciiTheme="minorHAnsi" w:hAnsiTheme="minorHAnsi" w:cstheme="minorHAnsi"/>
                <w:szCs w:val="18"/>
              </w:rPr>
            </w:pPr>
          </w:p>
        </w:tc>
        <w:tc>
          <w:tcPr>
            <w:tcW w:w="907" w:type="dxa"/>
            <w:vAlign w:val="center"/>
          </w:tcPr>
          <w:p w14:paraId="5892DE2D" w14:textId="4EAB738D"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5</w:t>
            </w:r>
          </w:p>
        </w:tc>
        <w:tc>
          <w:tcPr>
            <w:tcW w:w="906" w:type="dxa"/>
            <w:vAlign w:val="center"/>
          </w:tcPr>
          <w:p w14:paraId="15625139" w14:textId="1AD21F2C"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5</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906" w:type="dxa"/>
            <w:vAlign w:val="center"/>
          </w:tcPr>
          <w:p w14:paraId="77D2A842" w14:textId="1A2858B9"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5</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06" w:type="dxa"/>
            <w:vAlign w:val="center"/>
          </w:tcPr>
          <w:p w14:paraId="678DE0CA" w14:textId="46D788BD"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906" w:type="dxa"/>
            <w:vAlign w:val="center"/>
          </w:tcPr>
          <w:p w14:paraId="48F5861D" w14:textId="54E966DE"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06" w:type="dxa"/>
            <w:vAlign w:val="center"/>
          </w:tcPr>
          <w:p w14:paraId="0E26F37C" w14:textId="7061DA89"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2</w:t>
            </w:r>
          </w:p>
        </w:tc>
      </w:tr>
      <w:tr w:rsidR="005B2032" w:rsidRPr="00A41CDE" w14:paraId="35271736" w14:textId="77777777" w:rsidTr="00C2491D">
        <w:trPr>
          <w:trHeight w:val="510"/>
          <w:jc w:val="center"/>
        </w:trPr>
        <w:tc>
          <w:tcPr>
            <w:tcW w:w="2927" w:type="dxa"/>
            <w:vAlign w:val="center"/>
            <w:hideMark/>
          </w:tcPr>
          <w:p w14:paraId="45C5125E"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 xml:space="preserve">Производителност на труда </w:t>
            </w:r>
            <w:r w:rsidRPr="00A41CDE">
              <w:rPr>
                <w:rFonts w:asciiTheme="minorHAnsi" w:hAnsiTheme="minorHAnsi" w:cstheme="minorHAnsi"/>
                <w:szCs w:val="18"/>
              </w:rPr>
              <w:br/>
              <w:t>(лв. на един зает)</w:t>
            </w:r>
            <w:r w:rsidRPr="00A41CDE">
              <w:rPr>
                <w:rFonts w:asciiTheme="minorHAnsi" w:hAnsiTheme="minorHAnsi" w:cstheme="minorHAnsi"/>
                <w:szCs w:val="18"/>
                <w:vertAlign w:val="superscript"/>
              </w:rPr>
              <w:footnoteReference w:id="39"/>
            </w:r>
          </w:p>
        </w:tc>
        <w:tc>
          <w:tcPr>
            <w:tcW w:w="708" w:type="dxa"/>
            <w:vAlign w:val="center"/>
            <w:hideMark/>
          </w:tcPr>
          <w:p w14:paraId="345E812E" w14:textId="77777777" w:rsidR="007C6657" w:rsidRPr="00A41CDE" w:rsidRDefault="007C6657" w:rsidP="00E21AB7">
            <w:pPr>
              <w:pStyle w:val="tabletextleft"/>
              <w:rPr>
                <w:rFonts w:asciiTheme="minorHAnsi" w:hAnsiTheme="minorHAnsi" w:cstheme="minorHAnsi"/>
                <w:szCs w:val="18"/>
              </w:rPr>
            </w:pPr>
          </w:p>
        </w:tc>
        <w:tc>
          <w:tcPr>
            <w:tcW w:w="907" w:type="dxa"/>
            <w:vAlign w:val="center"/>
          </w:tcPr>
          <w:p w14:paraId="288EA42B" w14:textId="38FE065A"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29 191</w:t>
            </w:r>
          </w:p>
        </w:tc>
        <w:tc>
          <w:tcPr>
            <w:tcW w:w="906" w:type="dxa"/>
            <w:vAlign w:val="center"/>
          </w:tcPr>
          <w:p w14:paraId="033CD307" w14:textId="26A39273"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06" w:type="dxa"/>
            <w:vAlign w:val="center"/>
          </w:tcPr>
          <w:p w14:paraId="4F785902" w14:textId="5F73F1A3"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9</w:t>
            </w:r>
          </w:p>
        </w:tc>
        <w:tc>
          <w:tcPr>
            <w:tcW w:w="906" w:type="dxa"/>
            <w:vAlign w:val="center"/>
          </w:tcPr>
          <w:p w14:paraId="56FB74AC" w14:textId="63734FC3"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06" w:type="dxa"/>
            <w:vAlign w:val="center"/>
          </w:tcPr>
          <w:p w14:paraId="07B7DE41" w14:textId="70652D40"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906" w:type="dxa"/>
            <w:vAlign w:val="center"/>
          </w:tcPr>
          <w:p w14:paraId="33D60914" w14:textId="2538FFBB"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8</w:t>
            </w:r>
          </w:p>
        </w:tc>
      </w:tr>
      <w:tr w:rsidR="005B2032" w:rsidRPr="00A41CDE" w14:paraId="5B83941F" w14:textId="77777777" w:rsidTr="00C2491D">
        <w:trPr>
          <w:trHeight w:val="510"/>
          <w:jc w:val="center"/>
        </w:trPr>
        <w:tc>
          <w:tcPr>
            <w:tcW w:w="2927" w:type="dxa"/>
            <w:vAlign w:val="center"/>
            <w:hideMark/>
          </w:tcPr>
          <w:p w14:paraId="37B24F61"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 xml:space="preserve">Производителност на труда </w:t>
            </w:r>
            <w:r w:rsidRPr="00A41CDE">
              <w:rPr>
                <w:rFonts w:asciiTheme="minorHAnsi" w:hAnsiTheme="minorHAnsi" w:cstheme="minorHAnsi"/>
                <w:szCs w:val="18"/>
              </w:rPr>
              <w:br/>
              <w:t>(лв. на отработен час)</w:t>
            </w:r>
            <w:r w:rsidRPr="00A41CDE">
              <w:rPr>
                <w:rFonts w:asciiTheme="minorHAnsi" w:hAnsiTheme="minorHAnsi" w:cstheme="minorHAnsi"/>
                <w:szCs w:val="18"/>
                <w:vertAlign w:val="superscript"/>
              </w:rPr>
              <w:footnoteReference w:id="40"/>
            </w:r>
          </w:p>
        </w:tc>
        <w:tc>
          <w:tcPr>
            <w:tcW w:w="708" w:type="dxa"/>
            <w:vAlign w:val="center"/>
            <w:hideMark/>
          </w:tcPr>
          <w:p w14:paraId="4E9C1122" w14:textId="77777777" w:rsidR="007C6657" w:rsidRPr="00A41CDE" w:rsidRDefault="007C6657" w:rsidP="00E21AB7">
            <w:pPr>
              <w:pStyle w:val="tabletextleft"/>
              <w:rPr>
                <w:rFonts w:asciiTheme="minorHAnsi" w:hAnsiTheme="minorHAnsi" w:cstheme="minorHAnsi"/>
                <w:szCs w:val="18"/>
              </w:rPr>
            </w:pPr>
          </w:p>
        </w:tc>
        <w:tc>
          <w:tcPr>
            <w:tcW w:w="907" w:type="dxa"/>
            <w:vAlign w:val="center"/>
          </w:tcPr>
          <w:p w14:paraId="544A1779" w14:textId="3C45CD2F"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18</w:t>
            </w:r>
          </w:p>
        </w:tc>
        <w:tc>
          <w:tcPr>
            <w:tcW w:w="906" w:type="dxa"/>
            <w:vAlign w:val="center"/>
          </w:tcPr>
          <w:p w14:paraId="397359CB" w14:textId="32BD53C0"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06" w:type="dxa"/>
            <w:vAlign w:val="center"/>
          </w:tcPr>
          <w:p w14:paraId="19489C9C" w14:textId="6FB97AB6"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06" w:type="dxa"/>
            <w:vAlign w:val="center"/>
          </w:tcPr>
          <w:p w14:paraId="11ACDAAD" w14:textId="0DC963A0"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906" w:type="dxa"/>
            <w:vAlign w:val="center"/>
          </w:tcPr>
          <w:p w14:paraId="2F4DD5B2" w14:textId="628C1559"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906" w:type="dxa"/>
            <w:vAlign w:val="center"/>
          </w:tcPr>
          <w:p w14:paraId="580BE601" w14:textId="19A73DAB"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7</w:t>
            </w:r>
          </w:p>
        </w:tc>
      </w:tr>
      <w:tr w:rsidR="005B2032" w:rsidRPr="00A41CDE" w14:paraId="2A400088" w14:textId="77777777" w:rsidTr="00C2491D">
        <w:trPr>
          <w:trHeight w:val="510"/>
          <w:jc w:val="center"/>
        </w:trPr>
        <w:tc>
          <w:tcPr>
            <w:tcW w:w="2927" w:type="dxa"/>
            <w:vAlign w:val="center"/>
            <w:hideMark/>
          </w:tcPr>
          <w:p w14:paraId="61D64858"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 xml:space="preserve">Компенсации на наетите </w:t>
            </w:r>
            <w:r w:rsidRPr="00A41CDE">
              <w:rPr>
                <w:rFonts w:asciiTheme="minorHAnsi" w:hAnsiTheme="minorHAnsi" w:cstheme="minorHAnsi"/>
                <w:szCs w:val="18"/>
              </w:rPr>
              <w:br/>
              <w:t>(млн. лв.)</w:t>
            </w:r>
            <w:r w:rsidRPr="00A41CDE">
              <w:rPr>
                <w:rFonts w:asciiTheme="minorHAnsi" w:hAnsiTheme="minorHAnsi" w:cstheme="minorHAnsi"/>
                <w:szCs w:val="18"/>
                <w:vertAlign w:val="superscript"/>
              </w:rPr>
              <w:footnoteReference w:id="41"/>
            </w:r>
          </w:p>
        </w:tc>
        <w:tc>
          <w:tcPr>
            <w:tcW w:w="708" w:type="dxa"/>
            <w:vAlign w:val="center"/>
            <w:hideMark/>
          </w:tcPr>
          <w:p w14:paraId="74A24510"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D.1</w:t>
            </w:r>
          </w:p>
        </w:tc>
        <w:tc>
          <w:tcPr>
            <w:tcW w:w="907" w:type="dxa"/>
            <w:vAlign w:val="center"/>
          </w:tcPr>
          <w:p w14:paraId="104062A3" w14:textId="53396219"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60 360</w:t>
            </w:r>
          </w:p>
        </w:tc>
        <w:tc>
          <w:tcPr>
            <w:tcW w:w="906" w:type="dxa"/>
            <w:vAlign w:val="center"/>
          </w:tcPr>
          <w:p w14:paraId="1114C961" w14:textId="033EF600"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10</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906" w:type="dxa"/>
            <w:vAlign w:val="center"/>
          </w:tcPr>
          <w:p w14:paraId="657E509F" w14:textId="7D250005"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9</w:t>
            </w:r>
          </w:p>
        </w:tc>
        <w:tc>
          <w:tcPr>
            <w:tcW w:w="906" w:type="dxa"/>
            <w:vAlign w:val="center"/>
          </w:tcPr>
          <w:p w14:paraId="39E7E16B" w14:textId="4D4CBA9A"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10</w:t>
            </w:r>
            <w:r w:rsidR="000B3666" w:rsidRPr="00A41CDE">
              <w:rPr>
                <w:rFonts w:asciiTheme="minorHAnsi" w:hAnsiTheme="minorHAnsi" w:cstheme="minorHAnsi"/>
                <w:szCs w:val="18"/>
              </w:rPr>
              <w:t>.</w:t>
            </w:r>
            <w:r w:rsidRPr="00A41CDE">
              <w:rPr>
                <w:rFonts w:asciiTheme="minorHAnsi" w:hAnsiTheme="minorHAnsi" w:cstheme="minorHAnsi"/>
                <w:szCs w:val="18"/>
              </w:rPr>
              <w:t>0</w:t>
            </w:r>
          </w:p>
        </w:tc>
        <w:tc>
          <w:tcPr>
            <w:tcW w:w="906" w:type="dxa"/>
            <w:vAlign w:val="center"/>
          </w:tcPr>
          <w:p w14:paraId="0FBF90CD" w14:textId="17D1998B"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906" w:type="dxa"/>
            <w:vAlign w:val="center"/>
          </w:tcPr>
          <w:p w14:paraId="4322D486" w14:textId="0DD36DCA"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8</w:t>
            </w:r>
            <w:r w:rsidR="000B3666" w:rsidRPr="00A41CDE">
              <w:rPr>
                <w:rFonts w:asciiTheme="minorHAnsi" w:hAnsiTheme="minorHAnsi" w:cstheme="minorHAnsi"/>
                <w:szCs w:val="18"/>
              </w:rPr>
              <w:t>.</w:t>
            </w:r>
            <w:r w:rsidRPr="00A41CDE">
              <w:rPr>
                <w:rFonts w:asciiTheme="minorHAnsi" w:hAnsiTheme="minorHAnsi" w:cstheme="minorHAnsi"/>
                <w:szCs w:val="18"/>
              </w:rPr>
              <w:t>2</w:t>
            </w:r>
          </w:p>
        </w:tc>
      </w:tr>
      <w:tr w:rsidR="007C6657" w:rsidRPr="00A41CDE" w14:paraId="655C14AB" w14:textId="77777777" w:rsidTr="00C2491D">
        <w:trPr>
          <w:trHeight w:val="510"/>
          <w:jc w:val="center"/>
        </w:trPr>
        <w:tc>
          <w:tcPr>
            <w:tcW w:w="2927" w:type="dxa"/>
            <w:vAlign w:val="center"/>
            <w:hideMark/>
          </w:tcPr>
          <w:p w14:paraId="746131CD" w14:textId="77777777" w:rsidR="007C6657" w:rsidRPr="00A41CDE" w:rsidRDefault="007C6657" w:rsidP="00E21AB7">
            <w:pPr>
              <w:pStyle w:val="tabletextleft"/>
              <w:rPr>
                <w:rFonts w:asciiTheme="minorHAnsi" w:hAnsiTheme="minorHAnsi" w:cstheme="minorHAnsi"/>
                <w:szCs w:val="18"/>
              </w:rPr>
            </w:pPr>
            <w:r w:rsidRPr="00A41CDE">
              <w:rPr>
                <w:rFonts w:asciiTheme="minorHAnsi" w:hAnsiTheme="minorHAnsi" w:cstheme="minorHAnsi"/>
                <w:szCs w:val="18"/>
              </w:rPr>
              <w:t xml:space="preserve">Компенсация на един нает </w:t>
            </w:r>
          </w:p>
        </w:tc>
        <w:tc>
          <w:tcPr>
            <w:tcW w:w="708" w:type="dxa"/>
            <w:vAlign w:val="center"/>
          </w:tcPr>
          <w:p w14:paraId="4FC081DA" w14:textId="77777777" w:rsidR="007C6657" w:rsidRPr="00A41CDE" w:rsidRDefault="007C6657" w:rsidP="00E21AB7">
            <w:pPr>
              <w:pStyle w:val="tabletextleft"/>
              <w:rPr>
                <w:rFonts w:asciiTheme="minorHAnsi" w:hAnsiTheme="minorHAnsi" w:cstheme="minorHAnsi"/>
                <w:szCs w:val="18"/>
              </w:rPr>
            </w:pPr>
          </w:p>
        </w:tc>
        <w:tc>
          <w:tcPr>
            <w:tcW w:w="907" w:type="dxa"/>
            <w:vAlign w:val="center"/>
          </w:tcPr>
          <w:p w14:paraId="2742761E" w14:textId="1841122F"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23 232</w:t>
            </w:r>
          </w:p>
        </w:tc>
        <w:tc>
          <w:tcPr>
            <w:tcW w:w="906" w:type="dxa"/>
            <w:vAlign w:val="center"/>
          </w:tcPr>
          <w:p w14:paraId="3BBA2248" w14:textId="4704F367"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5</w:t>
            </w:r>
          </w:p>
        </w:tc>
        <w:tc>
          <w:tcPr>
            <w:tcW w:w="906" w:type="dxa"/>
            <w:vAlign w:val="center"/>
          </w:tcPr>
          <w:p w14:paraId="6EC205A3" w14:textId="67E947EE"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8</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906" w:type="dxa"/>
            <w:vAlign w:val="center"/>
          </w:tcPr>
          <w:p w14:paraId="245F241F" w14:textId="462C778C"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9</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06" w:type="dxa"/>
            <w:vAlign w:val="center"/>
          </w:tcPr>
          <w:p w14:paraId="70F96DEF" w14:textId="76A593D5"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8</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906" w:type="dxa"/>
            <w:vAlign w:val="center"/>
          </w:tcPr>
          <w:p w14:paraId="2BFB5E44" w14:textId="552D6D19" w:rsidR="007C6657" w:rsidRPr="00A41CDE" w:rsidRDefault="007C6657" w:rsidP="00E21AB7">
            <w:pPr>
              <w:pStyle w:val="tabletextleft"/>
              <w:jc w:val="right"/>
              <w:rPr>
                <w:rFonts w:asciiTheme="minorHAnsi" w:hAnsiTheme="minorHAnsi" w:cstheme="minorHAnsi"/>
                <w:szCs w:val="18"/>
              </w:rPr>
            </w:pPr>
            <w:r w:rsidRPr="00A41CDE">
              <w:rPr>
                <w:rFonts w:asciiTheme="minorHAnsi" w:hAnsiTheme="minorHAnsi" w:cstheme="minorHAnsi"/>
                <w:szCs w:val="18"/>
              </w:rPr>
              <w:t>7</w:t>
            </w:r>
            <w:r w:rsidR="000B3666" w:rsidRPr="00A41CDE">
              <w:rPr>
                <w:rFonts w:asciiTheme="minorHAnsi" w:hAnsiTheme="minorHAnsi" w:cstheme="minorHAnsi"/>
                <w:szCs w:val="18"/>
              </w:rPr>
              <w:t>.</w:t>
            </w:r>
            <w:r w:rsidRPr="00A41CDE">
              <w:rPr>
                <w:rFonts w:asciiTheme="minorHAnsi" w:hAnsiTheme="minorHAnsi" w:cstheme="minorHAnsi"/>
                <w:szCs w:val="18"/>
              </w:rPr>
              <w:t>6</w:t>
            </w:r>
          </w:p>
        </w:tc>
      </w:tr>
    </w:tbl>
    <w:p w14:paraId="1891C648" w14:textId="77777777" w:rsidR="00A964EF" w:rsidRPr="005B2032" w:rsidRDefault="00A964EF" w:rsidP="00A964EF">
      <w:pPr>
        <w:rPr>
          <w:rFonts w:asciiTheme="minorHAnsi" w:hAnsiTheme="minorHAnsi" w:cstheme="minorHAnsi"/>
        </w:rPr>
      </w:pPr>
    </w:p>
    <w:p w14:paraId="2B7069AF" w14:textId="77777777" w:rsidR="00A40586" w:rsidRPr="002A19EC" w:rsidRDefault="00A40586" w:rsidP="002A19EC">
      <w:pPr>
        <w:pStyle w:val="Heading2"/>
        <w:numPr>
          <w:ilvl w:val="0"/>
          <w:numId w:val="0"/>
        </w:numPr>
      </w:pPr>
      <w:bookmarkStart w:id="162" w:name="_Toc417566028"/>
      <w:bookmarkStart w:id="163" w:name="_Toc448227314"/>
      <w:bookmarkStart w:id="164" w:name="_Toc479332465"/>
      <w:bookmarkStart w:id="165" w:name="_Toc100906094"/>
      <w:r w:rsidRPr="002A19EC">
        <w:lastRenderedPageBreak/>
        <w:t>Табл. 1г: Секторни баланси</w:t>
      </w:r>
      <w:bookmarkEnd w:id="162"/>
      <w:bookmarkEnd w:id="163"/>
      <w:bookmarkEnd w:id="164"/>
      <w:bookmarkEnd w:id="165"/>
    </w:p>
    <w:tbl>
      <w:tblPr>
        <w:tblStyle w:val="Style19"/>
        <w:tblW w:w="9072" w:type="dxa"/>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2974"/>
        <w:gridCol w:w="709"/>
        <w:gridCol w:w="1077"/>
        <w:gridCol w:w="1078"/>
        <w:gridCol w:w="1078"/>
        <w:gridCol w:w="1078"/>
        <w:gridCol w:w="1078"/>
      </w:tblGrid>
      <w:tr w:rsidR="005B2032" w:rsidRPr="00A41CDE" w14:paraId="2D0ED996" w14:textId="69B431CF" w:rsidTr="00C2491D">
        <w:trPr>
          <w:trHeight w:val="340"/>
          <w:jc w:val="center"/>
        </w:trPr>
        <w:tc>
          <w:tcPr>
            <w:tcW w:w="2974" w:type="dxa"/>
            <w:shd w:val="clear" w:color="auto" w:fill="D7D4F1"/>
            <w:vAlign w:val="center"/>
            <w:hideMark/>
          </w:tcPr>
          <w:p w14:paraId="12933AE4" w14:textId="77777777" w:rsidR="00806F52" w:rsidRPr="00A41CDE" w:rsidRDefault="00806F52" w:rsidP="00C1337B">
            <w:pPr>
              <w:pStyle w:val="tabletextleft"/>
              <w:rPr>
                <w:rFonts w:asciiTheme="minorHAnsi" w:hAnsiTheme="minorHAnsi" w:cstheme="minorHAnsi"/>
                <w:b/>
                <w:szCs w:val="18"/>
              </w:rPr>
            </w:pPr>
            <w:r w:rsidRPr="00A41CDE">
              <w:rPr>
                <w:rFonts w:asciiTheme="minorHAnsi" w:hAnsiTheme="minorHAnsi" w:cstheme="minorHAnsi"/>
                <w:b/>
                <w:szCs w:val="18"/>
              </w:rPr>
              <w:t>% от БВП</w:t>
            </w:r>
          </w:p>
        </w:tc>
        <w:tc>
          <w:tcPr>
            <w:tcW w:w="709" w:type="dxa"/>
            <w:shd w:val="clear" w:color="auto" w:fill="D7D4F1"/>
            <w:vAlign w:val="center"/>
            <w:hideMark/>
          </w:tcPr>
          <w:p w14:paraId="3546E7EA" w14:textId="77777777" w:rsidR="00806F52" w:rsidRPr="00A41CDE" w:rsidRDefault="00806F52" w:rsidP="00C1337B">
            <w:pPr>
              <w:pStyle w:val="tabletextleft"/>
              <w:rPr>
                <w:rFonts w:asciiTheme="minorHAnsi" w:hAnsiTheme="minorHAnsi" w:cstheme="minorHAnsi"/>
                <w:szCs w:val="18"/>
              </w:rPr>
            </w:pPr>
            <w:r w:rsidRPr="00A41CDE">
              <w:rPr>
                <w:rFonts w:asciiTheme="minorHAnsi" w:hAnsiTheme="minorHAnsi" w:cstheme="minorHAnsi"/>
                <w:szCs w:val="18"/>
              </w:rPr>
              <w:t>Код по ЕСС 2010</w:t>
            </w:r>
          </w:p>
        </w:tc>
        <w:tc>
          <w:tcPr>
            <w:tcW w:w="1077" w:type="dxa"/>
            <w:shd w:val="clear" w:color="auto" w:fill="D7D4F1"/>
            <w:vAlign w:val="center"/>
          </w:tcPr>
          <w:p w14:paraId="7C3BC07D" w14:textId="3E6E9D5E" w:rsidR="00806F52" w:rsidRPr="00A41CDE" w:rsidRDefault="00806F52" w:rsidP="00806F52">
            <w:pPr>
              <w:pStyle w:val="tabletextleft"/>
              <w:jc w:val="right"/>
              <w:rPr>
                <w:rFonts w:asciiTheme="minorHAnsi" w:hAnsiTheme="minorHAnsi" w:cstheme="minorHAnsi"/>
                <w:b/>
                <w:szCs w:val="18"/>
              </w:rPr>
            </w:pPr>
            <w:r w:rsidRPr="00A41CDE">
              <w:rPr>
                <w:rFonts w:asciiTheme="minorHAnsi" w:hAnsiTheme="minorHAnsi" w:cstheme="minorHAnsi"/>
                <w:b/>
                <w:szCs w:val="18"/>
              </w:rPr>
              <w:t>2021</w:t>
            </w:r>
          </w:p>
        </w:tc>
        <w:tc>
          <w:tcPr>
            <w:tcW w:w="1078" w:type="dxa"/>
            <w:shd w:val="clear" w:color="auto" w:fill="D7D4F1"/>
            <w:vAlign w:val="center"/>
          </w:tcPr>
          <w:p w14:paraId="1B547C5D" w14:textId="105826B8" w:rsidR="00806F52" w:rsidRPr="00A41CDE" w:rsidRDefault="00806F52" w:rsidP="00806F52">
            <w:pPr>
              <w:pStyle w:val="tabletextleft"/>
              <w:jc w:val="right"/>
              <w:rPr>
                <w:rFonts w:asciiTheme="minorHAnsi" w:hAnsiTheme="minorHAnsi" w:cstheme="minorHAnsi"/>
                <w:b/>
                <w:szCs w:val="18"/>
              </w:rPr>
            </w:pPr>
            <w:r w:rsidRPr="00A41CDE">
              <w:rPr>
                <w:rFonts w:asciiTheme="minorHAnsi" w:hAnsiTheme="minorHAnsi" w:cstheme="minorHAnsi"/>
                <w:b/>
                <w:szCs w:val="18"/>
              </w:rPr>
              <w:t>2022</w:t>
            </w:r>
          </w:p>
        </w:tc>
        <w:tc>
          <w:tcPr>
            <w:tcW w:w="1078" w:type="dxa"/>
            <w:shd w:val="clear" w:color="auto" w:fill="D7D4F1"/>
            <w:vAlign w:val="center"/>
          </w:tcPr>
          <w:p w14:paraId="1333C67E" w14:textId="3D5923F6" w:rsidR="00806F52" w:rsidRPr="00A41CDE" w:rsidRDefault="00806F52" w:rsidP="00806F52">
            <w:pPr>
              <w:pStyle w:val="tabletextleft"/>
              <w:jc w:val="right"/>
              <w:rPr>
                <w:rFonts w:asciiTheme="minorHAnsi" w:hAnsiTheme="minorHAnsi" w:cstheme="minorHAnsi"/>
                <w:b/>
                <w:szCs w:val="18"/>
              </w:rPr>
            </w:pPr>
            <w:r w:rsidRPr="00A41CDE">
              <w:rPr>
                <w:rFonts w:asciiTheme="minorHAnsi" w:hAnsiTheme="minorHAnsi" w:cstheme="minorHAnsi"/>
                <w:b/>
                <w:szCs w:val="18"/>
              </w:rPr>
              <w:t>2023</w:t>
            </w:r>
          </w:p>
        </w:tc>
        <w:tc>
          <w:tcPr>
            <w:tcW w:w="1078" w:type="dxa"/>
            <w:shd w:val="clear" w:color="auto" w:fill="D7D4F1"/>
            <w:vAlign w:val="center"/>
          </w:tcPr>
          <w:p w14:paraId="445286EC" w14:textId="176F5CC4" w:rsidR="00806F52" w:rsidRPr="00A41CDE" w:rsidRDefault="00806F52" w:rsidP="00806F52">
            <w:pPr>
              <w:pStyle w:val="tabletextleft"/>
              <w:jc w:val="right"/>
              <w:rPr>
                <w:rFonts w:asciiTheme="minorHAnsi" w:hAnsiTheme="minorHAnsi" w:cstheme="minorHAnsi"/>
                <w:b/>
                <w:szCs w:val="18"/>
              </w:rPr>
            </w:pPr>
            <w:r w:rsidRPr="00A41CDE">
              <w:rPr>
                <w:rFonts w:asciiTheme="minorHAnsi" w:hAnsiTheme="minorHAnsi" w:cstheme="minorHAnsi"/>
                <w:b/>
                <w:szCs w:val="18"/>
              </w:rPr>
              <w:t>2024</w:t>
            </w:r>
          </w:p>
        </w:tc>
        <w:tc>
          <w:tcPr>
            <w:tcW w:w="1078" w:type="dxa"/>
            <w:shd w:val="clear" w:color="auto" w:fill="D7D4F1"/>
          </w:tcPr>
          <w:p w14:paraId="16464E33" w14:textId="77777777" w:rsidR="00806F52" w:rsidRPr="00A41CDE" w:rsidRDefault="00806F52" w:rsidP="00806F52">
            <w:pPr>
              <w:pStyle w:val="tabletextleft"/>
              <w:jc w:val="center"/>
              <w:rPr>
                <w:rFonts w:asciiTheme="minorHAnsi" w:hAnsiTheme="minorHAnsi" w:cstheme="minorHAnsi"/>
                <w:b/>
                <w:szCs w:val="18"/>
              </w:rPr>
            </w:pPr>
          </w:p>
          <w:p w14:paraId="40E7B2A2" w14:textId="2C0D536D" w:rsidR="00806F52" w:rsidRPr="00A41CDE" w:rsidRDefault="00806F52" w:rsidP="00806F52">
            <w:pPr>
              <w:pStyle w:val="tabletextleft"/>
              <w:jc w:val="center"/>
              <w:rPr>
                <w:rFonts w:asciiTheme="minorHAnsi" w:hAnsiTheme="minorHAnsi" w:cstheme="minorHAnsi"/>
                <w:b/>
                <w:szCs w:val="18"/>
              </w:rPr>
            </w:pPr>
            <w:r w:rsidRPr="00A41CDE">
              <w:rPr>
                <w:rFonts w:asciiTheme="minorHAnsi" w:hAnsiTheme="minorHAnsi" w:cstheme="minorHAnsi"/>
                <w:b/>
                <w:szCs w:val="18"/>
              </w:rPr>
              <w:t>2025</w:t>
            </w:r>
          </w:p>
        </w:tc>
      </w:tr>
      <w:tr w:rsidR="005B2032" w:rsidRPr="00A41CDE" w14:paraId="0FB54BC5" w14:textId="13BCC1ED" w:rsidTr="00C2491D">
        <w:trPr>
          <w:trHeight w:val="510"/>
          <w:jc w:val="center"/>
        </w:trPr>
        <w:tc>
          <w:tcPr>
            <w:tcW w:w="2974" w:type="dxa"/>
            <w:vAlign w:val="center"/>
            <w:hideMark/>
          </w:tcPr>
          <w:p w14:paraId="2DBE1EC5"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Нето предоставени/ получени заеми спрямо останалия свят, в това число:</w:t>
            </w:r>
          </w:p>
        </w:tc>
        <w:tc>
          <w:tcPr>
            <w:tcW w:w="709" w:type="dxa"/>
            <w:vAlign w:val="center"/>
            <w:hideMark/>
          </w:tcPr>
          <w:p w14:paraId="71AF25C8"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B.9</w:t>
            </w:r>
          </w:p>
        </w:tc>
        <w:tc>
          <w:tcPr>
            <w:tcW w:w="1077" w:type="dxa"/>
            <w:vAlign w:val="center"/>
          </w:tcPr>
          <w:p w14:paraId="67496F07" w14:textId="67EB3A89"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1078" w:type="dxa"/>
            <w:vAlign w:val="center"/>
          </w:tcPr>
          <w:p w14:paraId="073545AD" w14:textId="3EE39DAD"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7</w:t>
            </w:r>
          </w:p>
        </w:tc>
        <w:tc>
          <w:tcPr>
            <w:tcW w:w="1078" w:type="dxa"/>
            <w:vAlign w:val="center"/>
          </w:tcPr>
          <w:p w14:paraId="21BEA111" w14:textId="178425AF"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1078" w:type="dxa"/>
            <w:vAlign w:val="center"/>
          </w:tcPr>
          <w:p w14:paraId="2935CAE4" w14:textId="00094FE8"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1078" w:type="dxa"/>
            <w:vAlign w:val="center"/>
          </w:tcPr>
          <w:p w14:paraId="4B68691A" w14:textId="549D23FC"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1</w:t>
            </w:r>
          </w:p>
        </w:tc>
      </w:tr>
      <w:tr w:rsidR="005B2032" w:rsidRPr="00A41CDE" w14:paraId="1404DF0B" w14:textId="7F94F9A3" w:rsidTr="00C2491D">
        <w:trPr>
          <w:trHeight w:val="510"/>
          <w:jc w:val="center"/>
        </w:trPr>
        <w:tc>
          <w:tcPr>
            <w:tcW w:w="2974" w:type="dxa"/>
            <w:vAlign w:val="center"/>
            <w:hideMark/>
          </w:tcPr>
          <w:p w14:paraId="39288E39"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sym w:font="Symbol" w:char="F02D"/>
            </w:r>
            <w:r w:rsidRPr="00A41CDE">
              <w:rPr>
                <w:rFonts w:asciiTheme="minorHAnsi" w:hAnsiTheme="minorHAnsi" w:cstheme="minorHAnsi"/>
                <w:szCs w:val="18"/>
              </w:rPr>
              <w:t xml:space="preserve"> баланс на стоки и услуги</w:t>
            </w:r>
          </w:p>
        </w:tc>
        <w:tc>
          <w:tcPr>
            <w:tcW w:w="709" w:type="dxa"/>
            <w:vAlign w:val="center"/>
          </w:tcPr>
          <w:p w14:paraId="63E4E963" w14:textId="77777777" w:rsidR="007C6657" w:rsidRPr="00A41CDE" w:rsidRDefault="007C6657" w:rsidP="007C6657">
            <w:pPr>
              <w:pStyle w:val="tabletextleft"/>
              <w:rPr>
                <w:rFonts w:asciiTheme="minorHAnsi" w:hAnsiTheme="minorHAnsi" w:cstheme="minorHAnsi"/>
                <w:szCs w:val="18"/>
              </w:rPr>
            </w:pPr>
          </w:p>
        </w:tc>
        <w:tc>
          <w:tcPr>
            <w:tcW w:w="1077" w:type="dxa"/>
            <w:vAlign w:val="center"/>
          </w:tcPr>
          <w:p w14:paraId="5FDA5C25" w14:textId="288C24F9"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1078" w:type="dxa"/>
            <w:vAlign w:val="center"/>
          </w:tcPr>
          <w:p w14:paraId="570DE7D5" w14:textId="73CC13C8"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1078" w:type="dxa"/>
            <w:vAlign w:val="center"/>
          </w:tcPr>
          <w:p w14:paraId="4B83C1E7" w14:textId="36EDC85F"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1078" w:type="dxa"/>
            <w:vAlign w:val="center"/>
          </w:tcPr>
          <w:p w14:paraId="18B2877F" w14:textId="565A17E5"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1</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1078" w:type="dxa"/>
            <w:vAlign w:val="center"/>
          </w:tcPr>
          <w:p w14:paraId="1139D156" w14:textId="16FD0F71"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2</w:t>
            </w:r>
          </w:p>
        </w:tc>
      </w:tr>
      <w:tr w:rsidR="005B2032" w:rsidRPr="00A41CDE" w14:paraId="0115204C" w14:textId="7220921A" w:rsidTr="00C2491D">
        <w:trPr>
          <w:trHeight w:val="510"/>
          <w:jc w:val="center"/>
        </w:trPr>
        <w:tc>
          <w:tcPr>
            <w:tcW w:w="2974" w:type="dxa"/>
            <w:vAlign w:val="center"/>
            <w:hideMark/>
          </w:tcPr>
          <w:p w14:paraId="19ED5C8D"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sym w:font="Symbol" w:char="F02D"/>
            </w:r>
            <w:r w:rsidRPr="00A41CDE">
              <w:rPr>
                <w:rFonts w:asciiTheme="minorHAnsi" w:hAnsiTheme="minorHAnsi" w:cstheme="minorHAnsi"/>
                <w:szCs w:val="18"/>
              </w:rPr>
              <w:t xml:space="preserve"> баланс на първични доходи и трансфери</w:t>
            </w:r>
          </w:p>
        </w:tc>
        <w:tc>
          <w:tcPr>
            <w:tcW w:w="709" w:type="dxa"/>
            <w:vAlign w:val="center"/>
          </w:tcPr>
          <w:p w14:paraId="42043F80" w14:textId="77777777" w:rsidR="007C6657" w:rsidRPr="00A41CDE" w:rsidRDefault="007C6657" w:rsidP="007C6657">
            <w:pPr>
              <w:pStyle w:val="tabletextleft"/>
              <w:rPr>
                <w:rFonts w:asciiTheme="minorHAnsi" w:hAnsiTheme="minorHAnsi" w:cstheme="minorHAnsi"/>
                <w:szCs w:val="18"/>
              </w:rPr>
            </w:pPr>
          </w:p>
        </w:tc>
        <w:tc>
          <w:tcPr>
            <w:tcW w:w="1077" w:type="dxa"/>
            <w:vAlign w:val="center"/>
          </w:tcPr>
          <w:p w14:paraId="3804E6C5" w14:textId="7224B12A"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1078" w:type="dxa"/>
            <w:vAlign w:val="center"/>
          </w:tcPr>
          <w:p w14:paraId="2F15E22B" w14:textId="07E2F9C4"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1078" w:type="dxa"/>
            <w:vAlign w:val="center"/>
          </w:tcPr>
          <w:p w14:paraId="759253D9" w14:textId="38A7767B"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1078" w:type="dxa"/>
            <w:vAlign w:val="center"/>
          </w:tcPr>
          <w:p w14:paraId="09A7AFEF" w14:textId="6A2EEE3A"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5</w:t>
            </w:r>
          </w:p>
        </w:tc>
        <w:tc>
          <w:tcPr>
            <w:tcW w:w="1078" w:type="dxa"/>
            <w:vAlign w:val="center"/>
          </w:tcPr>
          <w:p w14:paraId="6691E2AF" w14:textId="42660882"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4</w:t>
            </w:r>
          </w:p>
        </w:tc>
      </w:tr>
      <w:tr w:rsidR="005B2032" w:rsidRPr="00A41CDE" w14:paraId="557FE388" w14:textId="05B23B81" w:rsidTr="00C2491D">
        <w:trPr>
          <w:trHeight w:val="510"/>
          <w:jc w:val="center"/>
        </w:trPr>
        <w:tc>
          <w:tcPr>
            <w:tcW w:w="2974" w:type="dxa"/>
            <w:vAlign w:val="center"/>
            <w:hideMark/>
          </w:tcPr>
          <w:p w14:paraId="2284A721"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sym w:font="Symbol" w:char="F02D"/>
            </w:r>
            <w:r w:rsidRPr="00A41CDE">
              <w:rPr>
                <w:rFonts w:asciiTheme="minorHAnsi" w:hAnsiTheme="minorHAnsi" w:cstheme="minorHAnsi"/>
                <w:szCs w:val="18"/>
              </w:rPr>
              <w:t xml:space="preserve"> капиталова сметка</w:t>
            </w:r>
          </w:p>
        </w:tc>
        <w:tc>
          <w:tcPr>
            <w:tcW w:w="709" w:type="dxa"/>
            <w:vAlign w:val="center"/>
          </w:tcPr>
          <w:p w14:paraId="560C5436" w14:textId="77777777" w:rsidR="007C6657" w:rsidRPr="00A41CDE" w:rsidRDefault="007C6657" w:rsidP="007C6657">
            <w:pPr>
              <w:pStyle w:val="tabletextleft"/>
              <w:rPr>
                <w:rFonts w:asciiTheme="minorHAnsi" w:hAnsiTheme="minorHAnsi" w:cstheme="minorHAnsi"/>
                <w:szCs w:val="18"/>
              </w:rPr>
            </w:pPr>
          </w:p>
        </w:tc>
        <w:tc>
          <w:tcPr>
            <w:tcW w:w="1077" w:type="dxa"/>
            <w:vAlign w:val="center"/>
          </w:tcPr>
          <w:p w14:paraId="32077BF0" w14:textId="2C3CD9E3"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0</w:t>
            </w:r>
            <w:r w:rsidR="000B3666" w:rsidRPr="00A41CDE">
              <w:rPr>
                <w:rFonts w:asciiTheme="minorHAnsi" w:hAnsiTheme="minorHAnsi" w:cstheme="minorHAnsi"/>
                <w:szCs w:val="18"/>
              </w:rPr>
              <w:t>.</w:t>
            </w:r>
            <w:r w:rsidRPr="00A41CDE">
              <w:rPr>
                <w:rFonts w:asciiTheme="minorHAnsi" w:hAnsiTheme="minorHAnsi" w:cstheme="minorHAnsi"/>
                <w:szCs w:val="18"/>
              </w:rPr>
              <w:t>7</w:t>
            </w:r>
          </w:p>
        </w:tc>
        <w:tc>
          <w:tcPr>
            <w:tcW w:w="1078" w:type="dxa"/>
            <w:vAlign w:val="center"/>
          </w:tcPr>
          <w:p w14:paraId="642A7FF3" w14:textId="5A0DA064"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1078" w:type="dxa"/>
            <w:vAlign w:val="center"/>
          </w:tcPr>
          <w:p w14:paraId="4D7B7E58" w14:textId="5F26EDC3"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2</w:t>
            </w:r>
          </w:p>
        </w:tc>
        <w:tc>
          <w:tcPr>
            <w:tcW w:w="1078" w:type="dxa"/>
            <w:vAlign w:val="center"/>
          </w:tcPr>
          <w:p w14:paraId="15AAD37B" w14:textId="11A17E6C"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1078" w:type="dxa"/>
            <w:vAlign w:val="center"/>
          </w:tcPr>
          <w:p w14:paraId="21A174DE" w14:textId="35CFD555"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2</w:t>
            </w:r>
          </w:p>
        </w:tc>
      </w:tr>
      <w:tr w:rsidR="005B2032" w:rsidRPr="00A41CDE" w14:paraId="278D19B4" w14:textId="4A0D3A8B" w:rsidTr="00C2491D">
        <w:trPr>
          <w:trHeight w:val="510"/>
          <w:jc w:val="center"/>
        </w:trPr>
        <w:tc>
          <w:tcPr>
            <w:tcW w:w="2974" w:type="dxa"/>
            <w:vAlign w:val="center"/>
            <w:hideMark/>
          </w:tcPr>
          <w:p w14:paraId="2648CE0C"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Нето предоставени/ получени заеми на частния сектор</w:t>
            </w:r>
          </w:p>
        </w:tc>
        <w:tc>
          <w:tcPr>
            <w:tcW w:w="709" w:type="dxa"/>
            <w:vAlign w:val="center"/>
            <w:hideMark/>
          </w:tcPr>
          <w:p w14:paraId="52155C94"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B.9</w:t>
            </w:r>
          </w:p>
        </w:tc>
        <w:tc>
          <w:tcPr>
            <w:tcW w:w="1077" w:type="dxa"/>
            <w:vAlign w:val="center"/>
          </w:tcPr>
          <w:p w14:paraId="188D78C7" w14:textId="30F9CB92"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4</w:t>
            </w:r>
          </w:p>
        </w:tc>
        <w:tc>
          <w:tcPr>
            <w:tcW w:w="1078" w:type="dxa"/>
            <w:vAlign w:val="center"/>
          </w:tcPr>
          <w:p w14:paraId="065F2A10" w14:textId="05EF88E4"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1078" w:type="dxa"/>
            <w:vAlign w:val="center"/>
          </w:tcPr>
          <w:p w14:paraId="0BDD4B08" w14:textId="4FD66E04"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1078" w:type="dxa"/>
            <w:vAlign w:val="center"/>
          </w:tcPr>
          <w:p w14:paraId="4394339E" w14:textId="4ECC5DCB"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6</w:t>
            </w:r>
          </w:p>
        </w:tc>
        <w:tc>
          <w:tcPr>
            <w:tcW w:w="1078" w:type="dxa"/>
            <w:vAlign w:val="center"/>
          </w:tcPr>
          <w:p w14:paraId="788BD4CA" w14:textId="7AB86C0D"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3</w:t>
            </w:r>
            <w:r w:rsidR="000B3666" w:rsidRPr="00A41CDE">
              <w:rPr>
                <w:rFonts w:asciiTheme="minorHAnsi" w:hAnsiTheme="minorHAnsi" w:cstheme="minorHAnsi"/>
                <w:szCs w:val="18"/>
              </w:rPr>
              <w:t>.</w:t>
            </w:r>
            <w:r w:rsidRPr="00A41CDE">
              <w:rPr>
                <w:rFonts w:asciiTheme="minorHAnsi" w:hAnsiTheme="minorHAnsi" w:cstheme="minorHAnsi"/>
                <w:szCs w:val="18"/>
              </w:rPr>
              <w:t>5</w:t>
            </w:r>
          </w:p>
        </w:tc>
      </w:tr>
      <w:tr w:rsidR="005B2032" w:rsidRPr="00A41CDE" w14:paraId="6D073361" w14:textId="276F319C" w:rsidTr="00C2491D">
        <w:trPr>
          <w:trHeight w:val="510"/>
          <w:jc w:val="center"/>
        </w:trPr>
        <w:tc>
          <w:tcPr>
            <w:tcW w:w="2974" w:type="dxa"/>
            <w:vAlign w:val="center"/>
            <w:hideMark/>
          </w:tcPr>
          <w:p w14:paraId="6B1FD80B"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Нето предоставени/ получени заеми на консолидираното правителство</w:t>
            </w:r>
          </w:p>
        </w:tc>
        <w:tc>
          <w:tcPr>
            <w:tcW w:w="709" w:type="dxa"/>
            <w:vAlign w:val="center"/>
            <w:hideMark/>
          </w:tcPr>
          <w:p w14:paraId="3FB00D0A" w14:textId="77777777" w:rsidR="007C6657" w:rsidRPr="00A41CDE" w:rsidRDefault="007C6657" w:rsidP="007C6657">
            <w:pPr>
              <w:pStyle w:val="tabletextleft"/>
              <w:rPr>
                <w:rFonts w:asciiTheme="minorHAnsi" w:hAnsiTheme="minorHAnsi" w:cstheme="minorHAnsi"/>
                <w:szCs w:val="18"/>
              </w:rPr>
            </w:pPr>
            <w:r w:rsidRPr="00A41CDE">
              <w:rPr>
                <w:rFonts w:asciiTheme="minorHAnsi" w:hAnsiTheme="minorHAnsi" w:cstheme="minorHAnsi"/>
                <w:szCs w:val="18"/>
              </w:rPr>
              <w:t>EDP B.9</w:t>
            </w:r>
          </w:p>
        </w:tc>
        <w:tc>
          <w:tcPr>
            <w:tcW w:w="1077" w:type="dxa"/>
            <w:vAlign w:val="center"/>
          </w:tcPr>
          <w:p w14:paraId="5FF119F7" w14:textId="625825D2"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-4</w:t>
            </w:r>
            <w:r w:rsidR="000B3666" w:rsidRPr="00A41CDE">
              <w:rPr>
                <w:rFonts w:asciiTheme="minorHAnsi" w:hAnsiTheme="minorHAnsi" w:cstheme="minorHAnsi"/>
                <w:szCs w:val="18"/>
              </w:rPr>
              <w:t>.</w:t>
            </w:r>
            <w:r w:rsidRPr="00A41CDE">
              <w:rPr>
                <w:rFonts w:asciiTheme="minorHAnsi" w:hAnsiTheme="minorHAnsi" w:cstheme="minorHAnsi"/>
                <w:szCs w:val="18"/>
              </w:rPr>
              <w:t>1</w:t>
            </w:r>
          </w:p>
        </w:tc>
        <w:tc>
          <w:tcPr>
            <w:tcW w:w="1078" w:type="dxa"/>
            <w:vAlign w:val="center"/>
          </w:tcPr>
          <w:p w14:paraId="3F7DF0B2" w14:textId="284C2C46"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-5</w:t>
            </w:r>
            <w:r w:rsidR="000B3666" w:rsidRPr="00A41CDE">
              <w:rPr>
                <w:rFonts w:asciiTheme="minorHAnsi" w:hAnsiTheme="minorHAnsi" w:cstheme="minorHAnsi"/>
                <w:szCs w:val="18"/>
              </w:rPr>
              <w:t>.</w:t>
            </w:r>
            <w:r w:rsidRPr="00A41CDE">
              <w:rPr>
                <w:rFonts w:asciiTheme="minorHAnsi" w:hAnsiTheme="minorHAnsi" w:cstheme="minorHAnsi"/>
                <w:szCs w:val="18"/>
              </w:rPr>
              <w:t>3</w:t>
            </w:r>
          </w:p>
        </w:tc>
        <w:tc>
          <w:tcPr>
            <w:tcW w:w="1078" w:type="dxa"/>
            <w:vAlign w:val="center"/>
          </w:tcPr>
          <w:p w14:paraId="5D87BFF1" w14:textId="5951E14A"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9</w:t>
            </w:r>
          </w:p>
        </w:tc>
        <w:tc>
          <w:tcPr>
            <w:tcW w:w="1078" w:type="dxa"/>
            <w:vAlign w:val="center"/>
          </w:tcPr>
          <w:p w14:paraId="3BDB743E" w14:textId="46ADA05F"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8</w:t>
            </w:r>
          </w:p>
        </w:tc>
        <w:tc>
          <w:tcPr>
            <w:tcW w:w="1078" w:type="dxa"/>
            <w:vAlign w:val="center"/>
          </w:tcPr>
          <w:p w14:paraId="6FCEFA9F" w14:textId="70360EC8" w:rsidR="007C6657" w:rsidRPr="00A41CDE" w:rsidRDefault="007C6657" w:rsidP="001F4C20">
            <w:pPr>
              <w:pStyle w:val="tabletextleft"/>
              <w:jc w:val="right"/>
              <w:rPr>
                <w:rFonts w:asciiTheme="minorHAnsi" w:hAnsiTheme="minorHAnsi" w:cstheme="minorHAnsi"/>
                <w:szCs w:val="18"/>
              </w:rPr>
            </w:pPr>
            <w:r w:rsidRPr="00A41CDE">
              <w:rPr>
                <w:rFonts w:asciiTheme="minorHAnsi" w:hAnsiTheme="minorHAnsi" w:cstheme="minorHAnsi"/>
                <w:szCs w:val="18"/>
              </w:rPr>
              <w:t>-2</w:t>
            </w:r>
            <w:r w:rsidR="000B3666" w:rsidRPr="00A41CDE">
              <w:rPr>
                <w:rFonts w:asciiTheme="minorHAnsi" w:hAnsiTheme="minorHAnsi" w:cstheme="minorHAnsi"/>
                <w:szCs w:val="18"/>
              </w:rPr>
              <w:t>.</w:t>
            </w:r>
            <w:r w:rsidRPr="00A41CDE">
              <w:rPr>
                <w:rFonts w:asciiTheme="minorHAnsi" w:hAnsiTheme="minorHAnsi" w:cstheme="minorHAnsi"/>
                <w:szCs w:val="18"/>
              </w:rPr>
              <w:t>4</w:t>
            </w:r>
          </w:p>
        </w:tc>
      </w:tr>
      <w:tr w:rsidR="00806F52" w:rsidRPr="00A41CDE" w14:paraId="46ADBE99" w14:textId="72719481" w:rsidTr="00C2491D">
        <w:trPr>
          <w:trHeight w:val="510"/>
          <w:jc w:val="center"/>
        </w:trPr>
        <w:tc>
          <w:tcPr>
            <w:tcW w:w="2974" w:type="dxa"/>
            <w:vAlign w:val="center"/>
            <w:hideMark/>
          </w:tcPr>
          <w:p w14:paraId="484B0DAB" w14:textId="77777777" w:rsidR="00806F52" w:rsidRPr="00A41CDE" w:rsidRDefault="00806F52" w:rsidP="00C1337B">
            <w:pPr>
              <w:pStyle w:val="tabletextleft"/>
              <w:rPr>
                <w:rFonts w:asciiTheme="minorHAnsi" w:hAnsiTheme="minorHAnsi" w:cstheme="minorHAnsi"/>
                <w:szCs w:val="18"/>
                <w:highlight w:val="yellow"/>
              </w:rPr>
            </w:pPr>
            <w:r w:rsidRPr="00A41CDE">
              <w:rPr>
                <w:rFonts w:asciiTheme="minorHAnsi" w:hAnsiTheme="minorHAnsi" w:cstheme="minorHAnsi"/>
                <w:szCs w:val="18"/>
              </w:rPr>
              <w:t>Статистическа разлика</w:t>
            </w:r>
          </w:p>
        </w:tc>
        <w:tc>
          <w:tcPr>
            <w:tcW w:w="709" w:type="dxa"/>
            <w:vAlign w:val="center"/>
          </w:tcPr>
          <w:p w14:paraId="025835A9" w14:textId="77777777" w:rsidR="00806F52" w:rsidRPr="00A41CDE" w:rsidRDefault="00806F52" w:rsidP="00C1337B">
            <w:pPr>
              <w:pStyle w:val="tabletextleft"/>
              <w:rPr>
                <w:rFonts w:asciiTheme="minorHAnsi" w:hAnsiTheme="minorHAnsi" w:cstheme="minorHAnsi"/>
                <w:szCs w:val="18"/>
                <w:highlight w:val="yellow"/>
              </w:rPr>
            </w:pPr>
          </w:p>
        </w:tc>
        <w:tc>
          <w:tcPr>
            <w:tcW w:w="1077" w:type="dxa"/>
            <w:vAlign w:val="center"/>
          </w:tcPr>
          <w:p w14:paraId="0D0F5463" w14:textId="77777777" w:rsidR="00806F52" w:rsidRPr="00A41CDE" w:rsidRDefault="00806F52" w:rsidP="001F4C20">
            <w:pPr>
              <w:pStyle w:val="tabletextleft"/>
              <w:jc w:val="right"/>
              <w:rPr>
                <w:rFonts w:asciiTheme="minorHAnsi" w:hAnsiTheme="minorHAnsi" w:cstheme="minorHAnsi"/>
                <w:szCs w:val="18"/>
                <w:highlight w:val="yellow"/>
              </w:rPr>
            </w:pPr>
            <w:r w:rsidRPr="00A41CDE">
              <w:rPr>
                <w:rFonts w:asciiTheme="minorHAnsi" w:hAnsiTheme="minorHAnsi" w:cstheme="minorHAnsi"/>
                <w:szCs w:val="18"/>
              </w:rPr>
              <w:t>-</w:t>
            </w:r>
          </w:p>
        </w:tc>
        <w:tc>
          <w:tcPr>
            <w:tcW w:w="1078" w:type="dxa"/>
            <w:vAlign w:val="center"/>
          </w:tcPr>
          <w:p w14:paraId="20251217" w14:textId="77777777" w:rsidR="00806F52" w:rsidRPr="00A41CDE" w:rsidRDefault="00806F52" w:rsidP="001F4C20">
            <w:pPr>
              <w:pStyle w:val="tabletextleft"/>
              <w:jc w:val="right"/>
              <w:rPr>
                <w:rFonts w:asciiTheme="minorHAnsi" w:hAnsiTheme="minorHAnsi" w:cstheme="minorHAnsi"/>
                <w:szCs w:val="18"/>
                <w:highlight w:val="yellow"/>
              </w:rPr>
            </w:pPr>
            <w:r w:rsidRPr="00A41CDE">
              <w:rPr>
                <w:rFonts w:asciiTheme="minorHAnsi" w:hAnsiTheme="minorHAnsi" w:cstheme="minorHAnsi"/>
                <w:szCs w:val="18"/>
              </w:rPr>
              <w:t>-</w:t>
            </w:r>
          </w:p>
        </w:tc>
        <w:tc>
          <w:tcPr>
            <w:tcW w:w="1078" w:type="dxa"/>
            <w:vAlign w:val="center"/>
          </w:tcPr>
          <w:p w14:paraId="4933C8B3" w14:textId="77777777" w:rsidR="00806F52" w:rsidRPr="00A41CDE" w:rsidRDefault="00806F52" w:rsidP="001F4C20">
            <w:pPr>
              <w:pStyle w:val="tabletextleft"/>
              <w:jc w:val="right"/>
              <w:rPr>
                <w:rFonts w:asciiTheme="minorHAnsi" w:hAnsiTheme="minorHAnsi" w:cstheme="minorHAnsi"/>
                <w:szCs w:val="18"/>
                <w:highlight w:val="yellow"/>
              </w:rPr>
            </w:pPr>
            <w:r w:rsidRPr="00A41CDE">
              <w:rPr>
                <w:rFonts w:asciiTheme="minorHAnsi" w:hAnsiTheme="minorHAnsi" w:cstheme="minorHAnsi"/>
                <w:szCs w:val="18"/>
              </w:rPr>
              <w:t>-</w:t>
            </w:r>
          </w:p>
        </w:tc>
        <w:tc>
          <w:tcPr>
            <w:tcW w:w="1078" w:type="dxa"/>
            <w:vAlign w:val="center"/>
          </w:tcPr>
          <w:p w14:paraId="62A74923" w14:textId="77777777" w:rsidR="00806F52" w:rsidRPr="00A41CDE" w:rsidRDefault="00806F52" w:rsidP="001F4C20">
            <w:pPr>
              <w:pStyle w:val="tabletextleft"/>
              <w:jc w:val="right"/>
              <w:rPr>
                <w:rFonts w:asciiTheme="minorHAnsi" w:hAnsiTheme="minorHAnsi" w:cstheme="minorHAnsi"/>
                <w:szCs w:val="18"/>
                <w:highlight w:val="yellow"/>
              </w:rPr>
            </w:pPr>
            <w:r w:rsidRPr="00A41CDE">
              <w:rPr>
                <w:rFonts w:asciiTheme="minorHAnsi" w:hAnsiTheme="minorHAnsi" w:cstheme="minorHAnsi"/>
                <w:szCs w:val="18"/>
              </w:rPr>
              <w:t>-</w:t>
            </w:r>
          </w:p>
        </w:tc>
        <w:tc>
          <w:tcPr>
            <w:tcW w:w="1078" w:type="dxa"/>
            <w:vAlign w:val="center"/>
          </w:tcPr>
          <w:p w14:paraId="0A5B04B0" w14:textId="03AC84F4" w:rsidR="00806F52" w:rsidRPr="00A41CDE" w:rsidRDefault="00806F52" w:rsidP="001F4C20">
            <w:pPr>
              <w:pStyle w:val="tabletextleft"/>
              <w:jc w:val="right"/>
              <w:rPr>
                <w:rFonts w:asciiTheme="minorHAnsi" w:hAnsiTheme="minorHAnsi" w:cstheme="minorHAnsi"/>
                <w:szCs w:val="18"/>
              </w:rPr>
            </w:pPr>
            <w:r w:rsidRPr="00A41CDE">
              <w:rPr>
                <w:rFonts w:asciiTheme="minorHAnsi" w:hAnsiTheme="minorHAnsi" w:cstheme="minorHAnsi"/>
                <w:szCs w:val="18"/>
              </w:rPr>
              <w:t>-</w:t>
            </w:r>
          </w:p>
        </w:tc>
      </w:tr>
    </w:tbl>
    <w:p w14:paraId="1275C93A" w14:textId="77777777" w:rsidR="00E949BA" w:rsidRPr="005B2032" w:rsidRDefault="00E949BA" w:rsidP="00E949BA">
      <w:pPr>
        <w:rPr>
          <w:rFonts w:asciiTheme="minorHAnsi" w:hAnsiTheme="minorHAnsi" w:cstheme="minorHAnsi"/>
        </w:rPr>
      </w:pPr>
      <w:bookmarkStart w:id="166" w:name="_Toc448227315"/>
      <w:bookmarkStart w:id="167" w:name="_Toc479332466"/>
    </w:p>
    <w:p w14:paraId="0D2868CC" w14:textId="77777777" w:rsidR="00332525" w:rsidRPr="002A19EC" w:rsidRDefault="00332525" w:rsidP="00195A0D">
      <w:pPr>
        <w:pStyle w:val="Heading2"/>
        <w:numPr>
          <w:ilvl w:val="0"/>
          <w:numId w:val="0"/>
        </w:numPr>
        <w:spacing w:before="480"/>
      </w:pPr>
      <w:bookmarkStart w:id="168" w:name="_Toc100906095"/>
      <w:r w:rsidRPr="002A19EC">
        <w:t>Табл. 2a: Бюджетни прогнози на сектор „Държавно управление”</w:t>
      </w:r>
      <w:bookmarkEnd w:id="166"/>
      <w:bookmarkEnd w:id="167"/>
      <w:bookmarkEnd w:id="168"/>
    </w:p>
    <w:tbl>
      <w:tblPr>
        <w:tblStyle w:val="Style19"/>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85" w:type="dxa"/>
          <w:right w:w="85" w:type="dxa"/>
        </w:tblCellMar>
        <w:tblLook w:val="06A0" w:firstRow="1" w:lastRow="0" w:firstColumn="1" w:lastColumn="0" w:noHBand="1" w:noVBand="1"/>
      </w:tblPr>
      <w:tblGrid>
        <w:gridCol w:w="3327"/>
        <w:gridCol w:w="840"/>
        <w:gridCol w:w="888"/>
        <w:gridCol w:w="813"/>
        <w:gridCol w:w="813"/>
        <w:gridCol w:w="808"/>
        <w:gridCol w:w="791"/>
        <w:gridCol w:w="784"/>
      </w:tblGrid>
      <w:tr w:rsidR="005B2032" w:rsidRPr="005B2032" w14:paraId="59D697CA" w14:textId="7BD4A6D8" w:rsidTr="00C2491D">
        <w:trPr>
          <w:trHeight w:val="340"/>
          <w:tblHeader/>
          <w:jc w:val="center"/>
        </w:trPr>
        <w:tc>
          <w:tcPr>
            <w:tcW w:w="3327" w:type="dxa"/>
            <w:vMerge w:val="restart"/>
            <w:shd w:val="clear" w:color="auto" w:fill="D7D4F1"/>
            <w:vAlign w:val="center"/>
          </w:tcPr>
          <w:p w14:paraId="6249135A" w14:textId="77777777" w:rsidR="00806F52" w:rsidRPr="005B2032" w:rsidRDefault="00806F52" w:rsidP="001F4C20">
            <w:pPr>
              <w:pStyle w:val="tabletextleft"/>
              <w:spacing w:before="60" w:afterLines="60" w:after="144"/>
              <w:rPr>
                <w:rFonts w:asciiTheme="minorHAnsi" w:hAnsiTheme="minorHAnsi" w:cstheme="minorHAnsi"/>
              </w:rPr>
            </w:pPr>
          </w:p>
        </w:tc>
        <w:tc>
          <w:tcPr>
            <w:tcW w:w="840" w:type="dxa"/>
            <w:vMerge w:val="restart"/>
            <w:shd w:val="clear" w:color="auto" w:fill="D7D4F1"/>
            <w:vAlign w:val="center"/>
            <w:hideMark/>
          </w:tcPr>
          <w:p w14:paraId="28785B35" w14:textId="77777777" w:rsidR="00806F52" w:rsidRPr="005B2032" w:rsidRDefault="00806F52" w:rsidP="001F4C20">
            <w:pPr>
              <w:pStyle w:val="tabletextleft"/>
              <w:spacing w:before="60" w:afterLines="60" w:after="144"/>
              <w:rPr>
                <w:rFonts w:asciiTheme="minorHAnsi" w:hAnsiTheme="minorHAnsi" w:cstheme="minorHAnsi"/>
              </w:rPr>
            </w:pPr>
            <w:r w:rsidRPr="005B2032">
              <w:rPr>
                <w:rFonts w:asciiTheme="minorHAnsi" w:hAnsiTheme="minorHAnsi" w:cstheme="minorHAnsi"/>
              </w:rPr>
              <w:t>EСС 2010</w:t>
            </w:r>
          </w:p>
        </w:tc>
        <w:tc>
          <w:tcPr>
            <w:tcW w:w="888" w:type="dxa"/>
            <w:shd w:val="clear" w:color="auto" w:fill="D7D4F1"/>
            <w:vAlign w:val="center"/>
          </w:tcPr>
          <w:p w14:paraId="2C4FCF3B" w14:textId="334BAEFF" w:rsidR="00806F52" w:rsidRPr="005B2032" w:rsidRDefault="00806F52" w:rsidP="00195A0D">
            <w:pPr>
              <w:pStyle w:val="tabletextleft"/>
              <w:spacing w:before="60" w:afterLines="60" w:after="144"/>
              <w:jc w:val="center"/>
              <w:rPr>
                <w:rFonts w:asciiTheme="minorHAnsi" w:hAnsiTheme="minorHAnsi" w:cstheme="minorHAnsi"/>
                <w:b/>
              </w:rPr>
            </w:pPr>
            <w:r w:rsidRPr="005B2032">
              <w:rPr>
                <w:rFonts w:asciiTheme="minorHAnsi" w:hAnsiTheme="minorHAnsi" w:cstheme="minorHAnsi"/>
                <w:b/>
              </w:rPr>
              <w:t>2021</w:t>
            </w:r>
          </w:p>
        </w:tc>
        <w:tc>
          <w:tcPr>
            <w:tcW w:w="813" w:type="dxa"/>
            <w:shd w:val="clear" w:color="auto" w:fill="D7D4F1"/>
            <w:vAlign w:val="center"/>
          </w:tcPr>
          <w:p w14:paraId="0CCDCF25" w14:textId="0EA7AFD1" w:rsidR="00806F52" w:rsidRPr="005B2032" w:rsidRDefault="00806F52" w:rsidP="00195A0D">
            <w:pPr>
              <w:pStyle w:val="tabletextleft"/>
              <w:spacing w:before="60" w:afterLines="60" w:after="144"/>
              <w:jc w:val="center"/>
              <w:rPr>
                <w:rFonts w:asciiTheme="minorHAnsi" w:hAnsiTheme="minorHAnsi" w:cstheme="minorHAnsi"/>
                <w:b/>
              </w:rPr>
            </w:pPr>
            <w:r w:rsidRPr="005B2032">
              <w:rPr>
                <w:rFonts w:asciiTheme="minorHAnsi" w:hAnsiTheme="minorHAnsi" w:cstheme="minorHAnsi"/>
                <w:b/>
              </w:rPr>
              <w:t>2021</w:t>
            </w:r>
          </w:p>
        </w:tc>
        <w:tc>
          <w:tcPr>
            <w:tcW w:w="813" w:type="dxa"/>
            <w:shd w:val="clear" w:color="auto" w:fill="D7D4F1"/>
            <w:vAlign w:val="center"/>
          </w:tcPr>
          <w:p w14:paraId="4E908792" w14:textId="790F32FE" w:rsidR="00806F52" w:rsidRPr="005B2032" w:rsidRDefault="00806F52" w:rsidP="00195A0D">
            <w:pPr>
              <w:pStyle w:val="tabletextleft"/>
              <w:spacing w:before="60" w:afterLines="60" w:after="144"/>
              <w:jc w:val="center"/>
              <w:rPr>
                <w:rFonts w:asciiTheme="minorHAnsi" w:hAnsiTheme="minorHAnsi" w:cstheme="minorHAnsi"/>
                <w:b/>
              </w:rPr>
            </w:pPr>
            <w:r w:rsidRPr="005B2032">
              <w:rPr>
                <w:rFonts w:asciiTheme="minorHAnsi" w:hAnsiTheme="minorHAnsi" w:cstheme="minorHAnsi"/>
                <w:b/>
              </w:rPr>
              <w:t>2022</w:t>
            </w:r>
          </w:p>
        </w:tc>
        <w:tc>
          <w:tcPr>
            <w:tcW w:w="808" w:type="dxa"/>
            <w:shd w:val="clear" w:color="auto" w:fill="D7D4F1"/>
            <w:vAlign w:val="center"/>
          </w:tcPr>
          <w:p w14:paraId="19ADD0AC" w14:textId="01B8E604" w:rsidR="00806F52" w:rsidRPr="005B2032" w:rsidRDefault="00806F52" w:rsidP="00195A0D">
            <w:pPr>
              <w:pStyle w:val="tabletextleft"/>
              <w:spacing w:before="60" w:afterLines="60" w:after="144"/>
              <w:jc w:val="center"/>
              <w:rPr>
                <w:rFonts w:asciiTheme="minorHAnsi" w:hAnsiTheme="minorHAnsi" w:cstheme="minorHAnsi"/>
                <w:b/>
              </w:rPr>
            </w:pPr>
            <w:r w:rsidRPr="005B2032">
              <w:rPr>
                <w:rFonts w:asciiTheme="minorHAnsi" w:hAnsiTheme="minorHAnsi" w:cstheme="minorHAnsi"/>
                <w:b/>
              </w:rPr>
              <w:t>2023</w:t>
            </w:r>
          </w:p>
        </w:tc>
        <w:tc>
          <w:tcPr>
            <w:tcW w:w="791" w:type="dxa"/>
            <w:shd w:val="clear" w:color="auto" w:fill="D7D4F1"/>
            <w:vAlign w:val="center"/>
          </w:tcPr>
          <w:p w14:paraId="3C2B07CA" w14:textId="33E7E31F" w:rsidR="00806F52" w:rsidRPr="005B2032" w:rsidRDefault="00806F52" w:rsidP="00195A0D">
            <w:pPr>
              <w:pStyle w:val="tabletextleft"/>
              <w:spacing w:before="60" w:afterLines="60" w:after="144"/>
              <w:jc w:val="center"/>
              <w:rPr>
                <w:rFonts w:asciiTheme="minorHAnsi" w:hAnsiTheme="minorHAnsi" w:cstheme="minorHAnsi"/>
                <w:b/>
              </w:rPr>
            </w:pPr>
            <w:r w:rsidRPr="005B2032">
              <w:rPr>
                <w:rFonts w:asciiTheme="minorHAnsi" w:hAnsiTheme="minorHAnsi" w:cstheme="minorHAnsi"/>
                <w:b/>
              </w:rPr>
              <w:t>2024</w:t>
            </w:r>
          </w:p>
        </w:tc>
        <w:tc>
          <w:tcPr>
            <w:tcW w:w="784" w:type="dxa"/>
            <w:shd w:val="clear" w:color="auto" w:fill="D7D4F1"/>
            <w:vAlign w:val="center"/>
          </w:tcPr>
          <w:p w14:paraId="281198E4" w14:textId="6BD9768F" w:rsidR="00806F52" w:rsidRPr="005B2032" w:rsidRDefault="00806F52" w:rsidP="00195A0D">
            <w:pPr>
              <w:pStyle w:val="tabletextleft"/>
              <w:spacing w:before="60" w:afterLines="60" w:after="144"/>
              <w:jc w:val="center"/>
              <w:rPr>
                <w:rFonts w:asciiTheme="minorHAnsi" w:hAnsiTheme="minorHAnsi" w:cstheme="minorHAnsi"/>
                <w:b/>
              </w:rPr>
            </w:pPr>
            <w:r w:rsidRPr="005B2032">
              <w:rPr>
                <w:rFonts w:asciiTheme="minorHAnsi" w:hAnsiTheme="minorHAnsi" w:cstheme="minorHAnsi"/>
                <w:b/>
              </w:rPr>
              <w:t>2025</w:t>
            </w:r>
          </w:p>
        </w:tc>
      </w:tr>
      <w:tr w:rsidR="005B2032" w:rsidRPr="005B2032" w14:paraId="737B9F10" w14:textId="46233660" w:rsidTr="00C2491D">
        <w:trPr>
          <w:trHeight w:val="340"/>
          <w:tblHeader/>
          <w:jc w:val="center"/>
        </w:trPr>
        <w:tc>
          <w:tcPr>
            <w:tcW w:w="3327" w:type="dxa"/>
            <w:vMerge/>
            <w:shd w:val="clear" w:color="auto" w:fill="D7D4F1"/>
            <w:vAlign w:val="center"/>
            <w:hideMark/>
          </w:tcPr>
          <w:p w14:paraId="1889FE32" w14:textId="77777777" w:rsidR="00806F52" w:rsidRPr="005B2032" w:rsidRDefault="00806F52" w:rsidP="001F4C20">
            <w:pPr>
              <w:pStyle w:val="tabletextleft"/>
              <w:spacing w:before="60" w:afterLines="60" w:after="144"/>
              <w:rPr>
                <w:rFonts w:asciiTheme="minorHAnsi" w:hAnsiTheme="minorHAnsi" w:cstheme="minorHAnsi"/>
              </w:rPr>
            </w:pPr>
          </w:p>
        </w:tc>
        <w:tc>
          <w:tcPr>
            <w:tcW w:w="840" w:type="dxa"/>
            <w:vMerge/>
            <w:shd w:val="clear" w:color="auto" w:fill="D7D4F1"/>
            <w:vAlign w:val="center"/>
            <w:hideMark/>
          </w:tcPr>
          <w:p w14:paraId="00E98787" w14:textId="77777777" w:rsidR="00806F52" w:rsidRPr="005B2032" w:rsidRDefault="00806F52" w:rsidP="001F4C20">
            <w:pPr>
              <w:pStyle w:val="tabletextleft"/>
              <w:spacing w:before="60" w:afterLines="60" w:after="144"/>
              <w:rPr>
                <w:rFonts w:asciiTheme="minorHAnsi" w:hAnsiTheme="minorHAnsi" w:cstheme="minorHAnsi"/>
              </w:rPr>
            </w:pPr>
          </w:p>
        </w:tc>
        <w:tc>
          <w:tcPr>
            <w:tcW w:w="888" w:type="dxa"/>
            <w:shd w:val="clear" w:color="auto" w:fill="D7D4F1"/>
            <w:vAlign w:val="center"/>
            <w:hideMark/>
          </w:tcPr>
          <w:p w14:paraId="07B83B96" w14:textId="77777777" w:rsidR="00A407C5" w:rsidRDefault="00806F52" w:rsidP="00195A0D">
            <w:pPr>
              <w:pStyle w:val="tabletextleft"/>
              <w:jc w:val="center"/>
              <w:rPr>
                <w:rFonts w:asciiTheme="minorHAnsi" w:hAnsiTheme="minorHAnsi" w:cstheme="minorHAnsi"/>
              </w:rPr>
            </w:pPr>
            <w:r w:rsidRPr="005B2032">
              <w:rPr>
                <w:rFonts w:asciiTheme="minorHAnsi" w:hAnsiTheme="minorHAnsi" w:cstheme="minorHAnsi"/>
              </w:rPr>
              <w:t>Равнище</w:t>
            </w:r>
          </w:p>
          <w:p w14:paraId="1A0104D6" w14:textId="41D28C1C" w:rsidR="00806F52" w:rsidRPr="005B2032" w:rsidRDefault="00A407C5" w:rsidP="00195A0D">
            <w:pPr>
              <w:pStyle w:val="tabletextleft"/>
              <w:spacing w:before="60" w:afterLines="60" w:after="144"/>
              <w:jc w:val="center"/>
              <w:rPr>
                <w:rFonts w:asciiTheme="minorHAnsi" w:hAnsiTheme="minorHAnsi" w:cstheme="minorHAnsi"/>
              </w:rPr>
            </w:pPr>
            <w:r w:rsidRPr="00195A0D">
              <w:rPr>
                <w:rFonts w:asciiTheme="minorHAnsi" w:hAnsiTheme="minorHAnsi" w:cstheme="minorHAnsi"/>
                <w:sz w:val="16"/>
              </w:rPr>
              <w:t>(млн. лв.)</w:t>
            </w:r>
          </w:p>
        </w:tc>
        <w:tc>
          <w:tcPr>
            <w:tcW w:w="813" w:type="dxa"/>
            <w:shd w:val="clear" w:color="auto" w:fill="D7D4F1"/>
            <w:vAlign w:val="center"/>
            <w:hideMark/>
          </w:tcPr>
          <w:p w14:paraId="34234176" w14:textId="77777777" w:rsidR="00806F52" w:rsidRPr="005B2032" w:rsidRDefault="00806F52" w:rsidP="00195A0D">
            <w:pPr>
              <w:pStyle w:val="tabletextleft"/>
              <w:spacing w:before="60" w:afterLines="60" w:after="144"/>
              <w:jc w:val="center"/>
              <w:rPr>
                <w:rFonts w:asciiTheme="minorHAnsi" w:hAnsiTheme="minorHAnsi" w:cstheme="minorHAnsi"/>
              </w:rPr>
            </w:pPr>
            <w:r w:rsidRPr="005B2032">
              <w:rPr>
                <w:rFonts w:asciiTheme="minorHAnsi" w:hAnsiTheme="minorHAnsi" w:cstheme="minorHAnsi"/>
              </w:rPr>
              <w:t>% от БВП</w:t>
            </w:r>
          </w:p>
        </w:tc>
        <w:tc>
          <w:tcPr>
            <w:tcW w:w="813" w:type="dxa"/>
            <w:shd w:val="clear" w:color="auto" w:fill="D7D4F1"/>
            <w:vAlign w:val="center"/>
            <w:hideMark/>
          </w:tcPr>
          <w:p w14:paraId="4793284B" w14:textId="77777777" w:rsidR="00806F52" w:rsidRPr="005B2032" w:rsidRDefault="00806F52" w:rsidP="00195A0D">
            <w:pPr>
              <w:pStyle w:val="tabletextleft"/>
              <w:spacing w:before="60" w:afterLines="60" w:after="144"/>
              <w:jc w:val="center"/>
              <w:rPr>
                <w:rFonts w:asciiTheme="minorHAnsi" w:hAnsiTheme="minorHAnsi" w:cstheme="minorHAnsi"/>
              </w:rPr>
            </w:pPr>
            <w:r w:rsidRPr="005B2032">
              <w:rPr>
                <w:rFonts w:asciiTheme="minorHAnsi" w:hAnsiTheme="minorHAnsi" w:cstheme="minorHAnsi"/>
              </w:rPr>
              <w:t>% от БВП</w:t>
            </w:r>
          </w:p>
        </w:tc>
        <w:tc>
          <w:tcPr>
            <w:tcW w:w="808" w:type="dxa"/>
            <w:shd w:val="clear" w:color="auto" w:fill="D7D4F1"/>
            <w:vAlign w:val="center"/>
            <w:hideMark/>
          </w:tcPr>
          <w:p w14:paraId="737D8DF6" w14:textId="77777777" w:rsidR="00806F52" w:rsidRPr="005B2032" w:rsidRDefault="00806F52" w:rsidP="00195A0D">
            <w:pPr>
              <w:pStyle w:val="tabletextleft"/>
              <w:spacing w:before="60" w:afterLines="60" w:after="144"/>
              <w:jc w:val="center"/>
              <w:rPr>
                <w:rFonts w:asciiTheme="minorHAnsi" w:hAnsiTheme="minorHAnsi" w:cstheme="minorHAnsi"/>
              </w:rPr>
            </w:pPr>
            <w:r w:rsidRPr="005B2032">
              <w:rPr>
                <w:rFonts w:asciiTheme="minorHAnsi" w:hAnsiTheme="minorHAnsi" w:cstheme="minorHAnsi"/>
              </w:rPr>
              <w:t>% от БВП</w:t>
            </w:r>
          </w:p>
        </w:tc>
        <w:tc>
          <w:tcPr>
            <w:tcW w:w="791" w:type="dxa"/>
            <w:shd w:val="clear" w:color="auto" w:fill="D7D4F1"/>
            <w:vAlign w:val="center"/>
            <w:hideMark/>
          </w:tcPr>
          <w:p w14:paraId="32BC0E41" w14:textId="77777777" w:rsidR="00806F52" w:rsidRPr="005B2032" w:rsidRDefault="00806F52" w:rsidP="00195A0D">
            <w:pPr>
              <w:pStyle w:val="tabletextleft"/>
              <w:spacing w:before="60" w:afterLines="60" w:after="144"/>
              <w:jc w:val="center"/>
              <w:rPr>
                <w:rFonts w:asciiTheme="minorHAnsi" w:hAnsiTheme="minorHAnsi" w:cstheme="minorHAnsi"/>
              </w:rPr>
            </w:pPr>
            <w:r w:rsidRPr="005B2032">
              <w:rPr>
                <w:rFonts w:asciiTheme="minorHAnsi" w:hAnsiTheme="minorHAnsi" w:cstheme="minorHAnsi"/>
              </w:rPr>
              <w:t>% от БВП</w:t>
            </w:r>
          </w:p>
        </w:tc>
        <w:tc>
          <w:tcPr>
            <w:tcW w:w="784" w:type="dxa"/>
            <w:shd w:val="clear" w:color="auto" w:fill="D7D4F1"/>
            <w:vAlign w:val="center"/>
          </w:tcPr>
          <w:p w14:paraId="4FE9C8A8" w14:textId="1F46FF56" w:rsidR="00806F52" w:rsidRPr="005B2032" w:rsidRDefault="00806F52" w:rsidP="00195A0D">
            <w:pPr>
              <w:pStyle w:val="tabletextleft"/>
              <w:spacing w:before="60" w:afterLines="60" w:after="144"/>
              <w:jc w:val="center"/>
              <w:rPr>
                <w:rFonts w:asciiTheme="minorHAnsi" w:hAnsiTheme="minorHAnsi" w:cstheme="minorHAnsi"/>
              </w:rPr>
            </w:pPr>
            <w:r w:rsidRPr="005B2032">
              <w:rPr>
                <w:rFonts w:asciiTheme="minorHAnsi" w:hAnsiTheme="minorHAnsi" w:cstheme="minorHAnsi"/>
              </w:rPr>
              <w:t>% от БВП</w:t>
            </w:r>
          </w:p>
        </w:tc>
      </w:tr>
      <w:tr w:rsidR="00A3373C" w:rsidRPr="005B2032" w14:paraId="72FDE180" w14:textId="56C3AF52" w:rsidTr="00C2491D">
        <w:trPr>
          <w:trHeight w:val="567"/>
          <w:jc w:val="center"/>
        </w:trPr>
        <w:tc>
          <w:tcPr>
            <w:tcW w:w="3327" w:type="dxa"/>
            <w:noWrap/>
            <w:vAlign w:val="center"/>
            <w:hideMark/>
          </w:tcPr>
          <w:p w14:paraId="689225A4"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 Консолидирано правителство</w:t>
            </w:r>
          </w:p>
        </w:tc>
        <w:tc>
          <w:tcPr>
            <w:tcW w:w="840" w:type="dxa"/>
            <w:vAlign w:val="center"/>
            <w:hideMark/>
          </w:tcPr>
          <w:p w14:paraId="49BAF618"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S.13</w:t>
            </w:r>
          </w:p>
        </w:tc>
        <w:tc>
          <w:tcPr>
            <w:tcW w:w="888" w:type="dxa"/>
            <w:vAlign w:val="center"/>
          </w:tcPr>
          <w:p w14:paraId="247FD7AE" w14:textId="1B4F2C23" w:rsidR="00A3373C" w:rsidRPr="00195A0D" w:rsidRDefault="00A3373C" w:rsidP="00195A0D">
            <w:pPr>
              <w:pStyle w:val="tabletextleft"/>
              <w:spacing w:before="0" w:after="0"/>
              <w:jc w:val="right"/>
              <w:rPr>
                <w:szCs w:val="18"/>
              </w:rPr>
            </w:pPr>
            <w:r w:rsidRPr="00195A0D">
              <w:rPr>
                <w:szCs w:val="18"/>
              </w:rPr>
              <w:t>-5432.7</w:t>
            </w:r>
          </w:p>
        </w:tc>
        <w:tc>
          <w:tcPr>
            <w:tcW w:w="813" w:type="dxa"/>
            <w:vAlign w:val="center"/>
          </w:tcPr>
          <w:p w14:paraId="5781E356" w14:textId="55849CFA" w:rsidR="00A3373C" w:rsidRPr="00195A0D" w:rsidRDefault="00A3373C" w:rsidP="00195A0D">
            <w:pPr>
              <w:pStyle w:val="tabletextleft"/>
              <w:spacing w:before="0" w:after="0"/>
              <w:jc w:val="right"/>
              <w:rPr>
                <w:szCs w:val="18"/>
              </w:rPr>
            </w:pPr>
            <w:r w:rsidRPr="00195A0D">
              <w:rPr>
                <w:szCs w:val="18"/>
              </w:rPr>
              <w:t>-4.1</w:t>
            </w:r>
          </w:p>
        </w:tc>
        <w:tc>
          <w:tcPr>
            <w:tcW w:w="813" w:type="dxa"/>
            <w:vAlign w:val="center"/>
          </w:tcPr>
          <w:p w14:paraId="2CFB2BC4" w14:textId="75ADA71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-5.3</w:t>
            </w:r>
          </w:p>
        </w:tc>
        <w:tc>
          <w:tcPr>
            <w:tcW w:w="808" w:type="dxa"/>
            <w:vAlign w:val="center"/>
          </w:tcPr>
          <w:p w14:paraId="3ACAC9A8" w14:textId="1C73EF3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-2.9</w:t>
            </w:r>
          </w:p>
        </w:tc>
        <w:tc>
          <w:tcPr>
            <w:tcW w:w="791" w:type="dxa"/>
            <w:vAlign w:val="center"/>
          </w:tcPr>
          <w:p w14:paraId="10A70880" w14:textId="0EE82F96"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-2.8</w:t>
            </w:r>
          </w:p>
        </w:tc>
        <w:tc>
          <w:tcPr>
            <w:tcW w:w="784" w:type="dxa"/>
            <w:vAlign w:val="center"/>
          </w:tcPr>
          <w:p w14:paraId="2C29B1E9" w14:textId="5E1521E6"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-2.4</w:t>
            </w:r>
          </w:p>
        </w:tc>
      </w:tr>
      <w:tr w:rsidR="00A3373C" w:rsidRPr="005B2032" w14:paraId="41ED972B" w14:textId="569AF84E" w:rsidTr="00C2491D">
        <w:trPr>
          <w:trHeight w:val="567"/>
          <w:jc w:val="center"/>
        </w:trPr>
        <w:tc>
          <w:tcPr>
            <w:tcW w:w="3327" w:type="dxa"/>
            <w:vAlign w:val="center"/>
            <w:hideMark/>
          </w:tcPr>
          <w:p w14:paraId="10C0E4E3"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2. Централно правителство</w:t>
            </w:r>
          </w:p>
        </w:tc>
        <w:tc>
          <w:tcPr>
            <w:tcW w:w="840" w:type="dxa"/>
            <w:vAlign w:val="center"/>
            <w:hideMark/>
          </w:tcPr>
          <w:p w14:paraId="531995D5"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S.1311</w:t>
            </w:r>
          </w:p>
        </w:tc>
        <w:tc>
          <w:tcPr>
            <w:tcW w:w="888" w:type="dxa"/>
            <w:vAlign w:val="center"/>
          </w:tcPr>
          <w:p w14:paraId="1795DD28" w14:textId="505C949F" w:rsidR="00A3373C" w:rsidRPr="00195A0D" w:rsidRDefault="00A3373C" w:rsidP="00195A0D">
            <w:pPr>
              <w:pStyle w:val="tabletextleft"/>
              <w:spacing w:before="0" w:after="0"/>
              <w:jc w:val="right"/>
              <w:rPr>
                <w:szCs w:val="18"/>
              </w:rPr>
            </w:pPr>
            <w:r w:rsidRPr="00195A0D">
              <w:rPr>
                <w:szCs w:val="18"/>
              </w:rPr>
              <w:t>-6388.7</w:t>
            </w:r>
          </w:p>
        </w:tc>
        <w:tc>
          <w:tcPr>
            <w:tcW w:w="813" w:type="dxa"/>
            <w:vAlign w:val="center"/>
          </w:tcPr>
          <w:p w14:paraId="4A12B058" w14:textId="77777777" w:rsidR="00A3373C" w:rsidRPr="00195A0D" w:rsidRDefault="00A3373C" w:rsidP="00195A0D">
            <w:pPr>
              <w:pStyle w:val="tabletextleft"/>
              <w:spacing w:before="0" w:after="0"/>
              <w:jc w:val="right"/>
              <w:rPr>
                <w:szCs w:val="18"/>
              </w:rPr>
            </w:pPr>
          </w:p>
          <w:p w14:paraId="6B51F3A9" w14:textId="694228CD" w:rsidR="00A3373C" w:rsidRPr="00195A0D" w:rsidRDefault="00A3373C" w:rsidP="00195A0D">
            <w:pPr>
              <w:pStyle w:val="tabletextleft"/>
              <w:spacing w:before="0" w:after="0"/>
              <w:jc w:val="right"/>
              <w:rPr>
                <w:szCs w:val="18"/>
              </w:rPr>
            </w:pPr>
            <w:r w:rsidRPr="00195A0D">
              <w:rPr>
                <w:szCs w:val="18"/>
              </w:rPr>
              <w:t>-4.8</w:t>
            </w:r>
          </w:p>
        </w:tc>
        <w:tc>
          <w:tcPr>
            <w:tcW w:w="813" w:type="dxa"/>
            <w:vAlign w:val="center"/>
          </w:tcPr>
          <w:p w14:paraId="41FD9A13" w14:textId="11226D3E"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-5.4</w:t>
            </w:r>
          </w:p>
        </w:tc>
        <w:tc>
          <w:tcPr>
            <w:tcW w:w="808" w:type="dxa"/>
            <w:vAlign w:val="center"/>
          </w:tcPr>
          <w:p w14:paraId="390C9229" w14:textId="2DA64D43"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-3.2</w:t>
            </w:r>
          </w:p>
        </w:tc>
        <w:tc>
          <w:tcPr>
            <w:tcW w:w="791" w:type="dxa"/>
            <w:vAlign w:val="center"/>
          </w:tcPr>
          <w:p w14:paraId="324FFEC5" w14:textId="52F69B9F"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-3.1</w:t>
            </w:r>
          </w:p>
        </w:tc>
        <w:tc>
          <w:tcPr>
            <w:tcW w:w="784" w:type="dxa"/>
            <w:vAlign w:val="center"/>
          </w:tcPr>
          <w:p w14:paraId="1234BF2D" w14:textId="55C11E28"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-2.7</w:t>
            </w:r>
          </w:p>
        </w:tc>
      </w:tr>
      <w:tr w:rsidR="00A3373C" w:rsidRPr="005B2032" w14:paraId="6C44FD3E" w14:textId="0C96D7F9" w:rsidTr="00C2491D">
        <w:trPr>
          <w:trHeight w:val="567"/>
          <w:jc w:val="center"/>
        </w:trPr>
        <w:tc>
          <w:tcPr>
            <w:tcW w:w="3327" w:type="dxa"/>
            <w:vAlign w:val="center"/>
            <w:hideMark/>
          </w:tcPr>
          <w:p w14:paraId="52CD3106"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3. Регионално правителство</w:t>
            </w:r>
          </w:p>
        </w:tc>
        <w:tc>
          <w:tcPr>
            <w:tcW w:w="840" w:type="dxa"/>
            <w:vAlign w:val="center"/>
            <w:hideMark/>
          </w:tcPr>
          <w:p w14:paraId="24DE9C4E"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S.1312</w:t>
            </w:r>
          </w:p>
        </w:tc>
        <w:tc>
          <w:tcPr>
            <w:tcW w:w="888" w:type="dxa"/>
            <w:vAlign w:val="center"/>
          </w:tcPr>
          <w:p w14:paraId="0B1F301C" w14:textId="5242F435" w:rsidR="00A3373C" w:rsidRPr="00195A0D" w:rsidRDefault="00A3373C" w:rsidP="00195A0D">
            <w:pPr>
              <w:pStyle w:val="tabletextleft"/>
              <w:spacing w:before="0" w:after="0"/>
              <w:jc w:val="right"/>
              <w:rPr>
                <w:szCs w:val="18"/>
              </w:rPr>
            </w:pPr>
            <w:r w:rsidRPr="00195A0D">
              <w:rPr>
                <w:szCs w:val="18"/>
              </w:rPr>
              <w:t> </w:t>
            </w:r>
          </w:p>
        </w:tc>
        <w:tc>
          <w:tcPr>
            <w:tcW w:w="813" w:type="dxa"/>
            <w:vAlign w:val="center"/>
          </w:tcPr>
          <w:p w14:paraId="4685587F" w14:textId="1A362938" w:rsidR="00A3373C" w:rsidRPr="00195A0D" w:rsidRDefault="00A3373C" w:rsidP="00195A0D">
            <w:pPr>
              <w:pStyle w:val="tabletextleft"/>
              <w:spacing w:before="0" w:after="0"/>
              <w:jc w:val="right"/>
              <w:rPr>
                <w:szCs w:val="18"/>
              </w:rPr>
            </w:pPr>
            <w:r w:rsidRPr="00195A0D">
              <w:rPr>
                <w:szCs w:val="18"/>
              </w:rPr>
              <w:t> </w:t>
            </w:r>
          </w:p>
        </w:tc>
        <w:tc>
          <w:tcPr>
            <w:tcW w:w="813" w:type="dxa"/>
            <w:vAlign w:val="center"/>
          </w:tcPr>
          <w:p w14:paraId="04A0CE11" w14:textId="4E9DD26F"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 </w:t>
            </w:r>
          </w:p>
        </w:tc>
        <w:tc>
          <w:tcPr>
            <w:tcW w:w="808" w:type="dxa"/>
            <w:vAlign w:val="center"/>
          </w:tcPr>
          <w:p w14:paraId="280E120F" w14:textId="179ECE1C"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 </w:t>
            </w:r>
          </w:p>
        </w:tc>
        <w:tc>
          <w:tcPr>
            <w:tcW w:w="791" w:type="dxa"/>
            <w:vAlign w:val="center"/>
          </w:tcPr>
          <w:p w14:paraId="3ED77F8C" w14:textId="4255BD39"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 </w:t>
            </w:r>
          </w:p>
        </w:tc>
        <w:tc>
          <w:tcPr>
            <w:tcW w:w="784" w:type="dxa"/>
            <w:vAlign w:val="center"/>
          </w:tcPr>
          <w:p w14:paraId="11E82EE5" w14:textId="6E48FE4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 </w:t>
            </w:r>
          </w:p>
        </w:tc>
      </w:tr>
      <w:tr w:rsidR="00A3373C" w:rsidRPr="005B2032" w14:paraId="18C38FA6" w14:textId="135BCCF4" w:rsidTr="00C2491D">
        <w:trPr>
          <w:trHeight w:val="567"/>
          <w:jc w:val="center"/>
        </w:trPr>
        <w:tc>
          <w:tcPr>
            <w:tcW w:w="3327" w:type="dxa"/>
            <w:vAlign w:val="center"/>
            <w:hideMark/>
          </w:tcPr>
          <w:p w14:paraId="2DB41621"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4. Местно правителство</w:t>
            </w:r>
          </w:p>
        </w:tc>
        <w:tc>
          <w:tcPr>
            <w:tcW w:w="840" w:type="dxa"/>
            <w:vAlign w:val="center"/>
            <w:hideMark/>
          </w:tcPr>
          <w:p w14:paraId="70C1CB53"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S.1313</w:t>
            </w:r>
          </w:p>
        </w:tc>
        <w:tc>
          <w:tcPr>
            <w:tcW w:w="888" w:type="dxa"/>
            <w:vAlign w:val="center"/>
          </w:tcPr>
          <w:p w14:paraId="3C63C671" w14:textId="77777777" w:rsidR="00A3373C" w:rsidRPr="00195A0D" w:rsidRDefault="00A3373C" w:rsidP="00195A0D">
            <w:pPr>
              <w:pStyle w:val="tabletextleft"/>
              <w:spacing w:before="0" w:after="0"/>
              <w:jc w:val="right"/>
              <w:rPr>
                <w:szCs w:val="18"/>
              </w:rPr>
            </w:pPr>
          </w:p>
          <w:p w14:paraId="55A2191A" w14:textId="5AC0BAA3" w:rsidR="00A3373C" w:rsidRPr="00195A0D" w:rsidRDefault="00A3373C" w:rsidP="00195A0D">
            <w:pPr>
              <w:pStyle w:val="tabletextleft"/>
              <w:spacing w:before="0" w:after="0"/>
              <w:jc w:val="right"/>
              <w:rPr>
                <w:szCs w:val="18"/>
              </w:rPr>
            </w:pPr>
            <w:r w:rsidRPr="00195A0D">
              <w:rPr>
                <w:szCs w:val="18"/>
              </w:rPr>
              <w:t>145.6</w:t>
            </w:r>
          </w:p>
        </w:tc>
        <w:tc>
          <w:tcPr>
            <w:tcW w:w="813" w:type="dxa"/>
            <w:vAlign w:val="center"/>
          </w:tcPr>
          <w:p w14:paraId="46A9CE4A" w14:textId="184CF112" w:rsidR="00A3373C" w:rsidRPr="00195A0D" w:rsidRDefault="00A3373C" w:rsidP="00195A0D">
            <w:pPr>
              <w:pStyle w:val="tabletextleft"/>
              <w:spacing w:before="0" w:after="0"/>
              <w:jc w:val="right"/>
              <w:rPr>
                <w:szCs w:val="18"/>
              </w:rPr>
            </w:pPr>
            <w:r w:rsidRPr="00195A0D">
              <w:rPr>
                <w:szCs w:val="18"/>
              </w:rPr>
              <w:t>0.1</w:t>
            </w:r>
          </w:p>
        </w:tc>
        <w:tc>
          <w:tcPr>
            <w:tcW w:w="813" w:type="dxa"/>
            <w:vAlign w:val="center"/>
          </w:tcPr>
          <w:p w14:paraId="7B5BD089" w14:textId="5A8411AE"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c>
          <w:tcPr>
            <w:tcW w:w="808" w:type="dxa"/>
            <w:vAlign w:val="center"/>
          </w:tcPr>
          <w:p w14:paraId="0C5C07F1" w14:textId="00349E11"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0.2</w:t>
            </w:r>
          </w:p>
        </w:tc>
        <w:tc>
          <w:tcPr>
            <w:tcW w:w="791" w:type="dxa"/>
            <w:vAlign w:val="center"/>
          </w:tcPr>
          <w:p w14:paraId="41A958E1" w14:textId="7B859818"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0.3</w:t>
            </w:r>
          </w:p>
        </w:tc>
        <w:tc>
          <w:tcPr>
            <w:tcW w:w="784" w:type="dxa"/>
            <w:vAlign w:val="center"/>
          </w:tcPr>
          <w:p w14:paraId="43D2643D" w14:textId="5F17B76A"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0.3</w:t>
            </w:r>
          </w:p>
        </w:tc>
      </w:tr>
      <w:tr w:rsidR="00A3373C" w:rsidRPr="005B2032" w14:paraId="61384A04" w14:textId="795C4974" w:rsidTr="00C2491D">
        <w:trPr>
          <w:trHeight w:val="567"/>
          <w:jc w:val="center"/>
        </w:trPr>
        <w:tc>
          <w:tcPr>
            <w:tcW w:w="3327" w:type="dxa"/>
            <w:vAlign w:val="center"/>
            <w:hideMark/>
          </w:tcPr>
          <w:p w14:paraId="216A99F7"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5. Фондове за социално осигуряване</w:t>
            </w:r>
          </w:p>
        </w:tc>
        <w:tc>
          <w:tcPr>
            <w:tcW w:w="840" w:type="dxa"/>
            <w:vAlign w:val="center"/>
            <w:hideMark/>
          </w:tcPr>
          <w:p w14:paraId="11A15739"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S.1314</w:t>
            </w:r>
          </w:p>
        </w:tc>
        <w:tc>
          <w:tcPr>
            <w:tcW w:w="888" w:type="dxa"/>
            <w:vAlign w:val="center"/>
          </w:tcPr>
          <w:p w14:paraId="3B296B4A" w14:textId="77777777" w:rsidR="00A3373C" w:rsidRPr="00195A0D" w:rsidRDefault="00A3373C" w:rsidP="00195A0D">
            <w:pPr>
              <w:pStyle w:val="tabletextleft"/>
              <w:spacing w:before="0" w:after="0"/>
              <w:jc w:val="right"/>
              <w:rPr>
                <w:szCs w:val="18"/>
              </w:rPr>
            </w:pPr>
          </w:p>
          <w:p w14:paraId="759BEBE9" w14:textId="3F05C768" w:rsidR="00A3373C" w:rsidRPr="00195A0D" w:rsidRDefault="00A3373C" w:rsidP="00195A0D">
            <w:pPr>
              <w:pStyle w:val="tabletextleft"/>
              <w:spacing w:before="0" w:after="0"/>
              <w:jc w:val="right"/>
              <w:rPr>
                <w:szCs w:val="18"/>
              </w:rPr>
            </w:pPr>
            <w:r w:rsidRPr="00195A0D">
              <w:rPr>
                <w:szCs w:val="18"/>
              </w:rPr>
              <w:t>810.4</w:t>
            </w:r>
          </w:p>
        </w:tc>
        <w:tc>
          <w:tcPr>
            <w:tcW w:w="813" w:type="dxa"/>
            <w:vAlign w:val="center"/>
          </w:tcPr>
          <w:p w14:paraId="633F5043" w14:textId="77777777" w:rsidR="00A3373C" w:rsidRPr="00195A0D" w:rsidRDefault="00A3373C" w:rsidP="00195A0D">
            <w:pPr>
              <w:pStyle w:val="tabletextleft"/>
              <w:spacing w:before="0" w:after="0"/>
              <w:jc w:val="right"/>
              <w:rPr>
                <w:szCs w:val="18"/>
              </w:rPr>
            </w:pPr>
          </w:p>
          <w:p w14:paraId="79B65169" w14:textId="45BEDFAF" w:rsidR="00A3373C" w:rsidRPr="00195A0D" w:rsidRDefault="00A3373C" w:rsidP="00195A0D">
            <w:pPr>
              <w:pStyle w:val="tabletextleft"/>
              <w:spacing w:before="0" w:after="0"/>
              <w:jc w:val="right"/>
              <w:rPr>
                <w:szCs w:val="18"/>
              </w:rPr>
            </w:pPr>
            <w:r w:rsidRPr="00195A0D">
              <w:rPr>
                <w:szCs w:val="18"/>
              </w:rPr>
              <w:t>0.6</w:t>
            </w:r>
          </w:p>
        </w:tc>
        <w:tc>
          <w:tcPr>
            <w:tcW w:w="813" w:type="dxa"/>
            <w:vAlign w:val="center"/>
          </w:tcPr>
          <w:p w14:paraId="625E2E71" w14:textId="012F760E"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c>
          <w:tcPr>
            <w:tcW w:w="808" w:type="dxa"/>
            <w:vAlign w:val="center"/>
          </w:tcPr>
          <w:p w14:paraId="52288449" w14:textId="24B61073"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c>
          <w:tcPr>
            <w:tcW w:w="791" w:type="dxa"/>
            <w:vAlign w:val="center"/>
          </w:tcPr>
          <w:p w14:paraId="7767B92F" w14:textId="09669765"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c>
          <w:tcPr>
            <w:tcW w:w="784" w:type="dxa"/>
            <w:vAlign w:val="center"/>
          </w:tcPr>
          <w:p w14:paraId="647AEA6A" w14:textId="569912ED"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r>
      <w:tr w:rsidR="00A3373C" w:rsidRPr="005B2032" w14:paraId="249277B8" w14:textId="5A7FC756" w:rsidTr="00C2491D">
        <w:trPr>
          <w:trHeight w:val="567"/>
          <w:jc w:val="center"/>
        </w:trPr>
        <w:tc>
          <w:tcPr>
            <w:tcW w:w="3327" w:type="dxa"/>
            <w:vAlign w:val="center"/>
            <w:hideMark/>
          </w:tcPr>
          <w:p w14:paraId="477C64BA"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6. Общо приходи</w:t>
            </w:r>
          </w:p>
        </w:tc>
        <w:tc>
          <w:tcPr>
            <w:tcW w:w="840" w:type="dxa"/>
            <w:vAlign w:val="center"/>
            <w:hideMark/>
          </w:tcPr>
          <w:p w14:paraId="0A311548"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TR</w:t>
            </w:r>
          </w:p>
        </w:tc>
        <w:tc>
          <w:tcPr>
            <w:tcW w:w="888" w:type="dxa"/>
            <w:vAlign w:val="center"/>
          </w:tcPr>
          <w:p w14:paraId="3EB01CA9" w14:textId="77777777" w:rsidR="00A3373C" w:rsidRPr="00195A0D" w:rsidRDefault="00A3373C" w:rsidP="00195A0D">
            <w:pPr>
              <w:pStyle w:val="tabletextleft"/>
              <w:spacing w:before="0" w:after="0"/>
              <w:jc w:val="right"/>
              <w:rPr>
                <w:szCs w:val="18"/>
              </w:rPr>
            </w:pPr>
          </w:p>
          <w:p w14:paraId="180A193D" w14:textId="0548502C" w:rsidR="00A3373C" w:rsidRPr="00195A0D" w:rsidRDefault="00A3373C" w:rsidP="00195A0D">
            <w:pPr>
              <w:pStyle w:val="tabletextleft"/>
              <w:spacing w:before="0" w:after="0"/>
              <w:jc w:val="right"/>
              <w:rPr>
                <w:szCs w:val="18"/>
              </w:rPr>
            </w:pPr>
            <w:r w:rsidRPr="00195A0D">
              <w:rPr>
                <w:szCs w:val="18"/>
              </w:rPr>
              <w:t>51726.1</w:t>
            </w:r>
          </w:p>
        </w:tc>
        <w:tc>
          <w:tcPr>
            <w:tcW w:w="813" w:type="dxa"/>
            <w:vAlign w:val="center"/>
          </w:tcPr>
          <w:p w14:paraId="05FFDC38" w14:textId="77777777" w:rsidR="00A3373C" w:rsidRPr="00195A0D" w:rsidRDefault="00A3373C" w:rsidP="00195A0D">
            <w:pPr>
              <w:pStyle w:val="tabletextleft"/>
              <w:spacing w:before="0" w:after="0"/>
              <w:jc w:val="right"/>
              <w:rPr>
                <w:szCs w:val="18"/>
              </w:rPr>
            </w:pPr>
          </w:p>
          <w:p w14:paraId="567707D5" w14:textId="5DA9B8A5" w:rsidR="00A3373C" w:rsidRPr="00195A0D" w:rsidRDefault="00A3373C" w:rsidP="00195A0D">
            <w:pPr>
              <w:pStyle w:val="tabletextleft"/>
              <w:spacing w:before="0" w:after="0"/>
              <w:jc w:val="right"/>
              <w:rPr>
                <w:szCs w:val="18"/>
              </w:rPr>
            </w:pPr>
            <w:r w:rsidRPr="00195A0D">
              <w:rPr>
                <w:szCs w:val="18"/>
              </w:rPr>
              <w:t>39.0</w:t>
            </w:r>
          </w:p>
        </w:tc>
        <w:tc>
          <w:tcPr>
            <w:tcW w:w="813" w:type="dxa"/>
            <w:vAlign w:val="center"/>
          </w:tcPr>
          <w:p w14:paraId="2F746BF1" w14:textId="0087C4B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38.0</w:t>
            </w:r>
          </w:p>
        </w:tc>
        <w:tc>
          <w:tcPr>
            <w:tcW w:w="808" w:type="dxa"/>
            <w:vAlign w:val="center"/>
          </w:tcPr>
          <w:p w14:paraId="205DD62B" w14:textId="4B9EC454"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38.0</w:t>
            </w:r>
          </w:p>
        </w:tc>
        <w:tc>
          <w:tcPr>
            <w:tcW w:w="791" w:type="dxa"/>
            <w:vAlign w:val="center"/>
          </w:tcPr>
          <w:p w14:paraId="4AEDEC63" w14:textId="4B5EA555"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37.0</w:t>
            </w:r>
          </w:p>
        </w:tc>
        <w:tc>
          <w:tcPr>
            <w:tcW w:w="784" w:type="dxa"/>
            <w:vAlign w:val="center"/>
          </w:tcPr>
          <w:p w14:paraId="730F1E7B" w14:textId="6C99D12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36.2</w:t>
            </w:r>
          </w:p>
        </w:tc>
      </w:tr>
      <w:tr w:rsidR="00A3373C" w:rsidRPr="005B2032" w14:paraId="269E291E" w14:textId="261158A2" w:rsidTr="00C2491D">
        <w:trPr>
          <w:trHeight w:val="567"/>
          <w:jc w:val="center"/>
        </w:trPr>
        <w:tc>
          <w:tcPr>
            <w:tcW w:w="3327" w:type="dxa"/>
            <w:vAlign w:val="center"/>
            <w:hideMark/>
          </w:tcPr>
          <w:p w14:paraId="22079AF2"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7. Общо разходи</w:t>
            </w:r>
          </w:p>
        </w:tc>
        <w:tc>
          <w:tcPr>
            <w:tcW w:w="840" w:type="dxa"/>
            <w:vAlign w:val="center"/>
            <w:hideMark/>
          </w:tcPr>
          <w:p w14:paraId="18D00C3C"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TE</w:t>
            </w:r>
          </w:p>
        </w:tc>
        <w:tc>
          <w:tcPr>
            <w:tcW w:w="888" w:type="dxa"/>
            <w:vAlign w:val="center"/>
          </w:tcPr>
          <w:p w14:paraId="0D5101E0" w14:textId="77777777" w:rsidR="00A3373C" w:rsidRPr="00195A0D" w:rsidRDefault="00A3373C" w:rsidP="00195A0D">
            <w:pPr>
              <w:pStyle w:val="tabletextleft"/>
              <w:spacing w:before="0" w:after="0"/>
              <w:jc w:val="right"/>
              <w:rPr>
                <w:szCs w:val="18"/>
                <w:lang w:val="en-US"/>
              </w:rPr>
            </w:pPr>
          </w:p>
          <w:p w14:paraId="007216DE" w14:textId="77C1AC6A" w:rsidR="00A3373C" w:rsidRPr="00195A0D" w:rsidRDefault="00A3373C" w:rsidP="00195A0D">
            <w:pPr>
              <w:pStyle w:val="tabletextleft"/>
              <w:spacing w:before="0" w:after="0"/>
              <w:jc w:val="right"/>
              <w:rPr>
                <w:szCs w:val="18"/>
              </w:rPr>
            </w:pPr>
            <w:r w:rsidRPr="00195A0D">
              <w:rPr>
                <w:szCs w:val="18"/>
              </w:rPr>
              <w:t>57158.8</w:t>
            </w:r>
          </w:p>
        </w:tc>
        <w:tc>
          <w:tcPr>
            <w:tcW w:w="813" w:type="dxa"/>
            <w:vAlign w:val="center"/>
          </w:tcPr>
          <w:p w14:paraId="11C8E5B3" w14:textId="77777777" w:rsidR="00A3373C" w:rsidRPr="00195A0D" w:rsidRDefault="00A3373C" w:rsidP="00195A0D">
            <w:pPr>
              <w:pStyle w:val="tabletextleft"/>
              <w:spacing w:before="0" w:after="0"/>
              <w:jc w:val="right"/>
              <w:rPr>
                <w:szCs w:val="18"/>
              </w:rPr>
            </w:pPr>
          </w:p>
          <w:p w14:paraId="33E3F78D" w14:textId="78A01046" w:rsidR="00A3373C" w:rsidRPr="00195A0D" w:rsidRDefault="00A3373C" w:rsidP="00195A0D">
            <w:pPr>
              <w:pStyle w:val="tabletextleft"/>
              <w:spacing w:before="0" w:after="0"/>
              <w:jc w:val="right"/>
              <w:rPr>
                <w:szCs w:val="18"/>
              </w:rPr>
            </w:pPr>
            <w:r w:rsidRPr="00195A0D">
              <w:rPr>
                <w:szCs w:val="18"/>
              </w:rPr>
              <w:t>43.1</w:t>
            </w:r>
          </w:p>
        </w:tc>
        <w:tc>
          <w:tcPr>
            <w:tcW w:w="813" w:type="dxa"/>
            <w:vAlign w:val="center"/>
          </w:tcPr>
          <w:p w14:paraId="4B9C98D7" w14:textId="120866C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43.3</w:t>
            </w:r>
          </w:p>
        </w:tc>
        <w:tc>
          <w:tcPr>
            <w:tcW w:w="808" w:type="dxa"/>
            <w:vAlign w:val="center"/>
          </w:tcPr>
          <w:p w14:paraId="51A0536C" w14:textId="066792A4"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40.9</w:t>
            </w:r>
          </w:p>
        </w:tc>
        <w:tc>
          <w:tcPr>
            <w:tcW w:w="791" w:type="dxa"/>
            <w:vAlign w:val="center"/>
          </w:tcPr>
          <w:p w14:paraId="0EAD3A31" w14:textId="6ED60866"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39.8</w:t>
            </w:r>
          </w:p>
        </w:tc>
        <w:tc>
          <w:tcPr>
            <w:tcW w:w="784" w:type="dxa"/>
            <w:vAlign w:val="center"/>
          </w:tcPr>
          <w:p w14:paraId="028213C0" w14:textId="319FB3D0"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38.6</w:t>
            </w:r>
          </w:p>
        </w:tc>
      </w:tr>
      <w:tr w:rsidR="00A3373C" w:rsidRPr="005B2032" w14:paraId="7033EA22" w14:textId="533C5882" w:rsidTr="00C2491D">
        <w:trPr>
          <w:trHeight w:val="567"/>
          <w:jc w:val="center"/>
        </w:trPr>
        <w:tc>
          <w:tcPr>
            <w:tcW w:w="3327" w:type="dxa"/>
            <w:vAlign w:val="center"/>
            <w:hideMark/>
          </w:tcPr>
          <w:p w14:paraId="1C9C2A09"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8. Нето предоставени/ получени заеми</w:t>
            </w:r>
          </w:p>
        </w:tc>
        <w:tc>
          <w:tcPr>
            <w:tcW w:w="840" w:type="dxa"/>
            <w:vAlign w:val="center"/>
            <w:hideMark/>
          </w:tcPr>
          <w:p w14:paraId="2E054F59"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EDP B.9</w:t>
            </w:r>
          </w:p>
        </w:tc>
        <w:tc>
          <w:tcPr>
            <w:tcW w:w="888" w:type="dxa"/>
            <w:vAlign w:val="center"/>
          </w:tcPr>
          <w:p w14:paraId="1CC1C607" w14:textId="508DA3AE" w:rsidR="00A3373C" w:rsidRPr="00195A0D" w:rsidRDefault="00A3373C" w:rsidP="00195A0D">
            <w:pPr>
              <w:pStyle w:val="tabletextleft"/>
              <w:spacing w:before="0" w:after="0"/>
              <w:jc w:val="right"/>
              <w:rPr>
                <w:szCs w:val="18"/>
              </w:rPr>
            </w:pPr>
            <w:r w:rsidRPr="00195A0D">
              <w:rPr>
                <w:szCs w:val="18"/>
              </w:rPr>
              <w:t>-5432.7</w:t>
            </w:r>
          </w:p>
        </w:tc>
        <w:tc>
          <w:tcPr>
            <w:tcW w:w="813" w:type="dxa"/>
            <w:vAlign w:val="center"/>
          </w:tcPr>
          <w:p w14:paraId="50D6B2F7" w14:textId="4019530E" w:rsidR="00A3373C" w:rsidRPr="00195A0D" w:rsidRDefault="00A3373C" w:rsidP="00195A0D">
            <w:pPr>
              <w:pStyle w:val="tabletextleft"/>
              <w:spacing w:before="0" w:after="0"/>
              <w:jc w:val="right"/>
              <w:rPr>
                <w:szCs w:val="18"/>
              </w:rPr>
            </w:pPr>
            <w:r w:rsidRPr="00195A0D">
              <w:rPr>
                <w:szCs w:val="18"/>
              </w:rPr>
              <w:t>-4.1</w:t>
            </w:r>
          </w:p>
        </w:tc>
        <w:tc>
          <w:tcPr>
            <w:tcW w:w="813" w:type="dxa"/>
            <w:vAlign w:val="center"/>
          </w:tcPr>
          <w:p w14:paraId="579C7EF4" w14:textId="2B859E65"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-5.3</w:t>
            </w:r>
          </w:p>
        </w:tc>
        <w:tc>
          <w:tcPr>
            <w:tcW w:w="808" w:type="dxa"/>
            <w:vAlign w:val="center"/>
          </w:tcPr>
          <w:p w14:paraId="29BF2C96" w14:textId="5AB5246D"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-2.9</w:t>
            </w:r>
          </w:p>
        </w:tc>
        <w:tc>
          <w:tcPr>
            <w:tcW w:w="791" w:type="dxa"/>
            <w:vAlign w:val="center"/>
          </w:tcPr>
          <w:p w14:paraId="261E3715" w14:textId="06154ECB"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-2.8</w:t>
            </w:r>
          </w:p>
        </w:tc>
        <w:tc>
          <w:tcPr>
            <w:tcW w:w="784" w:type="dxa"/>
            <w:vAlign w:val="center"/>
          </w:tcPr>
          <w:p w14:paraId="4D1C5011" w14:textId="434C30D8"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-2.4</w:t>
            </w:r>
          </w:p>
        </w:tc>
      </w:tr>
      <w:tr w:rsidR="00A3373C" w:rsidRPr="005B2032" w14:paraId="36AFB9D7" w14:textId="523868AD" w:rsidTr="00C2491D">
        <w:trPr>
          <w:trHeight w:val="567"/>
          <w:jc w:val="center"/>
        </w:trPr>
        <w:tc>
          <w:tcPr>
            <w:tcW w:w="3327" w:type="dxa"/>
            <w:vAlign w:val="center"/>
            <w:hideMark/>
          </w:tcPr>
          <w:p w14:paraId="12A9FB76"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9. Лихвени разходи</w:t>
            </w:r>
          </w:p>
        </w:tc>
        <w:tc>
          <w:tcPr>
            <w:tcW w:w="840" w:type="dxa"/>
            <w:vAlign w:val="center"/>
            <w:hideMark/>
          </w:tcPr>
          <w:p w14:paraId="1E20A0EE"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EDP D.41</w:t>
            </w:r>
          </w:p>
        </w:tc>
        <w:tc>
          <w:tcPr>
            <w:tcW w:w="888" w:type="dxa"/>
            <w:vAlign w:val="center"/>
          </w:tcPr>
          <w:p w14:paraId="64CA93BD" w14:textId="1AD3CD4B" w:rsidR="00A3373C" w:rsidRPr="00195A0D" w:rsidRDefault="00A3373C" w:rsidP="00195A0D">
            <w:pPr>
              <w:pStyle w:val="tabletextleft"/>
              <w:spacing w:before="0" w:after="0"/>
              <w:jc w:val="right"/>
              <w:rPr>
                <w:szCs w:val="18"/>
              </w:rPr>
            </w:pPr>
            <w:r w:rsidRPr="00195A0D">
              <w:rPr>
                <w:szCs w:val="18"/>
              </w:rPr>
              <w:t>668.5</w:t>
            </w:r>
          </w:p>
        </w:tc>
        <w:tc>
          <w:tcPr>
            <w:tcW w:w="813" w:type="dxa"/>
            <w:vAlign w:val="center"/>
          </w:tcPr>
          <w:p w14:paraId="4A92AC3A" w14:textId="4168C7F6" w:rsidR="00A3373C" w:rsidRPr="00195A0D" w:rsidRDefault="00A3373C" w:rsidP="00195A0D">
            <w:pPr>
              <w:pStyle w:val="tabletextleft"/>
              <w:spacing w:before="0" w:after="0"/>
              <w:jc w:val="right"/>
              <w:rPr>
                <w:szCs w:val="18"/>
              </w:rPr>
            </w:pPr>
            <w:r w:rsidRPr="00195A0D">
              <w:rPr>
                <w:szCs w:val="18"/>
              </w:rPr>
              <w:t>0.5</w:t>
            </w:r>
          </w:p>
        </w:tc>
        <w:tc>
          <w:tcPr>
            <w:tcW w:w="813" w:type="dxa"/>
            <w:vAlign w:val="center"/>
          </w:tcPr>
          <w:p w14:paraId="77E5FC7E" w14:textId="218C2BCA"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0.5</w:t>
            </w:r>
          </w:p>
        </w:tc>
        <w:tc>
          <w:tcPr>
            <w:tcW w:w="808" w:type="dxa"/>
            <w:vAlign w:val="center"/>
          </w:tcPr>
          <w:p w14:paraId="4D145C4B" w14:textId="1B45EC3E"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0.6</w:t>
            </w:r>
          </w:p>
        </w:tc>
        <w:tc>
          <w:tcPr>
            <w:tcW w:w="791" w:type="dxa"/>
            <w:vAlign w:val="center"/>
          </w:tcPr>
          <w:p w14:paraId="21258017" w14:textId="397714C0"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0.8</w:t>
            </w:r>
          </w:p>
        </w:tc>
        <w:tc>
          <w:tcPr>
            <w:tcW w:w="784" w:type="dxa"/>
            <w:vAlign w:val="center"/>
          </w:tcPr>
          <w:p w14:paraId="5914A025" w14:textId="7639232A"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0.8</w:t>
            </w:r>
          </w:p>
        </w:tc>
      </w:tr>
      <w:tr w:rsidR="00A3373C" w:rsidRPr="005B2032" w14:paraId="4FA4DD4B" w14:textId="0750897B" w:rsidTr="00C2491D">
        <w:trPr>
          <w:trHeight w:val="567"/>
          <w:jc w:val="center"/>
        </w:trPr>
        <w:tc>
          <w:tcPr>
            <w:tcW w:w="3327" w:type="dxa"/>
            <w:vAlign w:val="center"/>
            <w:hideMark/>
          </w:tcPr>
          <w:p w14:paraId="0E792B86"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10. Първичен баланс</w:t>
            </w:r>
          </w:p>
        </w:tc>
        <w:tc>
          <w:tcPr>
            <w:tcW w:w="840" w:type="dxa"/>
            <w:vAlign w:val="center"/>
          </w:tcPr>
          <w:p w14:paraId="598772EB" w14:textId="77777777" w:rsidR="00A3373C" w:rsidRPr="00195A0D" w:rsidRDefault="00A3373C" w:rsidP="00195A0D">
            <w:pPr>
              <w:pStyle w:val="tabletextleft"/>
              <w:spacing w:before="0" w:after="0"/>
              <w:rPr>
                <w:rFonts w:asciiTheme="minorHAnsi" w:hAnsiTheme="minorHAnsi" w:cstheme="minorHAnsi"/>
                <w:szCs w:val="18"/>
              </w:rPr>
            </w:pPr>
          </w:p>
        </w:tc>
        <w:tc>
          <w:tcPr>
            <w:tcW w:w="888" w:type="dxa"/>
            <w:vAlign w:val="center"/>
          </w:tcPr>
          <w:p w14:paraId="3C5086E6" w14:textId="74FFC761" w:rsidR="00A3373C" w:rsidRPr="00195A0D" w:rsidRDefault="00A3373C" w:rsidP="00195A0D">
            <w:pPr>
              <w:pStyle w:val="tabletextleft"/>
              <w:spacing w:before="0" w:after="0"/>
              <w:jc w:val="right"/>
              <w:rPr>
                <w:szCs w:val="18"/>
              </w:rPr>
            </w:pPr>
            <w:r w:rsidRPr="00195A0D">
              <w:rPr>
                <w:szCs w:val="18"/>
              </w:rPr>
              <w:t>-4 722.1</w:t>
            </w:r>
          </w:p>
        </w:tc>
        <w:tc>
          <w:tcPr>
            <w:tcW w:w="813" w:type="dxa"/>
            <w:vAlign w:val="center"/>
          </w:tcPr>
          <w:p w14:paraId="7854041C" w14:textId="5E759BB3" w:rsidR="00A3373C" w:rsidRPr="00195A0D" w:rsidRDefault="00A3373C" w:rsidP="00195A0D">
            <w:pPr>
              <w:pStyle w:val="tabletextleft"/>
              <w:spacing w:before="0" w:after="0"/>
              <w:jc w:val="right"/>
              <w:rPr>
                <w:szCs w:val="18"/>
              </w:rPr>
            </w:pPr>
            <w:r w:rsidRPr="00195A0D">
              <w:rPr>
                <w:szCs w:val="18"/>
              </w:rPr>
              <w:t>-3.6</w:t>
            </w:r>
          </w:p>
        </w:tc>
        <w:tc>
          <w:tcPr>
            <w:tcW w:w="813" w:type="dxa"/>
            <w:vAlign w:val="center"/>
          </w:tcPr>
          <w:p w14:paraId="4A2EAF37" w14:textId="46F4B998"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-4.8</w:t>
            </w:r>
          </w:p>
        </w:tc>
        <w:tc>
          <w:tcPr>
            <w:tcW w:w="808" w:type="dxa"/>
            <w:vAlign w:val="center"/>
          </w:tcPr>
          <w:p w14:paraId="7C04B35C" w14:textId="186D67CD"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-2.3</w:t>
            </w:r>
          </w:p>
        </w:tc>
        <w:tc>
          <w:tcPr>
            <w:tcW w:w="791" w:type="dxa"/>
            <w:vAlign w:val="center"/>
          </w:tcPr>
          <w:p w14:paraId="5B61BD37" w14:textId="6AE781D5"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-2.0</w:t>
            </w:r>
          </w:p>
        </w:tc>
        <w:tc>
          <w:tcPr>
            <w:tcW w:w="784" w:type="dxa"/>
            <w:vAlign w:val="center"/>
          </w:tcPr>
          <w:p w14:paraId="37B6E596" w14:textId="2C752A19"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-1.6</w:t>
            </w:r>
          </w:p>
        </w:tc>
      </w:tr>
      <w:tr w:rsidR="00A3373C" w:rsidRPr="005B2032" w14:paraId="096BE3B7" w14:textId="7E928447" w:rsidTr="00C2491D">
        <w:trPr>
          <w:trHeight w:val="567"/>
          <w:jc w:val="center"/>
        </w:trPr>
        <w:tc>
          <w:tcPr>
            <w:tcW w:w="3327" w:type="dxa"/>
            <w:vAlign w:val="center"/>
            <w:hideMark/>
          </w:tcPr>
          <w:p w14:paraId="02CA58D2" w14:textId="77777777" w:rsidR="00A3373C" w:rsidRPr="00195A0D" w:rsidRDefault="00A3373C"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11. Еднократни и други временни мерки</w:t>
            </w:r>
          </w:p>
        </w:tc>
        <w:tc>
          <w:tcPr>
            <w:tcW w:w="840" w:type="dxa"/>
            <w:vAlign w:val="center"/>
          </w:tcPr>
          <w:p w14:paraId="27BE2A36" w14:textId="77777777" w:rsidR="00A3373C" w:rsidRPr="00195A0D" w:rsidRDefault="00A3373C" w:rsidP="00195A0D">
            <w:pPr>
              <w:pStyle w:val="tabletextleft"/>
              <w:spacing w:before="0" w:after="0"/>
              <w:rPr>
                <w:rFonts w:asciiTheme="minorHAnsi" w:hAnsiTheme="minorHAnsi" w:cstheme="minorHAnsi"/>
                <w:szCs w:val="18"/>
              </w:rPr>
            </w:pPr>
          </w:p>
        </w:tc>
        <w:tc>
          <w:tcPr>
            <w:tcW w:w="888" w:type="dxa"/>
            <w:vAlign w:val="center"/>
          </w:tcPr>
          <w:p w14:paraId="45661CC1" w14:textId="39E8FCB5" w:rsidR="00A3373C" w:rsidRPr="00195A0D" w:rsidRDefault="00A3373C" w:rsidP="00195A0D">
            <w:pPr>
              <w:pStyle w:val="tabletextleft"/>
              <w:spacing w:before="0" w:after="0"/>
              <w:jc w:val="right"/>
              <w:rPr>
                <w:szCs w:val="18"/>
              </w:rPr>
            </w:pPr>
            <w:r w:rsidRPr="00195A0D">
              <w:rPr>
                <w:szCs w:val="18"/>
              </w:rPr>
              <w:t>-6 069.0</w:t>
            </w:r>
          </w:p>
        </w:tc>
        <w:tc>
          <w:tcPr>
            <w:tcW w:w="813" w:type="dxa"/>
            <w:vAlign w:val="center"/>
          </w:tcPr>
          <w:p w14:paraId="7969FF5C" w14:textId="64799141" w:rsidR="00A3373C" w:rsidRPr="00195A0D" w:rsidRDefault="00A3373C" w:rsidP="00195A0D">
            <w:pPr>
              <w:pStyle w:val="tabletextleft"/>
              <w:spacing w:before="0" w:after="0"/>
              <w:jc w:val="right"/>
              <w:rPr>
                <w:szCs w:val="18"/>
              </w:rPr>
            </w:pPr>
            <w:r w:rsidRPr="00195A0D">
              <w:rPr>
                <w:szCs w:val="18"/>
              </w:rPr>
              <w:t>-4.6</w:t>
            </w:r>
          </w:p>
        </w:tc>
        <w:tc>
          <w:tcPr>
            <w:tcW w:w="813" w:type="dxa"/>
            <w:vAlign w:val="center"/>
          </w:tcPr>
          <w:p w14:paraId="72767829" w14:textId="58BA9242"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-2.1</w:t>
            </w:r>
          </w:p>
        </w:tc>
        <w:tc>
          <w:tcPr>
            <w:tcW w:w="808" w:type="dxa"/>
            <w:vAlign w:val="center"/>
          </w:tcPr>
          <w:p w14:paraId="45ECB3F5" w14:textId="6D9004A9"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-0.2</w:t>
            </w:r>
          </w:p>
        </w:tc>
        <w:tc>
          <w:tcPr>
            <w:tcW w:w="791" w:type="dxa"/>
            <w:vAlign w:val="center"/>
          </w:tcPr>
          <w:p w14:paraId="24C0899C" w14:textId="6969AF10"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c>
          <w:tcPr>
            <w:tcW w:w="784" w:type="dxa"/>
            <w:vAlign w:val="center"/>
          </w:tcPr>
          <w:p w14:paraId="55E9A15C" w14:textId="593C19B6" w:rsidR="00A3373C" w:rsidRPr="00195A0D" w:rsidRDefault="00A3373C" w:rsidP="00195A0D">
            <w:pPr>
              <w:pStyle w:val="tabletextleft"/>
              <w:spacing w:before="0" w:after="0"/>
              <w:jc w:val="right"/>
              <w:rPr>
                <w:rFonts w:asciiTheme="minorHAnsi" w:hAnsiTheme="minorHAnsi" w:cstheme="minorHAnsi"/>
                <w:szCs w:val="18"/>
              </w:rPr>
            </w:pPr>
            <w:r w:rsidRPr="00195A0D">
              <w:rPr>
                <w:szCs w:val="18"/>
              </w:rPr>
              <w:t>0.0</w:t>
            </w:r>
          </w:p>
        </w:tc>
      </w:tr>
      <w:tr w:rsidR="00794F63" w:rsidRPr="005B2032" w14:paraId="5D76F6D1" w14:textId="7EE03324" w:rsidTr="00C2491D">
        <w:trPr>
          <w:trHeight w:val="567"/>
          <w:jc w:val="center"/>
        </w:trPr>
        <w:tc>
          <w:tcPr>
            <w:tcW w:w="3327" w:type="dxa"/>
            <w:vAlign w:val="center"/>
            <w:hideMark/>
          </w:tcPr>
          <w:p w14:paraId="0B0BA63F"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12. Общо данъци (12=12a+12b+12c)</w:t>
            </w:r>
          </w:p>
        </w:tc>
        <w:tc>
          <w:tcPr>
            <w:tcW w:w="840" w:type="dxa"/>
            <w:vAlign w:val="center"/>
          </w:tcPr>
          <w:p w14:paraId="58F56C4B" w14:textId="77777777" w:rsidR="00794F63" w:rsidRPr="00195A0D" w:rsidRDefault="00794F63" w:rsidP="00195A0D">
            <w:pPr>
              <w:pStyle w:val="tabletextleft"/>
              <w:spacing w:before="0" w:after="0"/>
              <w:rPr>
                <w:rFonts w:asciiTheme="minorHAnsi" w:hAnsiTheme="minorHAnsi" w:cstheme="minorHAnsi"/>
                <w:szCs w:val="18"/>
              </w:rPr>
            </w:pPr>
          </w:p>
        </w:tc>
        <w:tc>
          <w:tcPr>
            <w:tcW w:w="888" w:type="dxa"/>
            <w:vAlign w:val="center"/>
          </w:tcPr>
          <w:p w14:paraId="5A4855EE" w14:textId="5B114608" w:rsidR="00794F63" w:rsidRPr="00195A0D" w:rsidRDefault="00794F63" w:rsidP="00195A0D">
            <w:pPr>
              <w:pStyle w:val="tabletextleft"/>
              <w:spacing w:before="0" w:after="0"/>
              <w:jc w:val="right"/>
              <w:rPr>
                <w:szCs w:val="18"/>
              </w:rPr>
            </w:pPr>
            <w:r w:rsidRPr="00195A0D">
              <w:rPr>
                <w:szCs w:val="18"/>
              </w:rPr>
              <w:t>30 403</w:t>
            </w:r>
            <w:r w:rsidR="00B81498" w:rsidRPr="00195A0D">
              <w:rPr>
                <w:szCs w:val="18"/>
              </w:rPr>
              <w:t>.</w:t>
            </w:r>
            <w:r w:rsidRPr="00195A0D">
              <w:rPr>
                <w:szCs w:val="18"/>
              </w:rPr>
              <w:t>9</w:t>
            </w:r>
          </w:p>
        </w:tc>
        <w:tc>
          <w:tcPr>
            <w:tcW w:w="813" w:type="dxa"/>
            <w:vAlign w:val="center"/>
          </w:tcPr>
          <w:p w14:paraId="24157FC0" w14:textId="420FBEDE" w:rsidR="00794F63" w:rsidRPr="00195A0D" w:rsidRDefault="00794F63" w:rsidP="00195A0D">
            <w:pPr>
              <w:pStyle w:val="tabletextleft"/>
              <w:spacing w:before="0" w:after="0"/>
              <w:jc w:val="right"/>
              <w:rPr>
                <w:szCs w:val="18"/>
              </w:rPr>
            </w:pPr>
            <w:r w:rsidRPr="00195A0D">
              <w:rPr>
                <w:szCs w:val="18"/>
              </w:rPr>
              <w:t>22</w:t>
            </w:r>
            <w:r w:rsidR="00B81498" w:rsidRPr="00195A0D">
              <w:rPr>
                <w:szCs w:val="18"/>
              </w:rPr>
              <w:t>.</w:t>
            </w:r>
            <w:r w:rsidRPr="00195A0D">
              <w:rPr>
                <w:szCs w:val="18"/>
              </w:rPr>
              <w:t>9</w:t>
            </w:r>
          </w:p>
        </w:tc>
        <w:tc>
          <w:tcPr>
            <w:tcW w:w="813" w:type="dxa"/>
            <w:vAlign w:val="center"/>
          </w:tcPr>
          <w:p w14:paraId="67D2BEFE" w14:textId="5EF215A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22</w:t>
            </w:r>
            <w:r w:rsidR="00B81498" w:rsidRPr="00195A0D">
              <w:rPr>
                <w:szCs w:val="18"/>
              </w:rPr>
              <w:t>.</w:t>
            </w:r>
            <w:r w:rsidRPr="00195A0D">
              <w:rPr>
                <w:szCs w:val="18"/>
              </w:rPr>
              <w:t>7</w:t>
            </w:r>
          </w:p>
        </w:tc>
        <w:tc>
          <w:tcPr>
            <w:tcW w:w="808" w:type="dxa"/>
            <w:vAlign w:val="center"/>
          </w:tcPr>
          <w:p w14:paraId="1AF5F2BD" w14:textId="7CD6B974"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22</w:t>
            </w:r>
            <w:r w:rsidR="00B81498" w:rsidRPr="00195A0D">
              <w:rPr>
                <w:szCs w:val="18"/>
              </w:rPr>
              <w:t>.</w:t>
            </w:r>
            <w:r w:rsidRPr="00195A0D">
              <w:rPr>
                <w:szCs w:val="18"/>
              </w:rPr>
              <w:t>5</w:t>
            </w:r>
          </w:p>
        </w:tc>
        <w:tc>
          <w:tcPr>
            <w:tcW w:w="791" w:type="dxa"/>
            <w:vAlign w:val="center"/>
          </w:tcPr>
          <w:p w14:paraId="686DF5AE" w14:textId="06CFDDE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21</w:t>
            </w:r>
            <w:r w:rsidR="00B81498" w:rsidRPr="00195A0D">
              <w:rPr>
                <w:szCs w:val="18"/>
              </w:rPr>
              <w:t>.</w:t>
            </w:r>
            <w:r w:rsidRPr="00195A0D">
              <w:rPr>
                <w:szCs w:val="18"/>
              </w:rPr>
              <w:t>9</w:t>
            </w:r>
          </w:p>
        </w:tc>
        <w:tc>
          <w:tcPr>
            <w:tcW w:w="784" w:type="dxa"/>
            <w:vAlign w:val="center"/>
          </w:tcPr>
          <w:p w14:paraId="7A16DB6B" w14:textId="0FE2466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21</w:t>
            </w:r>
            <w:r w:rsidR="00B81498" w:rsidRPr="00195A0D">
              <w:rPr>
                <w:szCs w:val="18"/>
              </w:rPr>
              <w:t>.</w:t>
            </w:r>
            <w:r w:rsidRPr="00195A0D">
              <w:rPr>
                <w:szCs w:val="18"/>
              </w:rPr>
              <w:t>5</w:t>
            </w:r>
          </w:p>
        </w:tc>
      </w:tr>
      <w:tr w:rsidR="00794F63" w:rsidRPr="005B2032" w14:paraId="57D8906D" w14:textId="59EC9513" w:rsidTr="00C2491D">
        <w:trPr>
          <w:trHeight w:val="567"/>
          <w:jc w:val="center"/>
        </w:trPr>
        <w:tc>
          <w:tcPr>
            <w:tcW w:w="3327" w:type="dxa"/>
            <w:vAlign w:val="center"/>
            <w:hideMark/>
          </w:tcPr>
          <w:p w14:paraId="48D6734A" w14:textId="747DCA2F"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lastRenderedPageBreak/>
              <w:t>12a. Данъци върху производството и</w:t>
            </w:r>
            <w:r w:rsidR="00195A0D" w:rsidRPr="00195A0D">
              <w:rPr>
                <w:rFonts w:asciiTheme="minorHAnsi" w:hAnsiTheme="minorHAnsi" w:cstheme="minorHAnsi"/>
                <w:szCs w:val="18"/>
              </w:rPr>
              <w:t xml:space="preserve"> </w:t>
            </w:r>
            <w:r w:rsidRPr="00195A0D">
              <w:rPr>
                <w:rFonts w:asciiTheme="minorHAnsi" w:hAnsiTheme="minorHAnsi" w:cstheme="minorHAnsi"/>
                <w:szCs w:val="18"/>
              </w:rPr>
              <w:t>вноса</w:t>
            </w:r>
          </w:p>
        </w:tc>
        <w:tc>
          <w:tcPr>
            <w:tcW w:w="840" w:type="dxa"/>
            <w:vAlign w:val="center"/>
            <w:hideMark/>
          </w:tcPr>
          <w:p w14:paraId="6611B193"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D.2</w:t>
            </w:r>
          </w:p>
        </w:tc>
        <w:tc>
          <w:tcPr>
            <w:tcW w:w="888" w:type="dxa"/>
            <w:vAlign w:val="center"/>
          </w:tcPr>
          <w:p w14:paraId="4FD6507C" w14:textId="45D831A2" w:rsidR="00794F63" w:rsidRPr="00195A0D" w:rsidRDefault="00794F63" w:rsidP="00195A0D">
            <w:pPr>
              <w:pStyle w:val="tabletextleft"/>
              <w:spacing w:before="0" w:after="0"/>
              <w:jc w:val="right"/>
              <w:rPr>
                <w:szCs w:val="18"/>
              </w:rPr>
            </w:pPr>
            <w:r w:rsidRPr="00195A0D">
              <w:rPr>
                <w:szCs w:val="18"/>
              </w:rPr>
              <w:t>21 358</w:t>
            </w:r>
            <w:r w:rsidR="00B81498" w:rsidRPr="00195A0D">
              <w:rPr>
                <w:szCs w:val="18"/>
              </w:rPr>
              <w:t>.</w:t>
            </w:r>
            <w:r w:rsidRPr="00195A0D">
              <w:rPr>
                <w:szCs w:val="18"/>
              </w:rPr>
              <w:t>9</w:t>
            </w:r>
          </w:p>
        </w:tc>
        <w:tc>
          <w:tcPr>
            <w:tcW w:w="813" w:type="dxa"/>
            <w:vAlign w:val="center"/>
          </w:tcPr>
          <w:p w14:paraId="6BDA7717" w14:textId="7B2B0929" w:rsidR="00794F63" w:rsidRPr="00195A0D" w:rsidRDefault="00794F63" w:rsidP="00195A0D">
            <w:pPr>
              <w:pStyle w:val="tabletextleft"/>
              <w:spacing w:before="0" w:after="0"/>
              <w:jc w:val="right"/>
              <w:rPr>
                <w:szCs w:val="18"/>
              </w:rPr>
            </w:pPr>
            <w:r w:rsidRPr="00195A0D">
              <w:rPr>
                <w:szCs w:val="18"/>
              </w:rPr>
              <w:t>16</w:t>
            </w:r>
            <w:r w:rsidR="00B81498" w:rsidRPr="00195A0D">
              <w:rPr>
                <w:szCs w:val="18"/>
              </w:rPr>
              <w:t>.</w:t>
            </w:r>
            <w:r w:rsidRPr="00195A0D">
              <w:rPr>
                <w:szCs w:val="18"/>
              </w:rPr>
              <w:t>1</w:t>
            </w:r>
          </w:p>
        </w:tc>
        <w:tc>
          <w:tcPr>
            <w:tcW w:w="813" w:type="dxa"/>
            <w:vAlign w:val="center"/>
          </w:tcPr>
          <w:p w14:paraId="3717A996" w14:textId="4C40389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9</w:t>
            </w:r>
          </w:p>
        </w:tc>
        <w:tc>
          <w:tcPr>
            <w:tcW w:w="808" w:type="dxa"/>
            <w:vAlign w:val="center"/>
          </w:tcPr>
          <w:p w14:paraId="21D1BFA1" w14:textId="382FEDD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7</w:t>
            </w:r>
          </w:p>
        </w:tc>
        <w:tc>
          <w:tcPr>
            <w:tcW w:w="791" w:type="dxa"/>
            <w:vAlign w:val="center"/>
          </w:tcPr>
          <w:p w14:paraId="06B138B1" w14:textId="7747A75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3</w:t>
            </w:r>
          </w:p>
        </w:tc>
        <w:tc>
          <w:tcPr>
            <w:tcW w:w="784" w:type="dxa"/>
            <w:vAlign w:val="center"/>
          </w:tcPr>
          <w:p w14:paraId="641FE7D2" w14:textId="4DC4985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0</w:t>
            </w:r>
          </w:p>
        </w:tc>
      </w:tr>
      <w:tr w:rsidR="00794F63" w:rsidRPr="005B2032" w14:paraId="126521A9" w14:textId="370D4F09" w:rsidTr="00C2491D">
        <w:trPr>
          <w:trHeight w:val="567"/>
          <w:jc w:val="center"/>
        </w:trPr>
        <w:tc>
          <w:tcPr>
            <w:tcW w:w="3327" w:type="dxa"/>
            <w:vAlign w:val="center"/>
            <w:hideMark/>
          </w:tcPr>
          <w:p w14:paraId="2A29934B"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12b. Текущи данъци върху доходите.</w:t>
            </w:r>
          </w:p>
          <w:p w14:paraId="18047B17"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богатството и т.н.</w:t>
            </w:r>
          </w:p>
        </w:tc>
        <w:tc>
          <w:tcPr>
            <w:tcW w:w="840" w:type="dxa"/>
            <w:vAlign w:val="center"/>
            <w:hideMark/>
          </w:tcPr>
          <w:p w14:paraId="7EF2E8D5"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D.5</w:t>
            </w:r>
          </w:p>
        </w:tc>
        <w:tc>
          <w:tcPr>
            <w:tcW w:w="888" w:type="dxa"/>
            <w:vAlign w:val="center"/>
          </w:tcPr>
          <w:p w14:paraId="47DB3E85" w14:textId="0AB52A5F"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8 548</w:t>
            </w:r>
            <w:r w:rsidR="00B81498" w:rsidRPr="00195A0D">
              <w:rPr>
                <w:szCs w:val="18"/>
              </w:rPr>
              <w:t>.</w:t>
            </w:r>
            <w:r w:rsidRPr="00195A0D">
              <w:rPr>
                <w:szCs w:val="18"/>
              </w:rPr>
              <w:t>4</w:t>
            </w:r>
          </w:p>
        </w:tc>
        <w:tc>
          <w:tcPr>
            <w:tcW w:w="813" w:type="dxa"/>
            <w:vAlign w:val="center"/>
          </w:tcPr>
          <w:p w14:paraId="40FA59FF" w14:textId="5AB1C9E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4</w:t>
            </w:r>
          </w:p>
        </w:tc>
        <w:tc>
          <w:tcPr>
            <w:tcW w:w="813" w:type="dxa"/>
            <w:vAlign w:val="center"/>
          </w:tcPr>
          <w:p w14:paraId="5F5B51C5" w14:textId="4D11560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5</w:t>
            </w:r>
          </w:p>
        </w:tc>
        <w:tc>
          <w:tcPr>
            <w:tcW w:w="808" w:type="dxa"/>
            <w:vAlign w:val="center"/>
          </w:tcPr>
          <w:p w14:paraId="4D5CCD01" w14:textId="769B370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4</w:t>
            </w:r>
          </w:p>
        </w:tc>
        <w:tc>
          <w:tcPr>
            <w:tcW w:w="791" w:type="dxa"/>
            <w:vAlign w:val="center"/>
          </w:tcPr>
          <w:p w14:paraId="7C31826A" w14:textId="1CD7CAD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3</w:t>
            </w:r>
          </w:p>
        </w:tc>
        <w:tc>
          <w:tcPr>
            <w:tcW w:w="784" w:type="dxa"/>
            <w:vAlign w:val="center"/>
          </w:tcPr>
          <w:p w14:paraId="149DEDC1" w14:textId="58C23864"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2</w:t>
            </w:r>
          </w:p>
        </w:tc>
      </w:tr>
      <w:tr w:rsidR="00794F63" w:rsidRPr="005B2032" w14:paraId="68244E77" w14:textId="09B6C4A8" w:rsidTr="00C2491D">
        <w:trPr>
          <w:trHeight w:val="567"/>
          <w:jc w:val="center"/>
        </w:trPr>
        <w:tc>
          <w:tcPr>
            <w:tcW w:w="3327" w:type="dxa"/>
            <w:vAlign w:val="center"/>
            <w:hideMark/>
          </w:tcPr>
          <w:p w14:paraId="4CC8FB54"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12c. Данъци върху капитала</w:t>
            </w:r>
          </w:p>
        </w:tc>
        <w:tc>
          <w:tcPr>
            <w:tcW w:w="840" w:type="dxa"/>
            <w:vAlign w:val="center"/>
            <w:hideMark/>
          </w:tcPr>
          <w:p w14:paraId="555EA26D"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D.91</w:t>
            </w:r>
          </w:p>
        </w:tc>
        <w:tc>
          <w:tcPr>
            <w:tcW w:w="888" w:type="dxa"/>
            <w:vAlign w:val="center"/>
          </w:tcPr>
          <w:p w14:paraId="2A8A126E" w14:textId="0F63C8A7"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496</w:t>
            </w:r>
            <w:r w:rsidR="00B81498" w:rsidRPr="00195A0D">
              <w:rPr>
                <w:szCs w:val="18"/>
              </w:rPr>
              <w:t>.</w:t>
            </w:r>
            <w:r w:rsidRPr="00195A0D">
              <w:rPr>
                <w:szCs w:val="18"/>
              </w:rPr>
              <w:t>6</w:t>
            </w:r>
          </w:p>
        </w:tc>
        <w:tc>
          <w:tcPr>
            <w:tcW w:w="813" w:type="dxa"/>
            <w:vAlign w:val="center"/>
          </w:tcPr>
          <w:p w14:paraId="0DF1CFD8" w14:textId="2E1758C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4</w:t>
            </w:r>
          </w:p>
        </w:tc>
        <w:tc>
          <w:tcPr>
            <w:tcW w:w="813" w:type="dxa"/>
            <w:vAlign w:val="center"/>
          </w:tcPr>
          <w:p w14:paraId="10BF48B2" w14:textId="4976F70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c>
          <w:tcPr>
            <w:tcW w:w="808" w:type="dxa"/>
            <w:vAlign w:val="center"/>
          </w:tcPr>
          <w:p w14:paraId="1554831F" w14:textId="3C6CC95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c>
          <w:tcPr>
            <w:tcW w:w="791" w:type="dxa"/>
            <w:vAlign w:val="center"/>
          </w:tcPr>
          <w:p w14:paraId="6637076A" w14:textId="3C721447"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c>
          <w:tcPr>
            <w:tcW w:w="784" w:type="dxa"/>
            <w:vAlign w:val="center"/>
          </w:tcPr>
          <w:p w14:paraId="43A315B5" w14:textId="33224D6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r>
      <w:tr w:rsidR="00794F63" w:rsidRPr="005B2032" w14:paraId="28790244" w14:textId="62848ED4" w:rsidTr="00C2491D">
        <w:trPr>
          <w:trHeight w:val="567"/>
          <w:jc w:val="center"/>
        </w:trPr>
        <w:tc>
          <w:tcPr>
            <w:tcW w:w="3327" w:type="dxa"/>
            <w:vAlign w:val="center"/>
            <w:hideMark/>
          </w:tcPr>
          <w:p w14:paraId="53E306B8"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13. Социално-осигурителни вноски</w:t>
            </w:r>
          </w:p>
        </w:tc>
        <w:tc>
          <w:tcPr>
            <w:tcW w:w="840" w:type="dxa"/>
            <w:vAlign w:val="center"/>
            <w:hideMark/>
          </w:tcPr>
          <w:p w14:paraId="4785925E"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D.61</w:t>
            </w:r>
          </w:p>
        </w:tc>
        <w:tc>
          <w:tcPr>
            <w:tcW w:w="888" w:type="dxa"/>
            <w:vAlign w:val="center"/>
          </w:tcPr>
          <w:p w14:paraId="6A4CEB99" w14:textId="5C68750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12 314</w:t>
            </w:r>
            <w:r w:rsidR="00B81498" w:rsidRPr="00195A0D">
              <w:rPr>
                <w:szCs w:val="18"/>
              </w:rPr>
              <w:t>.</w:t>
            </w:r>
            <w:r w:rsidRPr="00195A0D">
              <w:rPr>
                <w:szCs w:val="18"/>
              </w:rPr>
              <w:t>7</w:t>
            </w:r>
          </w:p>
        </w:tc>
        <w:tc>
          <w:tcPr>
            <w:tcW w:w="813" w:type="dxa"/>
            <w:vAlign w:val="center"/>
          </w:tcPr>
          <w:p w14:paraId="23F7496A" w14:textId="2B1C46A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3</w:t>
            </w:r>
          </w:p>
        </w:tc>
        <w:tc>
          <w:tcPr>
            <w:tcW w:w="813" w:type="dxa"/>
            <w:vAlign w:val="center"/>
          </w:tcPr>
          <w:p w14:paraId="60C83282" w14:textId="03C7D9F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2</w:t>
            </w:r>
          </w:p>
        </w:tc>
        <w:tc>
          <w:tcPr>
            <w:tcW w:w="808" w:type="dxa"/>
            <w:vAlign w:val="center"/>
          </w:tcPr>
          <w:p w14:paraId="7B469E9B" w14:textId="6C1EFD6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2</w:t>
            </w:r>
          </w:p>
        </w:tc>
        <w:tc>
          <w:tcPr>
            <w:tcW w:w="791" w:type="dxa"/>
            <w:vAlign w:val="center"/>
          </w:tcPr>
          <w:p w14:paraId="5F3FAA66" w14:textId="642D6C7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2</w:t>
            </w:r>
          </w:p>
        </w:tc>
        <w:tc>
          <w:tcPr>
            <w:tcW w:w="784" w:type="dxa"/>
            <w:vAlign w:val="center"/>
          </w:tcPr>
          <w:p w14:paraId="12683F33" w14:textId="51421E3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2</w:t>
            </w:r>
          </w:p>
        </w:tc>
      </w:tr>
      <w:tr w:rsidR="00794F63" w:rsidRPr="005B2032" w14:paraId="5C9DA4F9" w14:textId="444D3562" w:rsidTr="00C2491D">
        <w:trPr>
          <w:trHeight w:val="567"/>
          <w:jc w:val="center"/>
        </w:trPr>
        <w:tc>
          <w:tcPr>
            <w:tcW w:w="3327" w:type="dxa"/>
            <w:vAlign w:val="center"/>
            <w:hideMark/>
          </w:tcPr>
          <w:p w14:paraId="4558C42B"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14. Доход от собственост</w:t>
            </w:r>
          </w:p>
        </w:tc>
        <w:tc>
          <w:tcPr>
            <w:tcW w:w="840" w:type="dxa"/>
            <w:vAlign w:val="center"/>
            <w:hideMark/>
          </w:tcPr>
          <w:p w14:paraId="796A7AD0"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D.4</w:t>
            </w:r>
          </w:p>
        </w:tc>
        <w:tc>
          <w:tcPr>
            <w:tcW w:w="888" w:type="dxa"/>
            <w:vAlign w:val="center"/>
          </w:tcPr>
          <w:p w14:paraId="04F66B90" w14:textId="1C1A6EEA"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782</w:t>
            </w:r>
            <w:r w:rsidR="00B81498" w:rsidRPr="00195A0D">
              <w:rPr>
                <w:szCs w:val="18"/>
              </w:rPr>
              <w:t>.</w:t>
            </w:r>
            <w:r w:rsidRPr="00195A0D">
              <w:rPr>
                <w:szCs w:val="18"/>
              </w:rPr>
              <w:t>4</w:t>
            </w:r>
          </w:p>
        </w:tc>
        <w:tc>
          <w:tcPr>
            <w:tcW w:w="813" w:type="dxa"/>
            <w:vAlign w:val="center"/>
          </w:tcPr>
          <w:p w14:paraId="7C89194C" w14:textId="151E7B3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6</w:t>
            </w:r>
          </w:p>
        </w:tc>
        <w:tc>
          <w:tcPr>
            <w:tcW w:w="813" w:type="dxa"/>
            <w:vAlign w:val="center"/>
          </w:tcPr>
          <w:p w14:paraId="329C7C56" w14:textId="5D5D46A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7</w:t>
            </w:r>
          </w:p>
        </w:tc>
        <w:tc>
          <w:tcPr>
            <w:tcW w:w="808" w:type="dxa"/>
            <w:vAlign w:val="center"/>
          </w:tcPr>
          <w:p w14:paraId="385AAF4F" w14:textId="085930E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4</w:t>
            </w:r>
          </w:p>
        </w:tc>
        <w:tc>
          <w:tcPr>
            <w:tcW w:w="791" w:type="dxa"/>
            <w:vAlign w:val="center"/>
          </w:tcPr>
          <w:p w14:paraId="0A0428CB" w14:textId="368BBAE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4</w:t>
            </w:r>
          </w:p>
        </w:tc>
        <w:tc>
          <w:tcPr>
            <w:tcW w:w="784" w:type="dxa"/>
            <w:vAlign w:val="center"/>
          </w:tcPr>
          <w:p w14:paraId="6105D0BC" w14:textId="0B67B92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4</w:t>
            </w:r>
          </w:p>
        </w:tc>
      </w:tr>
      <w:tr w:rsidR="00794F63" w:rsidRPr="005B2032" w14:paraId="6483698A" w14:textId="372597DC" w:rsidTr="00C2491D">
        <w:trPr>
          <w:trHeight w:val="567"/>
          <w:jc w:val="center"/>
        </w:trPr>
        <w:tc>
          <w:tcPr>
            <w:tcW w:w="3327" w:type="dxa"/>
            <w:vAlign w:val="center"/>
            <w:hideMark/>
          </w:tcPr>
          <w:p w14:paraId="26CECB43"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15. Други</w:t>
            </w:r>
          </w:p>
        </w:tc>
        <w:tc>
          <w:tcPr>
            <w:tcW w:w="840" w:type="dxa"/>
            <w:vAlign w:val="center"/>
          </w:tcPr>
          <w:p w14:paraId="665884E8" w14:textId="77777777" w:rsidR="00794F63" w:rsidRPr="00195A0D" w:rsidRDefault="00794F63" w:rsidP="00195A0D">
            <w:pPr>
              <w:pStyle w:val="tabletextleft"/>
              <w:spacing w:before="0" w:after="0"/>
              <w:rPr>
                <w:rFonts w:asciiTheme="minorHAnsi" w:hAnsiTheme="minorHAnsi" w:cstheme="minorHAnsi"/>
                <w:szCs w:val="18"/>
              </w:rPr>
            </w:pPr>
          </w:p>
        </w:tc>
        <w:tc>
          <w:tcPr>
            <w:tcW w:w="888" w:type="dxa"/>
            <w:vAlign w:val="center"/>
          </w:tcPr>
          <w:p w14:paraId="6CEFA1A1" w14:textId="2202089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8 225</w:t>
            </w:r>
            <w:r w:rsidR="00B81498" w:rsidRPr="00195A0D">
              <w:rPr>
                <w:szCs w:val="18"/>
              </w:rPr>
              <w:t>.</w:t>
            </w:r>
            <w:r w:rsidRPr="00195A0D">
              <w:rPr>
                <w:szCs w:val="18"/>
              </w:rPr>
              <w:t>1</w:t>
            </w:r>
          </w:p>
        </w:tc>
        <w:tc>
          <w:tcPr>
            <w:tcW w:w="813" w:type="dxa"/>
            <w:vAlign w:val="center"/>
          </w:tcPr>
          <w:p w14:paraId="4018862A" w14:textId="7F865EE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2</w:t>
            </w:r>
          </w:p>
        </w:tc>
        <w:tc>
          <w:tcPr>
            <w:tcW w:w="813" w:type="dxa"/>
            <w:vAlign w:val="center"/>
          </w:tcPr>
          <w:p w14:paraId="07DFC9A9" w14:textId="329E8A8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5</w:t>
            </w:r>
          </w:p>
        </w:tc>
        <w:tc>
          <w:tcPr>
            <w:tcW w:w="808" w:type="dxa"/>
            <w:vAlign w:val="center"/>
          </w:tcPr>
          <w:p w14:paraId="2F48080D" w14:textId="35B0DD6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9</w:t>
            </w:r>
          </w:p>
        </w:tc>
        <w:tc>
          <w:tcPr>
            <w:tcW w:w="791" w:type="dxa"/>
            <w:vAlign w:val="center"/>
          </w:tcPr>
          <w:p w14:paraId="7969A247" w14:textId="31FDAE8F"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5</w:t>
            </w:r>
          </w:p>
        </w:tc>
        <w:tc>
          <w:tcPr>
            <w:tcW w:w="784" w:type="dxa"/>
            <w:vAlign w:val="center"/>
          </w:tcPr>
          <w:p w14:paraId="383FAB6A" w14:textId="40609BAA"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1</w:t>
            </w:r>
          </w:p>
        </w:tc>
      </w:tr>
      <w:tr w:rsidR="00794F63" w:rsidRPr="005B2032" w14:paraId="60C174D5" w14:textId="7D9FC8D6" w:rsidTr="00C2491D">
        <w:trPr>
          <w:trHeight w:val="567"/>
          <w:jc w:val="center"/>
        </w:trPr>
        <w:tc>
          <w:tcPr>
            <w:tcW w:w="3327" w:type="dxa"/>
            <w:vAlign w:val="center"/>
            <w:hideMark/>
          </w:tcPr>
          <w:p w14:paraId="2074B4C4"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16=6. Общо приходи</w:t>
            </w:r>
          </w:p>
        </w:tc>
        <w:tc>
          <w:tcPr>
            <w:tcW w:w="840" w:type="dxa"/>
            <w:vAlign w:val="center"/>
            <w:hideMark/>
          </w:tcPr>
          <w:p w14:paraId="384790AE"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TR</w:t>
            </w:r>
          </w:p>
        </w:tc>
        <w:tc>
          <w:tcPr>
            <w:tcW w:w="888" w:type="dxa"/>
            <w:vAlign w:val="center"/>
          </w:tcPr>
          <w:p w14:paraId="2C863602" w14:textId="19E35354"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51 726</w:t>
            </w:r>
            <w:r w:rsidR="00B81498" w:rsidRPr="00195A0D">
              <w:rPr>
                <w:szCs w:val="18"/>
              </w:rPr>
              <w:t>.</w:t>
            </w:r>
            <w:r w:rsidRPr="00195A0D">
              <w:rPr>
                <w:szCs w:val="18"/>
              </w:rPr>
              <w:t>1</w:t>
            </w:r>
          </w:p>
        </w:tc>
        <w:tc>
          <w:tcPr>
            <w:tcW w:w="813" w:type="dxa"/>
            <w:vAlign w:val="center"/>
          </w:tcPr>
          <w:p w14:paraId="33D2B98D" w14:textId="692F82C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39</w:t>
            </w:r>
            <w:r w:rsidR="00B81498" w:rsidRPr="00195A0D">
              <w:rPr>
                <w:szCs w:val="18"/>
              </w:rPr>
              <w:t>.</w:t>
            </w:r>
            <w:r w:rsidRPr="00195A0D">
              <w:rPr>
                <w:szCs w:val="18"/>
              </w:rPr>
              <w:t>0</w:t>
            </w:r>
          </w:p>
        </w:tc>
        <w:tc>
          <w:tcPr>
            <w:tcW w:w="813" w:type="dxa"/>
            <w:vAlign w:val="center"/>
          </w:tcPr>
          <w:p w14:paraId="3625335C" w14:textId="600EE44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38</w:t>
            </w:r>
            <w:r w:rsidR="00B81498" w:rsidRPr="00195A0D">
              <w:rPr>
                <w:szCs w:val="18"/>
              </w:rPr>
              <w:t>.</w:t>
            </w:r>
            <w:r w:rsidRPr="00195A0D">
              <w:rPr>
                <w:szCs w:val="18"/>
              </w:rPr>
              <w:t>0</w:t>
            </w:r>
          </w:p>
        </w:tc>
        <w:tc>
          <w:tcPr>
            <w:tcW w:w="808" w:type="dxa"/>
            <w:vAlign w:val="center"/>
          </w:tcPr>
          <w:p w14:paraId="4C3021CB" w14:textId="6163914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38</w:t>
            </w:r>
            <w:r w:rsidR="00B81498" w:rsidRPr="00195A0D">
              <w:rPr>
                <w:szCs w:val="18"/>
              </w:rPr>
              <w:t>.</w:t>
            </w:r>
            <w:r w:rsidRPr="00195A0D">
              <w:rPr>
                <w:szCs w:val="18"/>
              </w:rPr>
              <w:t>0</w:t>
            </w:r>
          </w:p>
        </w:tc>
        <w:tc>
          <w:tcPr>
            <w:tcW w:w="791" w:type="dxa"/>
            <w:vAlign w:val="center"/>
          </w:tcPr>
          <w:p w14:paraId="6D8D4CA0" w14:textId="3A6CF74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37</w:t>
            </w:r>
            <w:r w:rsidR="00B81498" w:rsidRPr="00195A0D">
              <w:rPr>
                <w:szCs w:val="18"/>
              </w:rPr>
              <w:t>.</w:t>
            </w:r>
            <w:r w:rsidRPr="00195A0D">
              <w:rPr>
                <w:szCs w:val="18"/>
              </w:rPr>
              <w:t>0</w:t>
            </w:r>
          </w:p>
        </w:tc>
        <w:tc>
          <w:tcPr>
            <w:tcW w:w="784" w:type="dxa"/>
            <w:vAlign w:val="center"/>
          </w:tcPr>
          <w:p w14:paraId="75E8B6F2" w14:textId="566BC28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36</w:t>
            </w:r>
            <w:r w:rsidR="00B81498" w:rsidRPr="00195A0D">
              <w:rPr>
                <w:szCs w:val="18"/>
              </w:rPr>
              <w:t>.</w:t>
            </w:r>
            <w:r w:rsidRPr="00195A0D">
              <w:rPr>
                <w:szCs w:val="18"/>
              </w:rPr>
              <w:t>2</w:t>
            </w:r>
          </w:p>
        </w:tc>
      </w:tr>
      <w:tr w:rsidR="00794F63" w:rsidRPr="005B2032" w14:paraId="1B0D4CCF" w14:textId="7BBF4FD5" w:rsidTr="00C2491D">
        <w:trPr>
          <w:trHeight w:val="567"/>
          <w:jc w:val="center"/>
        </w:trPr>
        <w:tc>
          <w:tcPr>
            <w:tcW w:w="3327" w:type="dxa"/>
            <w:vAlign w:val="center"/>
            <w:hideMark/>
          </w:tcPr>
          <w:p w14:paraId="78ABFFFE"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Данъчно бреме (D.2+D.5+D.61+D.91-D.995)</w:t>
            </w:r>
          </w:p>
        </w:tc>
        <w:tc>
          <w:tcPr>
            <w:tcW w:w="840" w:type="dxa"/>
            <w:vAlign w:val="center"/>
          </w:tcPr>
          <w:p w14:paraId="7988B3B3" w14:textId="77777777" w:rsidR="00794F63" w:rsidRPr="00195A0D" w:rsidRDefault="00794F63" w:rsidP="00195A0D">
            <w:pPr>
              <w:pStyle w:val="tabletextleft"/>
              <w:spacing w:before="0" w:after="0"/>
              <w:rPr>
                <w:rFonts w:asciiTheme="minorHAnsi" w:hAnsiTheme="minorHAnsi" w:cstheme="minorHAnsi"/>
                <w:szCs w:val="18"/>
              </w:rPr>
            </w:pPr>
          </w:p>
        </w:tc>
        <w:tc>
          <w:tcPr>
            <w:tcW w:w="888" w:type="dxa"/>
            <w:vAlign w:val="center"/>
          </w:tcPr>
          <w:p w14:paraId="0C62C0C2" w14:textId="6DD27B0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42 718</w:t>
            </w:r>
            <w:r w:rsidR="00B81498" w:rsidRPr="00195A0D">
              <w:rPr>
                <w:szCs w:val="18"/>
              </w:rPr>
              <w:t>.</w:t>
            </w:r>
            <w:r w:rsidRPr="00195A0D">
              <w:rPr>
                <w:szCs w:val="18"/>
              </w:rPr>
              <w:t>6</w:t>
            </w:r>
          </w:p>
        </w:tc>
        <w:tc>
          <w:tcPr>
            <w:tcW w:w="813" w:type="dxa"/>
            <w:vAlign w:val="center"/>
          </w:tcPr>
          <w:p w14:paraId="43898727" w14:textId="53E409F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32</w:t>
            </w:r>
            <w:r w:rsidR="00B81498" w:rsidRPr="00195A0D">
              <w:rPr>
                <w:szCs w:val="18"/>
              </w:rPr>
              <w:t>.</w:t>
            </w:r>
            <w:r w:rsidRPr="00195A0D">
              <w:rPr>
                <w:szCs w:val="18"/>
              </w:rPr>
              <w:t>2</w:t>
            </w:r>
          </w:p>
        </w:tc>
        <w:tc>
          <w:tcPr>
            <w:tcW w:w="813" w:type="dxa"/>
            <w:vAlign w:val="center"/>
          </w:tcPr>
          <w:p w14:paraId="0E12B13F" w14:textId="5B05DD4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31</w:t>
            </w:r>
            <w:r w:rsidR="00B81498" w:rsidRPr="00195A0D">
              <w:rPr>
                <w:szCs w:val="18"/>
              </w:rPr>
              <w:t>.</w:t>
            </w:r>
            <w:r w:rsidRPr="00195A0D">
              <w:rPr>
                <w:szCs w:val="18"/>
              </w:rPr>
              <w:t>8</w:t>
            </w:r>
          </w:p>
        </w:tc>
        <w:tc>
          <w:tcPr>
            <w:tcW w:w="808" w:type="dxa"/>
            <w:vAlign w:val="center"/>
          </w:tcPr>
          <w:p w14:paraId="7E267BB3" w14:textId="080AE5A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31</w:t>
            </w:r>
            <w:r w:rsidR="00B81498" w:rsidRPr="00195A0D">
              <w:rPr>
                <w:szCs w:val="18"/>
              </w:rPr>
              <w:t>.</w:t>
            </w:r>
            <w:r w:rsidRPr="00195A0D">
              <w:rPr>
                <w:szCs w:val="18"/>
              </w:rPr>
              <w:t>7</w:t>
            </w:r>
          </w:p>
        </w:tc>
        <w:tc>
          <w:tcPr>
            <w:tcW w:w="791" w:type="dxa"/>
            <w:vAlign w:val="center"/>
          </w:tcPr>
          <w:p w14:paraId="25647C9D" w14:textId="626ED19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31</w:t>
            </w:r>
            <w:r w:rsidR="00B81498" w:rsidRPr="00195A0D">
              <w:rPr>
                <w:szCs w:val="18"/>
              </w:rPr>
              <w:t>.</w:t>
            </w:r>
            <w:r w:rsidRPr="00195A0D">
              <w:rPr>
                <w:szCs w:val="18"/>
              </w:rPr>
              <w:t>1</w:t>
            </w:r>
          </w:p>
        </w:tc>
        <w:tc>
          <w:tcPr>
            <w:tcW w:w="784" w:type="dxa"/>
            <w:vAlign w:val="center"/>
          </w:tcPr>
          <w:p w14:paraId="75668A33" w14:textId="50DCC4E7"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30</w:t>
            </w:r>
            <w:r w:rsidR="00B81498" w:rsidRPr="00195A0D">
              <w:rPr>
                <w:szCs w:val="18"/>
              </w:rPr>
              <w:t>.</w:t>
            </w:r>
            <w:r w:rsidRPr="00195A0D">
              <w:rPr>
                <w:szCs w:val="18"/>
              </w:rPr>
              <w:t>7</w:t>
            </w:r>
          </w:p>
        </w:tc>
      </w:tr>
      <w:tr w:rsidR="00794F63" w:rsidRPr="005B2032" w14:paraId="1E77B992" w14:textId="79D0AF0D" w:rsidTr="00C2491D">
        <w:trPr>
          <w:trHeight w:val="567"/>
          <w:jc w:val="center"/>
        </w:trPr>
        <w:tc>
          <w:tcPr>
            <w:tcW w:w="3327" w:type="dxa"/>
            <w:vAlign w:val="center"/>
            <w:hideMark/>
          </w:tcPr>
          <w:p w14:paraId="68485665"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17. Компенсация на наетите лица +</w:t>
            </w:r>
          </w:p>
          <w:p w14:paraId="3A275F8C"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междинно потребление</w:t>
            </w:r>
          </w:p>
        </w:tc>
        <w:tc>
          <w:tcPr>
            <w:tcW w:w="840" w:type="dxa"/>
            <w:vAlign w:val="center"/>
            <w:hideMark/>
          </w:tcPr>
          <w:p w14:paraId="13894532"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D.1+P.2</w:t>
            </w:r>
          </w:p>
        </w:tc>
        <w:tc>
          <w:tcPr>
            <w:tcW w:w="888" w:type="dxa"/>
            <w:vAlign w:val="center"/>
          </w:tcPr>
          <w:p w14:paraId="14303FA5" w14:textId="6A00317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22 678</w:t>
            </w:r>
            <w:r w:rsidR="00B81498" w:rsidRPr="00195A0D">
              <w:rPr>
                <w:szCs w:val="18"/>
              </w:rPr>
              <w:t>.</w:t>
            </w:r>
            <w:r w:rsidRPr="00195A0D">
              <w:rPr>
                <w:szCs w:val="18"/>
              </w:rPr>
              <w:t>7</w:t>
            </w:r>
          </w:p>
        </w:tc>
        <w:tc>
          <w:tcPr>
            <w:tcW w:w="813" w:type="dxa"/>
            <w:vAlign w:val="center"/>
          </w:tcPr>
          <w:p w14:paraId="1A06646D" w14:textId="7AF93AE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17</w:t>
            </w:r>
            <w:r w:rsidR="00B81498" w:rsidRPr="00195A0D">
              <w:rPr>
                <w:szCs w:val="18"/>
              </w:rPr>
              <w:t>.</w:t>
            </w:r>
            <w:r w:rsidRPr="00195A0D">
              <w:rPr>
                <w:szCs w:val="18"/>
              </w:rPr>
              <w:t>1</w:t>
            </w:r>
          </w:p>
        </w:tc>
        <w:tc>
          <w:tcPr>
            <w:tcW w:w="813" w:type="dxa"/>
            <w:vAlign w:val="center"/>
          </w:tcPr>
          <w:p w14:paraId="02476804" w14:textId="6BFE364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17</w:t>
            </w:r>
            <w:r w:rsidR="00B81498" w:rsidRPr="00195A0D">
              <w:rPr>
                <w:szCs w:val="18"/>
              </w:rPr>
              <w:t>.</w:t>
            </w:r>
            <w:r w:rsidRPr="00195A0D">
              <w:rPr>
                <w:szCs w:val="18"/>
              </w:rPr>
              <w:t>2</w:t>
            </w:r>
          </w:p>
        </w:tc>
        <w:tc>
          <w:tcPr>
            <w:tcW w:w="808" w:type="dxa"/>
            <w:vAlign w:val="center"/>
          </w:tcPr>
          <w:p w14:paraId="086E20B2" w14:textId="2F762FF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7</w:t>
            </w:r>
          </w:p>
        </w:tc>
        <w:tc>
          <w:tcPr>
            <w:tcW w:w="791" w:type="dxa"/>
            <w:vAlign w:val="center"/>
          </w:tcPr>
          <w:p w14:paraId="03E90BD6" w14:textId="415A238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14</w:t>
            </w:r>
            <w:r w:rsidR="00B81498" w:rsidRPr="00195A0D">
              <w:rPr>
                <w:szCs w:val="18"/>
              </w:rPr>
              <w:t>.</w:t>
            </w:r>
            <w:r w:rsidRPr="00195A0D">
              <w:rPr>
                <w:szCs w:val="18"/>
              </w:rPr>
              <w:t>7</w:t>
            </w:r>
          </w:p>
        </w:tc>
        <w:tc>
          <w:tcPr>
            <w:tcW w:w="784" w:type="dxa"/>
            <w:vAlign w:val="center"/>
          </w:tcPr>
          <w:p w14:paraId="55D86E8C" w14:textId="57285F9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13</w:t>
            </w:r>
            <w:r w:rsidR="00B81498" w:rsidRPr="00195A0D">
              <w:rPr>
                <w:szCs w:val="18"/>
              </w:rPr>
              <w:t>.</w:t>
            </w:r>
            <w:r w:rsidRPr="00195A0D">
              <w:rPr>
                <w:szCs w:val="18"/>
              </w:rPr>
              <w:t>7</w:t>
            </w:r>
          </w:p>
        </w:tc>
      </w:tr>
      <w:tr w:rsidR="00794F63" w:rsidRPr="005B2032" w14:paraId="64A42CB2" w14:textId="6B15CF31" w:rsidTr="00C2491D">
        <w:trPr>
          <w:trHeight w:val="567"/>
          <w:jc w:val="center"/>
        </w:trPr>
        <w:tc>
          <w:tcPr>
            <w:tcW w:w="3327" w:type="dxa"/>
            <w:vAlign w:val="center"/>
            <w:hideMark/>
          </w:tcPr>
          <w:p w14:paraId="7216E065"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17a. Компенсация на наетите лица</w:t>
            </w:r>
          </w:p>
        </w:tc>
        <w:tc>
          <w:tcPr>
            <w:tcW w:w="840" w:type="dxa"/>
            <w:vAlign w:val="center"/>
            <w:hideMark/>
          </w:tcPr>
          <w:p w14:paraId="72AB6B24"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D.1</w:t>
            </w:r>
          </w:p>
        </w:tc>
        <w:tc>
          <w:tcPr>
            <w:tcW w:w="888" w:type="dxa"/>
            <w:vAlign w:val="center"/>
          </w:tcPr>
          <w:p w14:paraId="353A2603" w14:textId="575A298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15 528</w:t>
            </w:r>
            <w:r w:rsidR="00B81498" w:rsidRPr="00195A0D">
              <w:rPr>
                <w:szCs w:val="18"/>
              </w:rPr>
              <w:t>.</w:t>
            </w:r>
            <w:r w:rsidRPr="00195A0D">
              <w:rPr>
                <w:szCs w:val="18"/>
              </w:rPr>
              <w:t>6</w:t>
            </w:r>
          </w:p>
        </w:tc>
        <w:tc>
          <w:tcPr>
            <w:tcW w:w="813" w:type="dxa"/>
            <w:vAlign w:val="center"/>
          </w:tcPr>
          <w:p w14:paraId="12D10427" w14:textId="238F57A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11</w:t>
            </w:r>
            <w:r w:rsidR="00B81498" w:rsidRPr="00195A0D">
              <w:rPr>
                <w:szCs w:val="18"/>
              </w:rPr>
              <w:t>.</w:t>
            </w:r>
            <w:r w:rsidRPr="00195A0D">
              <w:rPr>
                <w:szCs w:val="18"/>
              </w:rPr>
              <w:t>7</w:t>
            </w:r>
          </w:p>
        </w:tc>
        <w:tc>
          <w:tcPr>
            <w:tcW w:w="813" w:type="dxa"/>
            <w:vAlign w:val="center"/>
          </w:tcPr>
          <w:p w14:paraId="77991572" w14:textId="7FC6D93F"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10</w:t>
            </w:r>
            <w:r w:rsidR="00B81498" w:rsidRPr="00195A0D">
              <w:rPr>
                <w:szCs w:val="18"/>
              </w:rPr>
              <w:t>.</w:t>
            </w:r>
            <w:r w:rsidRPr="00195A0D">
              <w:rPr>
                <w:szCs w:val="18"/>
              </w:rPr>
              <w:t>8</w:t>
            </w:r>
          </w:p>
        </w:tc>
        <w:tc>
          <w:tcPr>
            <w:tcW w:w="808" w:type="dxa"/>
            <w:vAlign w:val="center"/>
          </w:tcPr>
          <w:p w14:paraId="46D8A8FB" w14:textId="20E2451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10</w:t>
            </w:r>
            <w:r w:rsidR="00B81498" w:rsidRPr="00195A0D">
              <w:rPr>
                <w:szCs w:val="18"/>
              </w:rPr>
              <w:t>.</w:t>
            </w:r>
            <w:r w:rsidRPr="00195A0D">
              <w:rPr>
                <w:szCs w:val="18"/>
              </w:rPr>
              <w:t>1</w:t>
            </w:r>
          </w:p>
        </w:tc>
        <w:tc>
          <w:tcPr>
            <w:tcW w:w="791" w:type="dxa"/>
            <w:vAlign w:val="center"/>
          </w:tcPr>
          <w:p w14:paraId="00D774B0" w14:textId="7563B31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6</w:t>
            </w:r>
          </w:p>
        </w:tc>
        <w:tc>
          <w:tcPr>
            <w:tcW w:w="784" w:type="dxa"/>
            <w:vAlign w:val="center"/>
          </w:tcPr>
          <w:p w14:paraId="3EBA7EF1" w14:textId="7F88E864"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9</w:t>
            </w:r>
            <w:r w:rsidR="00B81498" w:rsidRPr="00195A0D">
              <w:rPr>
                <w:szCs w:val="18"/>
              </w:rPr>
              <w:t>.</w:t>
            </w:r>
            <w:r w:rsidRPr="00195A0D">
              <w:rPr>
                <w:szCs w:val="18"/>
              </w:rPr>
              <w:t>3</w:t>
            </w:r>
          </w:p>
        </w:tc>
      </w:tr>
      <w:tr w:rsidR="00794F63" w:rsidRPr="005B2032" w14:paraId="556F88A1" w14:textId="13A4AC02" w:rsidTr="00C2491D">
        <w:trPr>
          <w:trHeight w:val="567"/>
          <w:jc w:val="center"/>
        </w:trPr>
        <w:tc>
          <w:tcPr>
            <w:tcW w:w="3327" w:type="dxa"/>
            <w:vAlign w:val="center"/>
            <w:hideMark/>
          </w:tcPr>
          <w:p w14:paraId="0953A1AE"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17b. Междинно потребление</w:t>
            </w:r>
          </w:p>
        </w:tc>
        <w:tc>
          <w:tcPr>
            <w:tcW w:w="840" w:type="dxa"/>
            <w:vAlign w:val="center"/>
            <w:hideMark/>
          </w:tcPr>
          <w:p w14:paraId="686E3633"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P.2</w:t>
            </w:r>
          </w:p>
        </w:tc>
        <w:tc>
          <w:tcPr>
            <w:tcW w:w="888" w:type="dxa"/>
            <w:vAlign w:val="center"/>
          </w:tcPr>
          <w:p w14:paraId="67221FE3" w14:textId="6FCF7F9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7 150</w:t>
            </w:r>
            <w:r w:rsidR="00B81498" w:rsidRPr="00195A0D">
              <w:rPr>
                <w:szCs w:val="18"/>
              </w:rPr>
              <w:t>.</w:t>
            </w:r>
            <w:r w:rsidRPr="00195A0D">
              <w:rPr>
                <w:szCs w:val="18"/>
              </w:rPr>
              <w:t>1</w:t>
            </w:r>
          </w:p>
        </w:tc>
        <w:tc>
          <w:tcPr>
            <w:tcW w:w="813" w:type="dxa"/>
            <w:vAlign w:val="center"/>
          </w:tcPr>
          <w:p w14:paraId="232E2DBE" w14:textId="4B1453A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4</w:t>
            </w:r>
          </w:p>
        </w:tc>
        <w:tc>
          <w:tcPr>
            <w:tcW w:w="813" w:type="dxa"/>
            <w:vAlign w:val="center"/>
          </w:tcPr>
          <w:p w14:paraId="3D9DA98A" w14:textId="0834DF4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w:t>
            </w:r>
            <w:r w:rsidR="00B81498" w:rsidRPr="00195A0D">
              <w:rPr>
                <w:szCs w:val="18"/>
              </w:rPr>
              <w:t>.</w:t>
            </w:r>
            <w:r w:rsidRPr="00195A0D">
              <w:rPr>
                <w:szCs w:val="18"/>
              </w:rPr>
              <w:t>3</w:t>
            </w:r>
          </w:p>
        </w:tc>
        <w:tc>
          <w:tcPr>
            <w:tcW w:w="808" w:type="dxa"/>
            <w:vAlign w:val="center"/>
          </w:tcPr>
          <w:p w14:paraId="647DF2F7" w14:textId="7049D4C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6</w:t>
            </w:r>
          </w:p>
        </w:tc>
        <w:tc>
          <w:tcPr>
            <w:tcW w:w="791" w:type="dxa"/>
            <w:vAlign w:val="center"/>
          </w:tcPr>
          <w:p w14:paraId="4EDED3C8" w14:textId="58001B3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0</w:t>
            </w:r>
          </w:p>
        </w:tc>
        <w:tc>
          <w:tcPr>
            <w:tcW w:w="784" w:type="dxa"/>
            <w:vAlign w:val="center"/>
          </w:tcPr>
          <w:p w14:paraId="2F679501" w14:textId="21A8ADA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4</w:t>
            </w:r>
            <w:r w:rsidR="00B81498" w:rsidRPr="00195A0D">
              <w:rPr>
                <w:szCs w:val="18"/>
              </w:rPr>
              <w:t>.</w:t>
            </w:r>
            <w:r w:rsidRPr="00195A0D">
              <w:rPr>
                <w:szCs w:val="18"/>
              </w:rPr>
              <w:t>5</w:t>
            </w:r>
          </w:p>
        </w:tc>
      </w:tr>
      <w:tr w:rsidR="00794F63" w:rsidRPr="005B2032" w14:paraId="0F1DA876" w14:textId="33CC1DC2" w:rsidTr="00C2491D">
        <w:trPr>
          <w:trHeight w:val="567"/>
          <w:jc w:val="center"/>
        </w:trPr>
        <w:tc>
          <w:tcPr>
            <w:tcW w:w="3327" w:type="dxa"/>
            <w:noWrap/>
            <w:vAlign w:val="center"/>
            <w:hideMark/>
          </w:tcPr>
          <w:p w14:paraId="32D974B0"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18. Общо социални трансфери (18=18a+18b)</w:t>
            </w:r>
          </w:p>
        </w:tc>
        <w:tc>
          <w:tcPr>
            <w:tcW w:w="840" w:type="dxa"/>
            <w:vAlign w:val="center"/>
          </w:tcPr>
          <w:p w14:paraId="5B5E4280" w14:textId="77777777" w:rsidR="00794F63" w:rsidRPr="00195A0D" w:rsidRDefault="00794F63" w:rsidP="00195A0D">
            <w:pPr>
              <w:pStyle w:val="tabletextleft"/>
              <w:spacing w:before="0" w:after="0"/>
              <w:rPr>
                <w:rFonts w:asciiTheme="minorHAnsi" w:hAnsiTheme="minorHAnsi" w:cstheme="minorHAnsi"/>
                <w:szCs w:val="18"/>
              </w:rPr>
            </w:pPr>
          </w:p>
        </w:tc>
        <w:tc>
          <w:tcPr>
            <w:tcW w:w="888" w:type="dxa"/>
            <w:vAlign w:val="center"/>
          </w:tcPr>
          <w:p w14:paraId="4A2A1C0A" w14:textId="373D941D"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20 398</w:t>
            </w:r>
            <w:r w:rsidR="00B81498" w:rsidRPr="00195A0D">
              <w:rPr>
                <w:szCs w:val="18"/>
              </w:rPr>
              <w:t>.</w:t>
            </w:r>
            <w:r w:rsidRPr="00195A0D">
              <w:rPr>
                <w:szCs w:val="18"/>
              </w:rPr>
              <w:t>0</w:t>
            </w:r>
          </w:p>
        </w:tc>
        <w:tc>
          <w:tcPr>
            <w:tcW w:w="813" w:type="dxa"/>
            <w:vAlign w:val="center"/>
          </w:tcPr>
          <w:p w14:paraId="4C8288EB" w14:textId="3AB5F55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4</w:t>
            </w:r>
          </w:p>
        </w:tc>
        <w:tc>
          <w:tcPr>
            <w:tcW w:w="813" w:type="dxa"/>
            <w:vAlign w:val="center"/>
          </w:tcPr>
          <w:p w14:paraId="46CB7EAE" w14:textId="71CAC69D"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15</w:t>
            </w:r>
            <w:r w:rsidR="00B81498" w:rsidRPr="00195A0D">
              <w:rPr>
                <w:szCs w:val="18"/>
              </w:rPr>
              <w:t>.</w:t>
            </w:r>
            <w:r w:rsidRPr="00195A0D">
              <w:rPr>
                <w:szCs w:val="18"/>
              </w:rPr>
              <w:t>4</w:t>
            </w:r>
          </w:p>
        </w:tc>
        <w:tc>
          <w:tcPr>
            <w:tcW w:w="808" w:type="dxa"/>
            <w:vAlign w:val="center"/>
          </w:tcPr>
          <w:p w14:paraId="07C7B4DA" w14:textId="30FE35C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14</w:t>
            </w:r>
            <w:r w:rsidR="00B81498" w:rsidRPr="00195A0D">
              <w:rPr>
                <w:szCs w:val="18"/>
              </w:rPr>
              <w:t>.</w:t>
            </w:r>
            <w:r w:rsidRPr="00195A0D">
              <w:rPr>
                <w:szCs w:val="18"/>
              </w:rPr>
              <w:t>6</w:t>
            </w:r>
          </w:p>
        </w:tc>
        <w:tc>
          <w:tcPr>
            <w:tcW w:w="791" w:type="dxa"/>
            <w:vAlign w:val="center"/>
          </w:tcPr>
          <w:p w14:paraId="1371C84B" w14:textId="5F5DD8B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14</w:t>
            </w:r>
            <w:r w:rsidR="00B81498" w:rsidRPr="00195A0D">
              <w:rPr>
                <w:szCs w:val="18"/>
              </w:rPr>
              <w:t>.</w:t>
            </w:r>
            <w:r w:rsidRPr="00195A0D">
              <w:rPr>
                <w:szCs w:val="18"/>
              </w:rPr>
              <w:t>7</w:t>
            </w:r>
          </w:p>
        </w:tc>
        <w:tc>
          <w:tcPr>
            <w:tcW w:w="784" w:type="dxa"/>
            <w:vAlign w:val="center"/>
          </w:tcPr>
          <w:p w14:paraId="389E5F83" w14:textId="16F1CDD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14</w:t>
            </w:r>
            <w:r w:rsidR="00B81498" w:rsidRPr="00195A0D">
              <w:rPr>
                <w:szCs w:val="18"/>
              </w:rPr>
              <w:t>.</w:t>
            </w:r>
            <w:r w:rsidRPr="00195A0D">
              <w:rPr>
                <w:szCs w:val="18"/>
              </w:rPr>
              <w:t>6</w:t>
            </w:r>
          </w:p>
        </w:tc>
      </w:tr>
      <w:tr w:rsidR="00794F63" w:rsidRPr="005B2032" w14:paraId="6AE0A9CE" w14:textId="2EC2FBBC" w:rsidTr="00C2491D">
        <w:trPr>
          <w:trHeight w:val="567"/>
          <w:jc w:val="center"/>
        </w:trPr>
        <w:tc>
          <w:tcPr>
            <w:tcW w:w="3327" w:type="dxa"/>
            <w:vAlign w:val="center"/>
            <w:hideMark/>
          </w:tcPr>
          <w:p w14:paraId="7FD467B8"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В т.ч. обезщетения при безработица</w:t>
            </w:r>
          </w:p>
        </w:tc>
        <w:tc>
          <w:tcPr>
            <w:tcW w:w="840" w:type="dxa"/>
            <w:vAlign w:val="center"/>
            <w:hideMark/>
          </w:tcPr>
          <w:p w14:paraId="129BE82C"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D.621, D.624</w:t>
            </w:r>
          </w:p>
        </w:tc>
        <w:tc>
          <w:tcPr>
            <w:tcW w:w="888" w:type="dxa"/>
            <w:vAlign w:val="center"/>
          </w:tcPr>
          <w:p w14:paraId="022689E0" w14:textId="2146ABE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528</w:t>
            </w:r>
            <w:r w:rsidR="00B81498" w:rsidRPr="00195A0D">
              <w:rPr>
                <w:szCs w:val="18"/>
              </w:rPr>
              <w:t>.</w:t>
            </w:r>
            <w:r w:rsidRPr="00195A0D">
              <w:rPr>
                <w:szCs w:val="18"/>
              </w:rPr>
              <w:t>9</w:t>
            </w:r>
          </w:p>
        </w:tc>
        <w:tc>
          <w:tcPr>
            <w:tcW w:w="813" w:type="dxa"/>
            <w:vAlign w:val="center"/>
          </w:tcPr>
          <w:p w14:paraId="1B83F818" w14:textId="23C56AB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4</w:t>
            </w:r>
          </w:p>
        </w:tc>
        <w:tc>
          <w:tcPr>
            <w:tcW w:w="813" w:type="dxa"/>
            <w:vAlign w:val="center"/>
          </w:tcPr>
          <w:p w14:paraId="30D18085" w14:textId="071DB4B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4</w:t>
            </w:r>
          </w:p>
        </w:tc>
        <w:tc>
          <w:tcPr>
            <w:tcW w:w="808" w:type="dxa"/>
            <w:vAlign w:val="center"/>
          </w:tcPr>
          <w:p w14:paraId="703C49F3" w14:textId="6963DA6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c>
          <w:tcPr>
            <w:tcW w:w="791" w:type="dxa"/>
            <w:vAlign w:val="center"/>
          </w:tcPr>
          <w:p w14:paraId="53EDF519" w14:textId="6709930D"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c>
          <w:tcPr>
            <w:tcW w:w="784" w:type="dxa"/>
            <w:vAlign w:val="center"/>
          </w:tcPr>
          <w:p w14:paraId="0940184B" w14:textId="5F24F2D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3</w:t>
            </w:r>
          </w:p>
        </w:tc>
      </w:tr>
      <w:tr w:rsidR="00794F63" w:rsidRPr="005B2032" w14:paraId="614E7F4B" w14:textId="7AF0A32D" w:rsidTr="00C2491D">
        <w:trPr>
          <w:trHeight w:val="567"/>
          <w:jc w:val="center"/>
        </w:trPr>
        <w:tc>
          <w:tcPr>
            <w:tcW w:w="3327" w:type="dxa"/>
            <w:vAlign w:val="center"/>
            <w:hideMark/>
          </w:tcPr>
          <w:p w14:paraId="47DF28FD"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18a. Социални трансфери в натура</w:t>
            </w:r>
          </w:p>
        </w:tc>
        <w:tc>
          <w:tcPr>
            <w:tcW w:w="840" w:type="dxa"/>
            <w:vAlign w:val="center"/>
            <w:hideMark/>
          </w:tcPr>
          <w:p w14:paraId="57345424"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D.6311. D.63121. D.63131</w:t>
            </w:r>
          </w:p>
        </w:tc>
        <w:tc>
          <w:tcPr>
            <w:tcW w:w="888" w:type="dxa"/>
            <w:vAlign w:val="center"/>
          </w:tcPr>
          <w:p w14:paraId="0D8CC7F1" w14:textId="45EC3801"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3 489</w:t>
            </w:r>
            <w:r w:rsidR="00B81498" w:rsidRPr="00195A0D">
              <w:rPr>
                <w:szCs w:val="18"/>
              </w:rPr>
              <w:t>.</w:t>
            </w:r>
            <w:r w:rsidRPr="00195A0D">
              <w:rPr>
                <w:szCs w:val="18"/>
              </w:rPr>
              <w:t>3</w:t>
            </w:r>
          </w:p>
        </w:tc>
        <w:tc>
          <w:tcPr>
            <w:tcW w:w="813" w:type="dxa"/>
            <w:vAlign w:val="center"/>
          </w:tcPr>
          <w:p w14:paraId="6CDF1A60" w14:textId="613A9F6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6</w:t>
            </w:r>
          </w:p>
        </w:tc>
        <w:tc>
          <w:tcPr>
            <w:tcW w:w="813" w:type="dxa"/>
            <w:vAlign w:val="center"/>
          </w:tcPr>
          <w:p w14:paraId="4603CD0F" w14:textId="01A8278F"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5</w:t>
            </w:r>
          </w:p>
        </w:tc>
        <w:tc>
          <w:tcPr>
            <w:tcW w:w="808" w:type="dxa"/>
            <w:vAlign w:val="center"/>
          </w:tcPr>
          <w:p w14:paraId="1ADE9FC7" w14:textId="6A33498A"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5</w:t>
            </w:r>
          </w:p>
        </w:tc>
        <w:tc>
          <w:tcPr>
            <w:tcW w:w="791" w:type="dxa"/>
            <w:vAlign w:val="center"/>
          </w:tcPr>
          <w:p w14:paraId="69A45B46" w14:textId="4AF8C85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8</w:t>
            </w:r>
          </w:p>
        </w:tc>
        <w:tc>
          <w:tcPr>
            <w:tcW w:w="784" w:type="dxa"/>
            <w:vAlign w:val="center"/>
          </w:tcPr>
          <w:p w14:paraId="7CB0DC72" w14:textId="28A292B4"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8</w:t>
            </w:r>
          </w:p>
        </w:tc>
      </w:tr>
      <w:tr w:rsidR="00794F63" w:rsidRPr="005B2032" w14:paraId="78D41E4A" w14:textId="2805FF38" w:rsidTr="00C2491D">
        <w:trPr>
          <w:trHeight w:val="567"/>
          <w:jc w:val="center"/>
        </w:trPr>
        <w:tc>
          <w:tcPr>
            <w:tcW w:w="3327" w:type="dxa"/>
            <w:vAlign w:val="center"/>
            <w:hideMark/>
          </w:tcPr>
          <w:p w14:paraId="1B764B8C"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18b. Социални трансфери без тези в натура</w:t>
            </w:r>
          </w:p>
        </w:tc>
        <w:tc>
          <w:tcPr>
            <w:tcW w:w="840" w:type="dxa"/>
            <w:vAlign w:val="center"/>
            <w:hideMark/>
          </w:tcPr>
          <w:p w14:paraId="243CF188"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D.62</w:t>
            </w:r>
          </w:p>
        </w:tc>
        <w:tc>
          <w:tcPr>
            <w:tcW w:w="888" w:type="dxa"/>
            <w:vAlign w:val="center"/>
          </w:tcPr>
          <w:p w14:paraId="510AC6AC" w14:textId="427D0A2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16 908</w:t>
            </w:r>
            <w:r w:rsidR="00B81498" w:rsidRPr="00195A0D">
              <w:rPr>
                <w:szCs w:val="18"/>
              </w:rPr>
              <w:t>.</w:t>
            </w:r>
            <w:r w:rsidRPr="00195A0D">
              <w:rPr>
                <w:szCs w:val="18"/>
              </w:rPr>
              <w:t>7</w:t>
            </w:r>
          </w:p>
        </w:tc>
        <w:tc>
          <w:tcPr>
            <w:tcW w:w="813" w:type="dxa"/>
            <w:vAlign w:val="center"/>
          </w:tcPr>
          <w:p w14:paraId="25748D47" w14:textId="72D72FA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12</w:t>
            </w:r>
            <w:r w:rsidR="00B81498" w:rsidRPr="00195A0D">
              <w:rPr>
                <w:szCs w:val="18"/>
              </w:rPr>
              <w:t>.</w:t>
            </w:r>
            <w:r w:rsidRPr="00195A0D">
              <w:rPr>
                <w:szCs w:val="18"/>
              </w:rPr>
              <w:t>7</w:t>
            </w:r>
          </w:p>
        </w:tc>
        <w:tc>
          <w:tcPr>
            <w:tcW w:w="813" w:type="dxa"/>
            <w:vAlign w:val="center"/>
          </w:tcPr>
          <w:p w14:paraId="035C99A4" w14:textId="5B888FD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13</w:t>
            </w:r>
            <w:r w:rsidR="00B81498" w:rsidRPr="00195A0D">
              <w:rPr>
                <w:szCs w:val="18"/>
              </w:rPr>
              <w:t>.</w:t>
            </w:r>
            <w:r w:rsidRPr="00195A0D">
              <w:rPr>
                <w:szCs w:val="18"/>
              </w:rPr>
              <w:t>0</w:t>
            </w:r>
          </w:p>
        </w:tc>
        <w:tc>
          <w:tcPr>
            <w:tcW w:w="808" w:type="dxa"/>
            <w:vAlign w:val="center"/>
          </w:tcPr>
          <w:p w14:paraId="127EC893" w14:textId="1D0A6B7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12</w:t>
            </w:r>
            <w:r w:rsidR="00B81498" w:rsidRPr="00195A0D">
              <w:rPr>
                <w:szCs w:val="18"/>
              </w:rPr>
              <w:t>.</w:t>
            </w:r>
            <w:r w:rsidRPr="00195A0D">
              <w:rPr>
                <w:szCs w:val="18"/>
              </w:rPr>
              <w:t>1</w:t>
            </w:r>
          </w:p>
        </w:tc>
        <w:tc>
          <w:tcPr>
            <w:tcW w:w="791" w:type="dxa"/>
            <w:vAlign w:val="center"/>
          </w:tcPr>
          <w:p w14:paraId="24E17862" w14:textId="199C7F5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12</w:t>
            </w:r>
            <w:r w:rsidR="00B81498" w:rsidRPr="00195A0D">
              <w:rPr>
                <w:szCs w:val="18"/>
              </w:rPr>
              <w:t>.</w:t>
            </w:r>
            <w:r w:rsidRPr="00195A0D">
              <w:rPr>
                <w:szCs w:val="18"/>
              </w:rPr>
              <w:t>0</w:t>
            </w:r>
          </w:p>
        </w:tc>
        <w:tc>
          <w:tcPr>
            <w:tcW w:w="784" w:type="dxa"/>
            <w:vAlign w:val="center"/>
          </w:tcPr>
          <w:p w14:paraId="091CE04A" w14:textId="2F08223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11</w:t>
            </w:r>
            <w:r w:rsidR="00B81498" w:rsidRPr="00195A0D">
              <w:rPr>
                <w:szCs w:val="18"/>
              </w:rPr>
              <w:t>.</w:t>
            </w:r>
            <w:r w:rsidRPr="00195A0D">
              <w:rPr>
                <w:szCs w:val="18"/>
              </w:rPr>
              <w:t>8</w:t>
            </w:r>
          </w:p>
        </w:tc>
      </w:tr>
      <w:tr w:rsidR="00794F63" w:rsidRPr="005B2032" w14:paraId="001CB3E4" w14:textId="33D51B4D" w:rsidTr="00C2491D">
        <w:trPr>
          <w:trHeight w:val="567"/>
          <w:jc w:val="center"/>
        </w:trPr>
        <w:tc>
          <w:tcPr>
            <w:tcW w:w="3327" w:type="dxa"/>
            <w:vAlign w:val="center"/>
            <w:hideMark/>
          </w:tcPr>
          <w:p w14:paraId="7C9B0327"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19=9. Лихвени разходи</w:t>
            </w:r>
          </w:p>
        </w:tc>
        <w:tc>
          <w:tcPr>
            <w:tcW w:w="840" w:type="dxa"/>
            <w:vAlign w:val="center"/>
            <w:hideMark/>
          </w:tcPr>
          <w:p w14:paraId="61D4DC30"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EDP D.41</w:t>
            </w:r>
          </w:p>
        </w:tc>
        <w:tc>
          <w:tcPr>
            <w:tcW w:w="888" w:type="dxa"/>
            <w:vAlign w:val="center"/>
          </w:tcPr>
          <w:p w14:paraId="3E10025E" w14:textId="1C8F09C9"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668</w:t>
            </w:r>
            <w:r w:rsidR="00B81498" w:rsidRPr="00195A0D">
              <w:rPr>
                <w:szCs w:val="18"/>
              </w:rPr>
              <w:t>.</w:t>
            </w:r>
            <w:r w:rsidRPr="00195A0D">
              <w:rPr>
                <w:szCs w:val="18"/>
              </w:rPr>
              <w:t>5</w:t>
            </w:r>
          </w:p>
        </w:tc>
        <w:tc>
          <w:tcPr>
            <w:tcW w:w="813" w:type="dxa"/>
            <w:vAlign w:val="center"/>
          </w:tcPr>
          <w:p w14:paraId="07379D54" w14:textId="6A88A23F"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5</w:t>
            </w:r>
          </w:p>
        </w:tc>
        <w:tc>
          <w:tcPr>
            <w:tcW w:w="813" w:type="dxa"/>
            <w:vAlign w:val="center"/>
          </w:tcPr>
          <w:p w14:paraId="7B9B566F" w14:textId="1985C3F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5</w:t>
            </w:r>
          </w:p>
        </w:tc>
        <w:tc>
          <w:tcPr>
            <w:tcW w:w="808" w:type="dxa"/>
            <w:vAlign w:val="center"/>
          </w:tcPr>
          <w:p w14:paraId="114FE600" w14:textId="641665F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6</w:t>
            </w:r>
          </w:p>
        </w:tc>
        <w:tc>
          <w:tcPr>
            <w:tcW w:w="791" w:type="dxa"/>
            <w:vAlign w:val="center"/>
          </w:tcPr>
          <w:p w14:paraId="41374346" w14:textId="4475698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8</w:t>
            </w:r>
          </w:p>
        </w:tc>
        <w:tc>
          <w:tcPr>
            <w:tcW w:w="784" w:type="dxa"/>
            <w:vAlign w:val="center"/>
          </w:tcPr>
          <w:p w14:paraId="11851717" w14:textId="0CAAB1C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8</w:t>
            </w:r>
          </w:p>
        </w:tc>
      </w:tr>
      <w:tr w:rsidR="00794F63" w:rsidRPr="005B2032" w14:paraId="140516B2" w14:textId="39D39716" w:rsidTr="00C2491D">
        <w:trPr>
          <w:trHeight w:val="567"/>
          <w:jc w:val="center"/>
        </w:trPr>
        <w:tc>
          <w:tcPr>
            <w:tcW w:w="3327" w:type="dxa"/>
            <w:vAlign w:val="center"/>
            <w:hideMark/>
          </w:tcPr>
          <w:p w14:paraId="682DF509"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20. Субсидии</w:t>
            </w:r>
          </w:p>
        </w:tc>
        <w:tc>
          <w:tcPr>
            <w:tcW w:w="840" w:type="dxa"/>
            <w:vAlign w:val="center"/>
            <w:hideMark/>
          </w:tcPr>
          <w:p w14:paraId="461E57DA"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D.3</w:t>
            </w:r>
          </w:p>
        </w:tc>
        <w:tc>
          <w:tcPr>
            <w:tcW w:w="888" w:type="dxa"/>
            <w:vAlign w:val="center"/>
          </w:tcPr>
          <w:p w14:paraId="151D188B" w14:textId="0CE98F5B"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5 047</w:t>
            </w:r>
            <w:r w:rsidR="00B81498" w:rsidRPr="00195A0D">
              <w:rPr>
                <w:szCs w:val="18"/>
              </w:rPr>
              <w:t>.</w:t>
            </w:r>
            <w:r w:rsidRPr="00195A0D">
              <w:rPr>
                <w:szCs w:val="18"/>
              </w:rPr>
              <w:t>9</w:t>
            </w:r>
          </w:p>
        </w:tc>
        <w:tc>
          <w:tcPr>
            <w:tcW w:w="813" w:type="dxa"/>
            <w:vAlign w:val="center"/>
          </w:tcPr>
          <w:p w14:paraId="184357E0" w14:textId="4A01E17E"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w:t>
            </w:r>
            <w:r w:rsidR="00B81498" w:rsidRPr="00195A0D">
              <w:rPr>
                <w:szCs w:val="18"/>
              </w:rPr>
              <w:t>.</w:t>
            </w:r>
            <w:r w:rsidRPr="00195A0D">
              <w:rPr>
                <w:szCs w:val="18"/>
              </w:rPr>
              <w:t>8</w:t>
            </w:r>
          </w:p>
        </w:tc>
        <w:tc>
          <w:tcPr>
            <w:tcW w:w="813" w:type="dxa"/>
            <w:vAlign w:val="center"/>
          </w:tcPr>
          <w:p w14:paraId="6A8EFBDF" w14:textId="23DDA672"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w:t>
            </w:r>
            <w:r w:rsidR="00B81498" w:rsidRPr="00195A0D">
              <w:rPr>
                <w:szCs w:val="18"/>
              </w:rPr>
              <w:t>.</w:t>
            </w:r>
            <w:r w:rsidRPr="00195A0D">
              <w:rPr>
                <w:szCs w:val="18"/>
              </w:rPr>
              <w:t>1</w:t>
            </w:r>
          </w:p>
        </w:tc>
        <w:tc>
          <w:tcPr>
            <w:tcW w:w="808" w:type="dxa"/>
            <w:vAlign w:val="center"/>
          </w:tcPr>
          <w:p w14:paraId="0A618F81" w14:textId="696C143F"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3</w:t>
            </w:r>
          </w:p>
        </w:tc>
        <w:tc>
          <w:tcPr>
            <w:tcW w:w="791" w:type="dxa"/>
            <w:vAlign w:val="center"/>
          </w:tcPr>
          <w:p w14:paraId="5BCAF425" w14:textId="00942A8A"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2</w:t>
            </w:r>
          </w:p>
        </w:tc>
        <w:tc>
          <w:tcPr>
            <w:tcW w:w="784" w:type="dxa"/>
            <w:vAlign w:val="center"/>
          </w:tcPr>
          <w:p w14:paraId="0557F6A5" w14:textId="2F43702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w:t>
            </w:r>
            <w:r w:rsidR="00B81498" w:rsidRPr="00195A0D">
              <w:rPr>
                <w:szCs w:val="18"/>
              </w:rPr>
              <w:t>.</w:t>
            </w:r>
            <w:r w:rsidRPr="00195A0D">
              <w:rPr>
                <w:szCs w:val="18"/>
              </w:rPr>
              <w:t>1</w:t>
            </w:r>
          </w:p>
        </w:tc>
      </w:tr>
      <w:tr w:rsidR="00794F63" w:rsidRPr="005B2032" w14:paraId="469FA8FF" w14:textId="1A9DCEA4" w:rsidTr="00C2491D">
        <w:trPr>
          <w:trHeight w:val="567"/>
          <w:jc w:val="center"/>
        </w:trPr>
        <w:tc>
          <w:tcPr>
            <w:tcW w:w="3327" w:type="dxa"/>
            <w:vAlign w:val="center"/>
            <w:hideMark/>
          </w:tcPr>
          <w:p w14:paraId="224469AE"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21. Бруто образуване на основен капитал</w:t>
            </w:r>
          </w:p>
        </w:tc>
        <w:tc>
          <w:tcPr>
            <w:tcW w:w="840" w:type="dxa"/>
            <w:vAlign w:val="center"/>
            <w:hideMark/>
          </w:tcPr>
          <w:p w14:paraId="359708D6"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P.51</w:t>
            </w:r>
          </w:p>
        </w:tc>
        <w:tc>
          <w:tcPr>
            <w:tcW w:w="888" w:type="dxa"/>
            <w:vAlign w:val="center"/>
          </w:tcPr>
          <w:p w14:paraId="7E3ABE4C" w14:textId="22814C1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4 350</w:t>
            </w:r>
            <w:r w:rsidR="00B81498" w:rsidRPr="00195A0D">
              <w:rPr>
                <w:szCs w:val="18"/>
              </w:rPr>
              <w:t>.</w:t>
            </w:r>
            <w:r w:rsidRPr="00195A0D">
              <w:rPr>
                <w:szCs w:val="18"/>
              </w:rPr>
              <w:t>7</w:t>
            </w:r>
          </w:p>
        </w:tc>
        <w:tc>
          <w:tcPr>
            <w:tcW w:w="813" w:type="dxa"/>
            <w:vAlign w:val="center"/>
          </w:tcPr>
          <w:p w14:paraId="2EA37188" w14:textId="30D2951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3</w:t>
            </w:r>
            <w:r w:rsidR="00B81498" w:rsidRPr="00195A0D">
              <w:rPr>
                <w:szCs w:val="18"/>
              </w:rPr>
              <w:t>.</w:t>
            </w:r>
            <w:r w:rsidRPr="00195A0D">
              <w:rPr>
                <w:szCs w:val="18"/>
              </w:rPr>
              <w:t>3</w:t>
            </w:r>
          </w:p>
        </w:tc>
        <w:tc>
          <w:tcPr>
            <w:tcW w:w="813" w:type="dxa"/>
            <w:vAlign w:val="center"/>
          </w:tcPr>
          <w:p w14:paraId="4F473510" w14:textId="5D69F47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4</w:t>
            </w:r>
            <w:r w:rsidR="00B81498" w:rsidRPr="00195A0D">
              <w:rPr>
                <w:szCs w:val="18"/>
              </w:rPr>
              <w:t>.</w:t>
            </w:r>
            <w:r w:rsidRPr="00195A0D">
              <w:rPr>
                <w:szCs w:val="18"/>
              </w:rPr>
              <w:t>8</w:t>
            </w:r>
          </w:p>
        </w:tc>
        <w:tc>
          <w:tcPr>
            <w:tcW w:w="808" w:type="dxa"/>
            <w:vAlign w:val="center"/>
          </w:tcPr>
          <w:p w14:paraId="79CB8BAA" w14:textId="1F5B541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4</w:t>
            </w:r>
          </w:p>
        </w:tc>
        <w:tc>
          <w:tcPr>
            <w:tcW w:w="791" w:type="dxa"/>
            <w:vAlign w:val="center"/>
          </w:tcPr>
          <w:p w14:paraId="10B9E555" w14:textId="3BF9A24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3</w:t>
            </w:r>
          </w:p>
        </w:tc>
        <w:tc>
          <w:tcPr>
            <w:tcW w:w="784" w:type="dxa"/>
            <w:vAlign w:val="center"/>
          </w:tcPr>
          <w:p w14:paraId="330D33FC" w14:textId="0E81417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5</w:t>
            </w:r>
            <w:r w:rsidR="00B81498" w:rsidRPr="00195A0D">
              <w:rPr>
                <w:szCs w:val="18"/>
              </w:rPr>
              <w:t>.</w:t>
            </w:r>
            <w:r w:rsidRPr="00195A0D">
              <w:rPr>
                <w:szCs w:val="18"/>
              </w:rPr>
              <w:t>3</w:t>
            </w:r>
          </w:p>
        </w:tc>
      </w:tr>
      <w:tr w:rsidR="00794F63" w:rsidRPr="005B2032" w14:paraId="2A397959" w14:textId="1C900C30" w:rsidTr="00C2491D">
        <w:trPr>
          <w:trHeight w:val="567"/>
          <w:jc w:val="center"/>
        </w:trPr>
        <w:tc>
          <w:tcPr>
            <w:tcW w:w="3327" w:type="dxa"/>
            <w:vAlign w:val="center"/>
            <w:hideMark/>
          </w:tcPr>
          <w:p w14:paraId="76232489"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22. Капиталови трансфери</w:t>
            </w:r>
          </w:p>
        </w:tc>
        <w:tc>
          <w:tcPr>
            <w:tcW w:w="840" w:type="dxa"/>
            <w:vAlign w:val="center"/>
            <w:hideMark/>
          </w:tcPr>
          <w:p w14:paraId="3D3D9D2C"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D.9</w:t>
            </w:r>
          </w:p>
        </w:tc>
        <w:tc>
          <w:tcPr>
            <w:tcW w:w="888" w:type="dxa"/>
            <w:vAlign w:val="center"/>
          </w:tcPr>
          <w:p w14:paraId="7FC36F22" w14:textId="08A9D51C"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1 146</w:t>
            </w:r>
            <w:r w:rsidR="00B81498" w:rsidRPr="00195A0D">
              <w:rPr>
                <w:szCs w:val="18"/>
              </w:rPr>
              <w:t>.</w:t>
            </w:r>
            <w:r w:rsidRPr="00195A0D">
              <w:rPr>
                <w:szCs w:val="18"/>
              </w:rPr>
              <w:t>1</w:t>
            </w:r>
          </w:p>
        </w:tc>
        <w:tc>
          <w:tcPr>
            <w:tcW w:w="813" w:type="dxa"/>
            <w:vAlign w:val="center"/>
          </w:tcPr>
          <w:p w14:paraId="078B5681" w14:textId="3B6FC3CA"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9</w:t>
            </w:r>
          </w:p>
        </w:tc>
        <w:tc>
          <w:tcPr>
            <w:tcW w:w="813" w:type="dxa"/>
            <w:vAlign w:val="center"/>
          </w:tcPr>
          <w:p w14:paraId="07823CC1" w14:textId="773EA0F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5</w:t>
            </w:r>
          </w:p>
        </w:tc>
        <w:tc>
          <w:tcPr>
            <w:tcW w:w="808" w:type="dxa"/>
            <w:vAlign w:val="center"/>
          </w:tcPr>
          <w:p w14:paraId="2A6159D5" w14:textId="1B5093ED"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7</w:t>
            </w:r>
          </w:p>
        </w:tc>
        <w:tc>
          <w:tcPr>
            <w:tcW w:w="791" w:type="dxa"/>
            <w:vAlign w:val="center"/>
          </w:tcPr>
          <w:p w14:paraId="73C0102D" w14:textId="67E34EA8"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6</w:t>
            </w:r>
          </w:p>
        </w:tc>
        <w:tc>
          <w:tcPr>
            <w:tcW w:w="784" w:type="dxa"/>
            <w:vAlign w:val="center"/>
          </w:tcPr>
          <w:p w14:paraId="5D304568" w14:textId="02769923"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0</w:t>
            </w:r>
            <w:r w:rsidR="00B81498" w:rsidRPr="00195A0D">
              <w:rPr>
                <w:szCs w:val="18"/>
              </w:rPr>
              <w:t>.</w:t>
            </w:r>
            <w:r w:rsidRPr="00195A0D">
              <w:rPr>
                <w:szCs w:val="18"/>
              </w:rPr>
              <w:t>6</w:t>
            </w:r>
          </w:p>
        </w:tc>
      </w:tr>
      <w:tr w:rsidR="008C0E65" w:rsidRPr="005B2032" w14:paraId="50A3E034" w14:textId="1FE39AEC" w:rsidTr="00C2491D">
        <w:trPr>
          <w:trHeight w:val="567"/>
          <w:jc w:val="center"/>
        </w:trPr>
        <w:tc>
          <w:tcPr>
            <w:tcW w:w="3327" w:type="dxa"/>
            <w:vAlign w:val="center"/>
            <w:hideMark/>
          </w:tcPr>
          <w:p w14:paraId="79F10D7E" w14:textId="77777777" w:rsidR="008C0E65" w:rsidRPr="00195A0D" w:rsidRDefault="008C0E65"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23. Други</w:t>
            </w:r>
          </w:p>
        </w:tc>
        <w:tc>
          <w:tcPr>
            <w:tcW w:w="840" w:type="dxa"/>
            <w:vAlign w:val="center"/>
          </w:tcPr>
          <w:p w14:paraId="2F9F8386" w14:textId="77777777" w:rsidR="008C0E65" w:rsidRPr="00195A0D" w:rsidRDefault="008C0E65" w:rsidP="00195A0D">
            <w:pPr>
              <w:pStyle w:val="tabletextleft"/>
              <w:spacing w:before="0" w:after="0"/>
              <w:rPr>
                <w:rFonts w:asciiTheme="minorHAnsi" w:hAnsiTheme="minorHAnsi" w:cstheme="minorHAnsi"/>
                <w:szCs w:val="18"/>
              </w:rPr>
            </w:pPr>
          </w:p>
        </w:tc>
        <w:tc>
          <w:tcPr>
            <w:tcW w:w="888" w:type="dxa"/>
            <w:vAlign w:val="center"/>
          </w:tcPr>
          <w:p w14:paraId="15858320" w14:textId="4A67DC0F"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2 869.0</w:t>
            </w:r>
          </w:p>
        </w:tc>
        <w:tc>
          <w:tcPr>
            <w:tcW w:w="813" w:type="dxa"/>
            <w:vAlign w:val="center"/>
          </w:tcPr>
          <w:p w14:paraId="3E041521" w14:textId="6B287492"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2,2</w:t>
            </w:r>
          </w:p>
        </w:tc>
        <w:tc>
          <w:tcPr>
            <w:tcW w:w="813" w:type="dxa"/>
            <w:vAlign w:val="center"/>
          </w:tcPr>
          <w:p w14:paraId="3DAB56CD" w14:textId="5D8F2785"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1.8</w:t>
            </w:r>
          </w:p>
        </w:tc>
        <w:tc>
          <w:tcPr>
            <w:tcW w:w="808" w:type="dxa"/>
            <w:vAlign w:val="center"/>
          </w:tcPr>
          <w:p w14:paraId="712DB8B5" w14:textId="6BF1547A"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1.6</w:t>
            </w:r>
          </w:p>
        </w:tc>
        <w:tc>
          <w:tcPr>
            <w:tcW w:w="791" w:type="dxa"/>
            <w:vAlign w:val="center"/>
          </w:tcPr>
          <w:p w14:paraId="0213E77A" w14:textId="0F35F215"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1.6</w:t>
            </w:r>
          </w:p>
        </w:tc>
        <w:tc>
          <w:tcPr>
            <w:tcW w:w="784" w:type="dxa"/>
            <w:vAlign w:val="center"/>
          </w:tcPr>
          <w:p w14:paraId="79BB1809" w14:textId="16E145EC"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1.5</w:t>
            </w:r>
          </w:p>
        </w:tc>
      </w:tr>
      <w:tr w:rsidR="008C0E65" w:rsidRPr="005B2032" w14:paraId="215B534D" w14:textId="19961C57" w:rsidTr="00C2491D">
        <w:trPr>
          <w:trHeight w:val="567"/>
          <w:jc w:val="center"/>
        </w:trPr>
        <w:tc>
          <w:tcPr>
            <w:tcW w:w="3327" w:type="dxa"/>
            <w:vAlign w:val="center"/>
            <w:hideMark/>
          </w:tcPr>
          <w:p w14:paraId="39DCFD2A" w14:textId="77777777" w:rsidR="008C0E65" w:rsidRPr="00195A0D" w:rsidRDefault="008C0E65"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24=7. Общо разходи</w:t>
            </w:r>
          </w:p>
        </w:tc>
        <w:tc>
          <w:tcPr>
            <w:tcW w:w="840" w:type="dxa"/>
            <w:vAlign w:val="center"/>
            <w:hideMark/>
          </w:tcPr>
          <w:p w14:paraId="6DE90FAB" w14:textId="77777777" w:rsidR="008C0E65" w:rsidRPr="00195A0D" w:rsidRDefault="008C0E65"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TE1</w:t>
            </w:r>
          </w:p>
        </w:tc>
        <w:tc>
          <w:tcPr>
            <w:tcW w:w="888" w:type="dxa"/>
            <w:vAlign w:val="center"/>
          </w:tcPr>
          <w:p w14:paraId="210B040A" w14:textId="6A044452" w:rsidR="008C0E65" w:rsidRPr="00195A0D" w:rsidRDefault="008C0E65" w:rsidP="00195A0D">
            <w:pPr>
              <w:pStyle w:val="tabletextleft"/>
              <w:spacing w:before="0" w:after="0"/>
              <w:jc w:val="right"/>
              <w:rPr>
                <w:rFonts w:asciiTheme="minorHAnsi" w:hAnsiTheme="minorHAnsi" w:cstheme="minorHAnsi"/>
                <w:szCs w:val="18"/>
              </w:rPr>
            </w:pPr>
            <w:r w:rsidRPr="00195A0D">
              <w:rPr>
                <w:szCs w:val="18"/>
                <w:lang w:val="en-US"/>
              </w:rPr>
              <w:t>57158.8</w:t>
            </w:r>
          </w:p>
        </w:tc>
        <w:tc>
          <w:tcPr>
            <w:tcW w:w="813" w:type="dxa"/>
            <w:vAlign w:val="center"/>
          </w:tcPr>
          <w:p w14:paraId="3EA6C348" w14:textId="3B56A8ED" w:rsidR="008C0E65" w:rsidRPr="00195A0D" w:rsidRDefault="008C0E65" w:rsidP="00195A0D">
            <w:pPr>
              <w:pStyle w:val="tabletextleft"/>
              <w:spacing w:before="0" w:after="0"/>
              <w:jc w:val="right"/>
              <w:rPr>
                <w:rFonts w:asciiTheme="minorHAnsi" w:hAnsiTheme="minorHAnsi" w:cstheme="minorHAnsi"/>
                <w:szCs w:val="18"/>
              </w:rPr>
            </w:pPr>
            <w:r w:rsidRPr="00195A0D">
              <w:rPr>
                <w:szCs w:val="18"/>
                <w:lang w:val="en-US"/>
              </w:rPr>
              <w:t>43.1</w:t>
            </w:r>
          </w:p>
        </w:tc>
        <w:tc>
          <w:tcPr>
            <w:tcW w:w="813" w:type="dxa"/>
            <w:vAlign w:val="center"/>
          </w:tcPr>
          <w:p w14:paraId="1E9E7E38" w14:textId="51E07FEF"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43.3</w:t>
            </w:r>
          </w:p>
        </w:tc>
        <w:tc>
          <w:tcPr>
            <w:tcW w:w="808" w:type="dxa"/>
            <w:vAlign w:val="center"/>
          </w:tcPr>
          <w:p w14:paraId="415CF4BF" w14:textId="4E72640D"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40.9</w:t>
            </w:r>
          </w:p>
        </w:tc>
        <w:tc>
          <w:tcPr>
            <w:tcW w:w="791" w:type="dxa"/>
            <w:vAlign w:val="center"/>
          </w:tcPr>
          <w:p w14:paraId="26262B64" w14:textId="289A4D7B"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39.8</w:t>
            </w:r>
          </w:p>
        </w:tc>
        <w:tc>
          <w:tcPr>
            <w:tcW w:w="784" w:type="dxa"/>
            <w:vAlign w:val="center"/>
          </w:tcPr>
          <w:p w14:paraId="2EC9EDE1" w14:textId="3AA91A8A" w:rsidR="008C0E65" w:rsidRPr="00195A0D" w:rsidRDefault="008C0E65" w:rsidP="00195A0D">
            <w:pPr>
              <w:pStyle w:val="tabletextleft"/>
              <w:spacing w:before="0" w:after="0"/>
              <w:jc w:val="right"/>
              <w:rPr>
                <w:rFonts w:asciiTheme="minorHAnsi" w:hAnsiTheme="minorHAnsi" w:cstheme="minorHAnsi"/>
                <w:szCs w:val="18"/>
              </w:rPr>
            </w:pPr>
            <w:r w:rsidRPr="00195A0D">
              <w:rPr>
                <w:szCs w:val="18"/>
              </w:rPr>
              <w:t>38.6</w:t>
            </w:r>
          </w:p>
        </w:tc>
      </w:tr>
      <w:tr w:rsidR="00794F63" w:rsidRPr="005B2032" w14:paraId="0058FFDA" w14:textId="13B79407" w:rsidTr="00C2491D">
        <w:trPr>
          <w:trHeight w:val="567"/>
          <w:jc w:val="center"/>
        </w:trPr>
        <w:tc>
          <w:tcPr>
            <w:tcW w:w="3327" w:type="dxa"/>
            <w:vAlign w:val="center"/>
            <w:hideMark/>
          </w:tcPr>
          <w:p w14:paraId="47977EC0"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 xml:space="preserve">Правителствено потребление </w:t>
            </w:r>
            <w:r w:rsidRPr="00195A0D">
              <w:rPr>
                <w:rFonts w:asciiTheme="minorHAnsi" w:hAnsiTheme="minorHAnsi" w:cstheme="minorHAnsi"/>
                <w:szCs w:val="18"/>
              </w:rPr>
              <w:br/>
              <w:t>(в номинално изражение)</w:t>
            </w:r>
          </w:p>
        </w:tc>
        <w:tc>
          <w:tcPr>
            <w:tcW w:w="840" w:type="dxa"/>
            <w:vAlign w:val="center"/>
            <w:hideMark/>
          </w:tcPr>
          <w:p w14:paraId="19E6540F" w14:textId="77777777" w:rsidR="00794F63" w:rsidRPr="00195A0D" w:rsidRDefault="00794F63" w:rsidP="00195A0D">
            <w:pPr>
              <w:pStyle w:val="tabletextleft"/>
              <w:spacing w:before="0" w:after="0"/>
              <w:rPr>
                <w:rFonts w:asciiTheme="minorHAnsi" w:hAnsiTheme="minorHAnsi" w:cstheme="minorHAnsi"/>
                <w:szCs w:val="18"/>
              </w:rPr>
            </w:pPr>
            <w:r w:rsidRPr="00195A0D">
              <w:rPr>
                <w:rFonts w:asciiTheme="minorHAnsi" w:hAnsiTheme="minorHAnsi" w:cstheme="minorHAnsi"/>
                <w:szCs w:val="18"/>
              </w:rPr>
              <w:t>P.3</w:t>
            </w:r>
          </w:p>
        </w:tc>
        <w:tc>
          <w:tcPr>
            <w:tcW w:w="888" w:type="dxa"/>
            <w:vAlign w:val="center"/>
          </w:tcPr>
          <w:p w14:paraId="343381CA" w14:textId="73A01D9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26 545</w:t>
            </w:r>
            <w:r w:rsidR="00B81498" w:rsidRPr="00195A0D">
              <w:rPr>
                <w:szCs w:val="18"/>
              </w:rPr>
              <w:t>.</w:t>
            </w:r>
            <w:r w:rsidRPr="00195A0D">
              <w:rPr>
                <w:szCs w:val="18"/>
              </w:rPr>
              <w:t>0</w:t>
            </w:r>
          </w:p>
        </w:tc>
        <w:tc>
          <w:tcPr>
            <w:tcW w:w="813" w:type="dxa"/>
            <w:vAlign w:val="center"/>
          </w:tcPr>
          <w:p w14:paraId="37070105" w14:textId="29758F05"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20</w:t>
            </w:r>
            <w:r w:rsidR="00B81498" w:rsidRPr="00195A0D">
              <w:rPr>
                <w:szCs w:val="18"/>
              </w:rPr>
              <w:t>.</w:t>
            </w:r>
            <w:r w:rsidRPr="00195A0D">
              <w:rPr>
                <w:szCs w:val="18"/>
              </w:rPr>
              <w:t>0</w:t>
            </w:r>
          </w:p>
        </w:tc>
        <w:tc>
          <w:tcPr>
            <w:tcW w:w="813" w:type="dxa"/>
            <w:vAlign w:val="center"/>
          </w:tcPr>
          <w:p w14:paraId="22BEE01B" w14:textId="50F5196D"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20</w:t>
            </w:r>
            <w:r w:rsidR="00B81498" w:rsidRPr="00195A0D">
              <w:rPr>
                <w:szCs w:val="18"/>
              </w:rPr>
              <w:t>.</w:t>
            </w:r>
            <w:r w:rsidRPr="00195A0D">
              <w:rPr>
                <w:szCs w:val="18"/>
              </w:rPr>
              <w:t>4</w:t>
            </w:r>
          </w:p>
        </w:tc>
        <w:tc>
          <w:tcPr>
            <w:tcW w:w="808" w:type="dxa"/>
            <w:vAlign w:val="center"/>
          </w:tcPr>
          <w:p w14:paraId="0FA823A2" w14:textId="64548EDA"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18</w:t>
            </w:r>
            <w:r w:rsidR="00B81498" w:rsidRPr="00195A0D">
              <w:rPr>
                <w:szCs w:val="18"/>
              </w:rPr>
              <w:t>.</w:t>
            </w:r>
            <w:r w:rsidRPr="00195A0D">
              <w:rPr>
                <w:szCs w:val="18"/>
              </w:rPr>
              <w:t>8</w:t>
            </w:r>
          </w:p>
        </w:tc>
        <w:tc>
          <w:tcPr>
            <w:tcW w:w="791" w:type="dxa"/>
            <w:vAlign w:val="center"/>
          </w:tcPr>
          <w:p w14:paraId="406BBDB1" w14:textId="615E8EB6"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17</w:t>
            </w:r>
            <w:r w:rsidR="00B81498" w:rsidRPr="00195A0D">
              <w:rPr>
                <w:szCs w:val="18"/>
              </w:rPr>
              <w:t>.</w:t>
            </w:r>
            <w:r w:rsidRPr="00195A0D">
              <w:rPr>
                <w:szCs w:val="18"/>
              </w:rPr>
              <w:t>6</w:t>
            </w:r>
          </w:p>
        </w:tc>
        <w:tc>
          <w:tcPr>
            <w:tcW w:w="784" w:type="dxa"/>
            <w:vAlign w:val="center"/>
          </w:tcPr>
          <w:p w14:paraId="04B6885E" w14:textId="65D56F40" w:rsidR="00794F63" w:rsidRPr="00195A0D" w:rsidRDefault="00794F63" w:rsidP="00195A0D">
            <w:pPr>
              <w:pStyle w:val="tabletextleft"/>
              <w:spacing w:before="0" w:after="0"/>
              <w:jc w:val="right"/>
              <w:rPr>
                <w:rFonts w:asciiTheme="minorHAnsi" w:hAnsiTheme="minorHAnsi" w:cstheme="minorHAnsi"/>
                <w:szCs w:val="18"/>
              </w:rPr>
            </w:pPr>
            <w:r w:rsidRPr="00195A0D">
              <w:rPr>
                <w:szCs w:val="18"/>
              </w:rPr>
              <w:t>17</w:t>
            </w:r>
            <w:r w:rsidR="00B81498" w:rsidRPr="00195A0D">
              <w:rPr>
                <w:szCs w:val="18"/>
              </w:rPr>
              <w:t>.</w:t>
            </w:r>
            <w:r w:rsidRPr="00195A0D">
              <w:rPr>
                <w:szCs w:val="18"/>
              </w:rPr>
              <w:t>1</w:t>
            </w:r>
          </w:p>
        </w:tc>
      </w:tr>
    </w:tbl>
    <w:p w14:paraId="715C0BC9" w14:textId="77777777" w:rsidR="00A964EF" w:rsidRPr="005B2032" w:rsidRDefault="00A964EF" w:rsidP="00A964EF">
      <w:pPr>
        <w:rPr>
          <w:rFonts w:asciiTheme="minorHAnsi" w:hAnsiTheme="minorHAnsi" w:cstheme="minorHAnsi"/>
        </w:rPr>
      </w:pPr>
    </w:p>
    <w:p w14:paraId="733D03B2" w14:textId="77777777" w:rsidR="00102EAD" w:rsidRPr="002A19EC" w:rsidRDefault="00102EAD" w:rsidP="002A19EC">
      <w:pPr>
        <w:pStyle w:val="Heading2"/>
        <w:numPr>
          <w:ilvl w:val="0"/>
          <w:numId w:val="0"/>
        </w:numPr>
      </w:pPr>
      <w:bookmarkStart w:id="169" w:name="_Toc448227316"/>
      <w:bookmarkStart w:id="170" w:name="_Toc479332467"/>
      <w:bookmarkStart w:id="171" w:name="_Toc100906096"/>
      <w:r w:rsidRPr="002A19EC">
        <w:lastRenderedPageBreak/>
        <w:t>Табл. 2б: Прогнози при непроменени политики</w:t>
      </w:r>
      <w:bookmarkEnd w:id="169"/>
      <w:bookmarkEnd w:id="170"/>
      <w:bookmarkEnd w:id="171"/>
    </w:p>
    <w:tbl>
      <w:tblPr>
        <w:tblStyle w:val="Style19"/>
        <w:tblW w:w="5063"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3831"/>
        <w:gridCol w:w="987"/>
        <w:gridCol w:w="872"/>
        <w:gridCol w:w="872"/>
        <w:gridCol w:w="872"/>
        <w:gridCol w:w="872"/>
        <w:gridCol w:w="872"/>
      </w:tblGrid>
      <w:tr w:rsidR="005B2032" w:rsidRPr="00195A0D" w14:paraId="1D6BAAEA" w14:textId="51665FFF" w:rsidTr="00C2491D">
        <w:trPr>
          <w:trHeight w:val="20"/>
          <w:jc w:val="center"/>
        </w:trPr>
        <w:tc>
          <w:tcPr>
            <w:tcW w:w="3831" w:type="dxa"/>
            <w:vMerge w:val="restart"/>
            <w:shd w:val="clear" w:color="auto" w:fill="D7D4F1"/>
            <w:noWrap/>
          </w:tcPr>
          <w:p w14:paraId="06C3BEA0" w14:textId="77777777" w:rsidR="00806F52" w:rsidRPr="00195A0D" w:rsidRDefault="00806F52" w:rsidP="00195A0D">
            <w:pPr>
              <w:pStyle w:val="tabletextleft"/>
              <w:spacing w:before="40" w:after="40"/>
              <w:rPr>
                <w:rFonts w:asciiTheme="minorHAnsi" w:hAnsiTheme="minorHAnsi" w:cstheme="minorHAnsi"/>
                <w:szCs w:val="18"/>
              </w:rPr>
            </w:pPr>
          </w:p>
        </w:tc>
        <w:tc>
          <w:tcPr>
            <w:tcW w:w="987" w:type="dxa"/>
            <w:shd w:val="clear" w:color="auto" w:fill="D7D4F1"/>
            <w:noWrap/>
            <w:vAlign w:val="center"/>
          </w:tcPr>
          <w:p w14:paraId="1E74B673" w14:textId="46E072E5" w:rsidR="00806F52" w:rsidRPr="00195A0D" w:rsidRDefault="00806F52" w:rsidP="00195A0D">
            <w:pPr>
              <w:pStyle w:val="tabletextleft"/>
              <w:spacing w:before="40" w:after="40"/>
              <w:jc w:val="center"/>
              <w:rPr>
                <w:rFonts w:asciiTheme="minorHAnsi" w:hAnsiTheme="minorHAnsi" w:cstheme="minorHAnsi"/>
                <w:b/>
                <w:szCs w:val="18"/>
              </w:rPr>
            </w:pPr>
            <w:r w:rsidRPr="00195A0D">
              <w:rPr>
                <w:rFonts w:asciiTheme="minorHAnsi" w:hAnsiTheme="minorHAnsi" w:cstheme="minorHAnsi"/>
                <w:b/>
                <w:szCs w:val="18"/>
              </w:rPr>
              <w:t>2021</w:t>
            </w:r>
          </w:p>
        </w:tc>
        <w:tc>
          <w:tcPr>
            <w:tcW w:w="872" w:type="dxa"/>
            <w:shd w:val="clear" w:color="auto" w:fill="D7D4F1"/>
            <w:noWrap/>
            <w:vAlign w:val="center"/>
          </w:tcPr>
          <w:p w14:paraId="7E8827B3" w14:textId="1CBBAFB3" w:rsidR="00806F52" w:rsidRPr="00195A0D" w:rsidRDefault="00806F52" w:rsidP="00195A0D">
            <w:pPr>
              <w:pStyle w:val="tabletextleft"/>
              <w:spacing w:before="40" w:after="40"/>
              <w:jc w:val="center"/>
              <w:rPr>
                <w:rFonts w:asciiTheme="minorHAnsi" w:hAnsiTheme="minorHAnsi" w:cstheme="minorHAnsi"/>
                <w:b/>
                <w:szCs w:val="18"/>
              </w:rPr>
            </w:pPr>
            <w:r w:rsidRPr="00195A0D">
              <w:rPr>
                <w:rFonts w:asciiTheme="minorHAnsi" w:hAnsiTheme="minorHAnsi" w:cstheme="minorHAnsi"/>
                <w:b/>
                <w:szCs w:val="18"/>
              </w:rPr>
              <w:t>2021</w:t>
            </w:r>
          </w:p>
        </w:tc>
        <w:tc>
          <w:tcPr>
            <w:tcW w:w="872" w:type="dxa"/>
            <w:shd w:val="clear" w:color="auto" w:fill="D7D4F1"/>
            <w:noWrap/>
            <w:vAlign w:val="center"/>
          </w:tcPr>
          <w:p w14:paraId="4867FAA2" w14:textId="17FD4C94" w:rsidR="00806F52" w:rsidRPr="00195A0D" w:rsidRDefault="00806F52" w:rsidP="00195A0D">
            <w:pPr>
              <w:pStyle w:val="tabletextleft"/>
              <w:spacing w:before="40" w:after="40"/>
              <w:jc w:val="center"/>
              <w:rPr>
                <w:rFonts w:asciiTheme="minorHAnsi" w:hAnsiTheme="minorHAnsi" w:cstheme="minorHAnsi"/>
                <w:b/>
                <w:szCs w:val="18"/>
              </w:rPr>
            </w:pPr>
            <w:r w:rsidRPr="00195A0D">
              <w:rPr>
                <w:rFonts w:asciiTheme="minorHAnsi" w:hAnsiTheme="minorHAnsi" w:cstheme="minorHAnsi"/>
                <w:b/>
                <w:szCs w:val="18"/>
              </w:rPr>
              <w:t>2022</w:t>
            </w:r>
          </w:p>
        </w:tc>
        <w:tc>
          <w:tcPr>
            <w:tcW w:w="872" w:type="dxa"/>
            <w:shd w:val="clear" w:color="auto" w:fill="D7D4F1"/>
            <w:noWrap/>
            <w:vAlign w:val="center"/>
          </w:tcPr>
          <w:p w14:paraId="5806F563" w14:textId="5F7A869A" w:rsidR="00806F52" w:rsidRPr="00195A0D" w:rsidRDefault="00806F52" w:rsidP="00195A0D">
            <w:pPr>
              <w:pStyle w:val="tabletextleft"/>
              <w:spacing w:before="40" w:after="40"/>
              <w:jc w:val="center"/>
              <w:rPr>
                <w:rFonts w:asciiTheme="minorHAnsi" w:hAnsiTheme="minorHAnsi" w:cstheme="minorHAnsi"/>
                <w:b/>
                <w:szCs w:val="18"/>
              </w:rPr>
            </w:pPr>
            <w:r w:rsidRPr="00195A0D">
              <w:rPr>
                <w:rFonts w:asciiTheme="minorHAnsi" w:hAnsiTheme="minorHAnsi" w:cstheme="minorHAnsi"/>
                <w:b/>
                <w:szCs w:val="18"/>
              </w:rPr>
              <w:t>2023</w:t>
            </w:r>
          </w:p>
        </w:tc>
        <w:tc>
          <w:tcPr>
            <w:tcW w:w="872" w:type="dxa"/>
            <w:shd w:val="clear" w:color="auto" w:fill="D7D4F1"/>
            <w:noWrap/>
            <w:vAlign w:val="center"/>
          </w:tcPr>
          <w:p w14:paraId="1E00BD52" w14:textId="48007334" w:rsidR="00806F52" w:rsidRPr="00195A0D" w:rsidRDefault="00806F52" w:rsidP="00195A0D">
            <w:pPr>
              <w:pStyle w:val="tabletextleft"/>
              <w:spacing w:before="40" w:after="40"/>
              <w:jc w:val="center"/>
              <w:rPr>
                <w:rFonts w:asciiTheme="minorHAnsi" w:hAnsiTheme="minorHAnsi" w:cstheme="minorHAnsi"/>
                <w:b/>
                <w:szCs w:val="18"/>
              </w:rPr>
            </w:pPr>
            <w:r w:rsidRPr="00195A0D">
              <w:rPr>
                <w:rFonts w:asciiTheme="minorHAnsi" w:hAnsiTheme="minorHAnsi" w:cstheme="minorHAnsi"/>
                <w:b/>
                <w:szCs w:val="18"/>
              </w:rPr>
              <w:t>2024</w:t>
            </w:r>
          </w:p>
        </w:tc>
        <w:tc>
          <w:tcPr>
            <w:tcW w:w="872" w:type="dxa"/>
            <w:shd w:val="clear" w:color="auto" w:fill="D7D4F1"/>
            <w:vAlign w:val="center"/>
          </w:tcPr>
          <w:p w14:paraId="5F7D9DAA" w14:textId="736AC3C4" w:rsidR="00806F52" w:rsidRPr="00195A0D" w:rsidRDefault="00806F52" w:rsidP="00195A0D">
            <w:pPr>
              <w:pStyle w:val="tabletextleft"/>
              <w:spacing w:before="40" w:after="40"/>
              <w:jc w:val="center"/>
              <w:rPr>
                <w:rFonts w:asciiTheme="minorHAnsi" w:hAnsiTheme="minorHAnsi" w:cstheme="minorHAnsi"/>
                <w:b/>
                <w:szCs w:val="18"/>
              </w:rPr>
            </w:pPr>
            <w:r w:rsidRPr="00195A0D">
              <w:rPr>
                <w:rFonts w:asciiTheme="minorHAnsi" w:hAnsiTheme="minorHAnsi" w:cstheme="minorHAnsi"/>
                <w:b/>
                <w:szCs w:val="18"/>
              </w:rPr>
              <w:t>2025</w:t>
            </w:r>
          </w:p>
        </w:tc>
      </w:tr>
      <w:tr w:rsidR="005B2032" w:rsidRPr="00195A0D" w14:paraId="36784EB3" w14:textId="71166F67" w:rsidTr="00C2491D">
        <w:trPr>
          <w:trHeight w:val="20"/>
          <w:jc w:val="center"/>
        </w:trPr>
        <w:tc>
          <w:tcPr>
            <w:tcW w:w="3831" w:type="dxa"/>
            <w:vMerge/>
            <w:shd w:val="clear" w:color="auto" w:fill="D7D4F1"/>
            <w:vAlign w:val="center"/>
            <w:hideMark/>
          </w:tcPr>
          <w:p w14:paraId="4688885B" w14:textId="77777777" w:rsidR="00806F52" w:rsidRPr="00195A0D" w:rsidRDefault="00806F52" w:rsidP="00195A0D">
            <w:pPr>
              <w:pStyle w:val="tabletextleft"/>
              <w:spacing w:before="40" w:after="40"/>
              <w:rPr>
                <w:rFonts w:asciiTheme="minorHAnsi" w:hAnsiTheme="minorHAnsi" w:cstheme="minorHAnsi"/>
                <w:szCs w:val="18"/>
              </w:rPr>
            </w:pPr>
          </w:p>
        </w:tc>
        <w:tc>
          <w:tcPr>
            <w:tcW w:w="987" w:type="dxa"/>
            <w:shd w:val="clear" w:color="auto" w:fill="D7D4F1"/>
            <w:noWrap/>
            <w:vAlign w:val="center"/>
            <w:hideMark/>
          </w:tcPr>
          <w:p w14:paraId="7EE3F17B" w14:textId="22A71568" w:rsidR="00806F52" w:rsidRPr="00195A0D" w:rsidRDefault="00806F52"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Cs w:val="18"/>
              </w:rPr>
              <w:t>Равнище</w:t>
            </w:r>
            <w:r w:rsidR="00A407C5" w:rsidRPr="00195A0D">
              <w:rPr>
                <w:rFonts w:asciiTheme="minorHAnsi" w:hAnsiTheme="minorHAnsi" w:cstheme="minorHAnsi"/>
                <w:szCs w:val="18"/>
              </w:rPr>
              <w:t xml:space="preserve"> (млн. лв.)</w:t>
            </w:r>
          </w:p>
        </w:tc>
        <w:tc>
          <w:tcPr>
            <w:tcW w:w="872" w:type="dxa"/>
            <w:shd w:val="clear" w:color="auto" w:fill="D7D4F1"/>
            <w:noWrap/>
            <w:vAlign w:val="center"/>
            <w:hideMark/>
          </w:tcPr>
          <w:p w14:paraId="09B40781" w14:textId="77777777" w:rsidR="00806F52" w:rsidRPr="00195A0D" w:rsidRDefault="00806F52"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Cs w:val="18"/>
              </w:rPr>
              <w:t>% от БВП</w:t>
            </w:r>
          </w:p>
        </w:tc>
        <w:tc>
          <w:tcPr>
            <w:tcW w:w="872" w:type="dxa"/>
            <w:shd w:val="clear" w:color="auto" w:fill="D7D4F1"/>
            <w:noWrap/>
            <w:vAlign w:val="center"/>
            <w:hideMark/>
          </w:tcPr>
          <w:p w14:paraId="5A90913D" w14:textId="77777777" w:rsidR="00806F52" w:rsidRPr="00195A0D" w:rsidRDefault="00806F52"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Cs w:val="18"/>
              </w:rPr>
              <w:t>% от БВП</w:t>
            </w:r>
          </w:p>
        </w:tc>
        <w:tc>
          <w:tcPr>
            <w:tcW w:w="872" w:type="dxa"/>
            <w:shd w:val="clear" w:color="auto" w:fill="D7D4F1"/>
            <w:noWrap/>
            <w:vAlign w:val="center"/>
            <w:hideMark/>
          </w:tcPr>
          <w:p w14:paraId="7720C5E5" w14:textId="77777777" w:rsidR="00806F52" w:rsidRPr="00195A0D" w:rsidRDefault="00806F52"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Cs w:val="18"/>
              </w:rPr>
              <w:t>% от БВП</w:t>
            </w:r>
          </w:p>
        </w:tc>
        <w:tc>
          <w:tcPr>
            <w:tcW w:w="872" w:type="dxa"/>
            <w:shd w:val="clear" w:color="auto" w:fill="D7D4F1"/>
            <w:noWrap/>
            <w:vAlign w:val="center"/>
            <w:hideMark/>
          </w:tcPr>
          <w:p w14:paraId="3F54E23F" w14:textId="77777777" w:rsidR="00806F52" w:rsidRPr="00195A0D" w:rsidRDefault="00806F52"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Cs w:val="18"/>
              </w:rPr>
              <w:t>% от БВП</w:t>
            </w:r>
          </w:p>
        </w:tc>
        <w:tc>
          <w:tcPr>
            <w:tcW w:w="872" w:type="dxa"/>
            <w:shd w:val="clear" w:color="auto" w:fill="D7D4F1"/>
            <w:vAlign w:val="center"/>
          </w:tcPr>
          <w:p w14:paraId="04BCAACC" w14:textId="6DA9FC19" w:rsidR="00806F52" w:rsidRPr="00195A0D" w:rsidRDefault="00806F52"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Cs w:val="18"/>
              </w:rPr>
              <w:t>% от БВП</w:t>
            </w:r>
          </w:p>
        </w:tc>
      </w:tr>
      <w:tr w:rsidR="00A407C5" w:rsidRPr="00195A0D" w14:paraId="6BE53F45" w14:textId="54F108A2" w:rsidTr="00C2491D">
        <w:trPr>
          <w:trHeight w:val="20"/>
          <w:jc w:val="center"/>
        </w:trPr>
        <w:tc>
          <w:tcPr>
            <w:tcW w:w="3831" w:type="dxa"/>
            <w:noWrap/>
            <w:vAlign w:val="center"/>
            <w:hideMark/>
          </w:tcPr>
          <w:p w14:paraId="406FEB44" w14:textId="1AB5ADCC" w:rsidR="00A407C5" w:rsidRPr="00195A0D" w:rsidRDefault="00A407C5" w:rsidP="00195A0D">
            <w:pPr>
              <w:pStyle w:val="tabletextleft"/>
              <w:spacing w:before="40" w:after="40"/>
              <w:rPr>
                <w:rFonts w:asciiTheme="minorHAnsi" w:hAnsiTheme="minorHAnsi" w:cstheme="minorHAnsi"/>
                <w:szCs w:val="18"/>
              </w:rPr>
            </w:pPr>
            <w:r w:rsidRPr="00195A0D">
              <w:rPr>
                <w:rFonts w:asciiTheme="minorHAnsi" w:hAnsiTheme="minorHAnsi" w:cstheme="minorHAnsi"/>
                <w:szCs w:val="18"/>
              </w:rPr>
              <w:t xml:space="preserve">1. Общо приходи при непроменени </w:t>
            </w:r>
            <w:r w:rsidRPr="00195A0D">
              <w:rPr>
                <w:rFonts w:asciiTheme="minorHAnsi" w:hAnsiTheme="minorHAnsi" w:cstheme="minorHAnsi"/>
                <w:szCs w:val="18"/>
              </w:rPr>
              <w:br/>
              <w:t xml:space="preserve">политики </w:t>
            </w:r>
          </w:p>
        </w:tc>
        <w:tc>
          <w:tcPr>
            <w:tcW w:w="987" w:type="dxa"/>
            <w:noWrap/>
            <w:vAlign w:val="center"/>
          </w:tcPr>
          <w:p w14:paraId="20A1590F" w14:textId="4575B790" w:rsidR="00A407C5" w:rsidRPr="00195A0D" w:rsidRDefault="00A407C5" w:rsidP="00195A0D">
            <w:pPr>
              <w:pStyle w:val="tabletextleft"/>
              <w:spacing w:before="40" w:after="40"/>
              <w:jc w:val="right"/>
              <w:rPr>
                <w:rFonts w:asciiTheme="minorHAnsi" w:hAnsiTheme="minorHAnsi" w:cstheme="minorHAnsi"/>
                <w:color w:val="000000"/>
                <w:szCs w:val="18"/>
              </w:rPr>
            </w:pPr>
            <w:r w:rsidRPr="00195A0D">
              <w:rPr>
                <w:rFonts w:asciiTheme="minorHAnsi" w:hAnsiTheme="minorHAnsi" w:cstheme="minorHAnsi"/>
                <w:szCs w:val="18"/>
              </w:rPr>
              <w:t>51 726.1</w:t>
            </w:r>
          </w:p>
        </w:tc>
        <w:tc>
          <w:tcPr>
            <w:tcW w:w="872" w:type="dxa"/>
            <w:noWrap/>
            <w:vAlign w:val="center"/>
          </w:tcPr>
          <w:p w14:paraId="68E2679E" w14:textId="6CC555C2"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39.0</w:t>
            </w:r>
          </w:p>
        </w:tc>
        <w:tc>
          <w:tcPr>
            <w:tcW w:w="872" w:type="dxa"/>
            <w:noWrap/>
            <w:vAlign w:val="center"/>
          </w:tcPr>
          <w:p w14:paraId="50AE0A10" w14:textId="0C326DAC"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37.9</w:t>
            </w:r>
          </w:p>
        </w:tc>
        <w:tc>
          <w:tcPr>
            <w:tcW w:w="872" w:type="dxa"/>
            <w:noWrap/>
            <w:vAlign w:val="center"/>
          </w:tcPr>
          <w:p w14:paraId="3FC4F6B5" w14:textId="5C2854D6"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37.8</w:t>
            </w:r>
          </w:p>
        </w:tc>
        <w:tc>
          <w:tcPr>
            <w:tcW w:w="872" w:type="dxa"/>
            <w:noWrap/>
            <w:vAlign w:val="center"/>
          </w:tcPr>
          <w:p w14:paraId="02395101" w14:textId="619885EE"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36.9</w:t>
            </w:r>
          </w:p>
        </w:tc>
        <w:tc>
          <w:tcPr>
            <w:tcW w:w="872" w:type="dxa"/>
            <w:vAlign w:val="center"/>
          </w:tcPr>
          <w:p w14:paraId="3DE5155B" w14:textId="3DCA189F"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36.0</w:t>
            </w:r>
          </w:p>
        </w:tc>
      </w:tr>
      <w:tr w:rsidR="00A407C5" w:rsidRPr="00195A0D" w14:paraId="048E5917" w14:textId="18710A1F" w:rsidTr="00C2491D">
        <w:trPr>
          <w:trHeight w:val="20"/>
          <w:jc w:val="center"/>
        </w:trPr>
        <w:tc>
          <w:tcPr>
            <w:tcW w:w="3831" w:type="dxa"/>
            <w:noWrap/>
            <w:vAlign w:val="center"/>
            <w:hideMark/>
          </w:tcPr>
          <w:p w14:paraId="54B924D7" w14:textId="09B98014" w:rsidR="00A407C5" w:rsidRPr="00195A0D" w:rsidRDefault="00A407C5" w:rsidP="00195A0D">
            <w:pPr>
              <w:pStyle w:val="tabletextleft"/>
              <w:spacing w:before="40" w:after="40"/>
              <w:rPr>
                <w:rFonts w:asciiTheme="minorHAnsi" w:hAnsiTheme="minorHAnsi" w:cstheme="minorHAnsi"/>
                <w:szCs w:val="18"/>
              </w:rPr>
            </w:pPr>
            <w:r w:rsidRPr="00195A0D">
              <w:rPr>
                <w:rFonts w:asciiTheme="minorHAnsi" w:hAnsiTheme="minorHAnsi" w:cstheme="minorHAnsi"/>
                <w:szCs w:val="18"/>
              </w:rPr>
              <w:t xml:space="preserve">2. Общо разходи при непроменени </w:t>
            </w:r>
            <w:r w:rsidRPr="00195A0D">
              <w:rPr>
                <w:rFonts w:asciiTheme="minorHAnsi" w:hAnsiTheme="minorHAnsi" w:cstheme="minorHAnsi"/>
                <w:szCs w:val="18"/>
              </w:rPr>
              <w:br/>
              <w:t>политики</w:t>
            </w:r>
          </w:p>
        </w:tc>
        <w:tc>
          <w:tcPr>
            <w:tcW w:w="987" w:type="dxa"/>
            <w:noWrap/>
            <w:vAlign w:val="center"/>
          </w:tcPr>
          <w:p w14:paraId="5DC736BA" w14:textId="30D0CD24" w:rsidR="00A407C5" w:rsidRPr="00195A0D" w:rsidRDefault="00A407C5" w:rsidP="00195A0D">
            <w:pPr>
              <w:pStyle w:val="tabletextleft"/>
              <w:spacing w:before="40" w:after="40"/>
              <w:jc w:val="right"/>
              <w:rPr>
                <w:rFonts w:asciiTheme="minorHAnsi" w:hAnsiTheme="minorHAnsi" w:cstheme="minorHAnsi"/>
                <w:color w:val="000000"/>
                <w:szCs w:val="18"/>
              </w:rPr>
            </w:pPr>
            <w:r w:rsidRPr="00195A0D">
              <w:rPr>
                <w:rFonts w:asciiTheme="minorHAnsi" w:hAnsiTheme="minorHAnsi" w:cstheme="minorHAnsi"/>
                <w:szCs w:val="18"/>
              </w:rPr>
              <w:t>57 116.7</w:t>
            </w:r>
          </w:p>
        </w:tc>
        <w:tc>
          <w:tcPr>
            <w:tcW w:w="872" w:type="dxa"/>
            <w:noWrap/>
            <w:vAlign w:val="center"/>
          </w:tcPr>
          <w:p w14:paraId="3E8B699E" w14:textId="340A2BC0"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43.0</w:t>
            </w:r>
          </w:p>
        </w:tc>
        <w:tc>
          <w:tcPr>
            <w:tcW w:w="872" w:type="dxa"/>
            <w:noWrap/>
            <w:vAlign w:val="center"/>
          </w:tcPr>
          <w:p w14:paraId="055FA965" w14:textId="4B29C86A"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39.9</w:t>
            </w:r>
          </w:p>
        </w:tc>
        <w:tc>
          <w:tcPr>
            <w:tcW w:w="872" w:type="dxa"/>
            <w:noWrap/>
            <w:vAlign w:val="center"/>
          </w:tcPr>
          <w:p w14:paraId="41F236BF" w14:textId="77D2B993"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40.3</w:t>
            </w:r>
          </w:p>
        </w:tc>
        <w:tc>
          <w:tcPr>
            <w:tcW w:w="872" w:type="dxa"/>
            <w:noWrap/>
            <w:vAlign w:val="center"/>
          </w:tcPr>
          <w:p w14:paraId="042B19ED" w14:textId="25525091"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39.4</w:t>
            </w:r>
          </w:p>
        </w:tc>
        <w:tc>
          <w:tcPr>
            <w:tcW w:w="872" w:type="dxa"/>
            <w:vAlign w:val="center"/>
          </w:tcPr>
          <w:p w14:paraId="439DF45E" w14:textId="34DC9388" w:rsidR="00A407C5" w:rsidRPr="00195A0D" w:rsidRDefault="00A407C5" w:rsidP="00195A0D">
            <w:pPr>
              <w:pStyle w:val="tabletextleft"/>
              <w:spacing w:before="40" w:after="40"/>
              <w:jc w:val="right"/>
              <w:rPr>
                <w:rFonts w:asciiTheme="minorHAnsi" w:hAnsiTheme="minorHAnsi" w:cstheme="minorHAnsi"/>
                <w:szCs w:val="18"/>
              </w:rPr>
            </w:pPr>
            <w:r w:rsidRPr="00195A0D">
              <w:rPr>
                <w:rFonts w:asciiTheme="minorHAnsi" w:hAnsiTheme="minorHAnsi" w:cstheme="minorHAnsi"/>
                <w:color w:val="000000"/>
                <w:szCs w:val="18"/>
              </w:rPr>
              <w:t>37.9</w:t>
            </w:r>
          </w:p>
        </w:tc>
      </w:tr>
    </w:tbl>
    <w:p w14:paraId="63FC7F7A" w14:textId="77777777" w:rsidR="00A964EF" w:rsidRPr="005B2032" w:rsidRDefault="00A964EF" w:rsidP="00A964EF">
      <w:pPr>
        <w:rPr>
          <w:rFonts w:asciiTheme="minorHAnsi" w:hAnsiTheme="minorHAnsi" w:cstheme="minorHAnsi"/>
        </w:rPr>
      </w:pPr>
    </w:p>
    <w:p w14:paraId="68B34708" w14:textId="77777777" w:rsidR="00C10F27" w:rsidRPr="005B2032" w:rsidRDefault="00C10F27" w:rsidP="00A964EF">
      <w:pPr>
        <w:rPr>
          <w:rFonts w:asciiTheme="minorHAnsi" w:hAnsiTheme="minorHAnsi" w:cstheme="minorHAnsi"/>
        </w:rPr>
      </w:pPr>
    </w:p>
    <w:p w14:paraId="40B8E455" w14:textId="27C87441" w:rsidR="00102EAD" w:rsidRPr="002A19EC" w:rsidRDefault="00102EAD" w:rsidP="002A19EC">
      <w:pPr>
        <w:pStyle w:val="Heading2"/>
        <w:numPr>
          <w:ilvl w:val="0"/>
          <w:numId w:val="0"/>
        </w:numPr>
      </w:pPr>
      <w:bookmarkStart w:id="172" w:name="_Toc448227317"/>
      <w:bookmarkStart w:id="173" w:name="_Toc479332468"/>
      <w:bookmarkStart w:id="174" w:name="_Toc100906097"/>
      <w:r w:rsidRPr="002A19EC">
        <w:t>Табл. 2в: Разходи, които не се включват в бенчмарка за разходите</w:t>
      </w:r>
      <w:bookmarkEnd w:id="172"/>
      <w:bookmarkEnd w:id="173"/>
      <w:bookmarkEnd w:id="174"/>
    </w:p>
    <w:tbl>
      <w:tblPr>
        <w:tblStyle w:val="Style19"/>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3855"/>
        <w:gridCol w:w="868"/>
        <w:gridCol w:w="869"/>
        <w:gridCol w:w="868"/>
        <w:gridCol w:w="868"/>
        <w:gridCol w:w="868"/>
        <w:gridCol w:w="868"/>
      </w:tblGrid>
      <w:tr w:rsidR="005B2032" w:rsidRPr="00A41CDE" w14:paraId="5AC095EA" w14:textId="6884AF9F" w:rsidTr="00C2491D">
        <w:trPr>
          <w:trHeight w:val="340"/>
          <w:jc w:val="center"/>
        </w:trPr>
        <w:tc>
          <w:tcPr>
            <w:tcW w:w="3855" w:type="dxa"/>
            <w:vMerge w:val="restart"/>
            <w:shd w:val="clear" w:color="auto" w:fill="D7D4F1"/>
            <w:noWrap/>
            <w:vAlign w:val="center"/>
          </w:tcPr>
          <w:p w14:paraId="101C7656" w14:textId="77777777" w:rsidR="00806F52" w:rsidRPr="00A41CDE" w:rsidRDefault="00806F52" w:rsidP="00195A0D">
            <w:pPr>
              <w:pStyle w:val="tabletextleft"/>
              <w:spacing w:before="40" w:after="40"/>
              <w:rPr>
                <w:rFonts w:asciiTheme="minorHAnsi" w:hAnsiTheme="minorHAnsi" w:cstheme="minorHAnsi"/>
                <w:szCs w:val="18"/>
              </w:rPr>
            </w:pPr>
          </w:p>
        </w:tc>
        <w:tc>
          <w:tcPr>
            <w:tcW w:w="868" w:type="dxa"/>
            <w:shd w:val="clear" w:color="auto" w:fill="D7D4F1"/>
            <w:noWrap/>
            <w:vAlign w:val="center"/>
          </w:tcPr>
          <w:p w14:paraId="2EF47279" w14:textId="1EEF86A9" w:rsidR="00806F52" w:rsidRPr="00A41CDE" w:rsidRDefault="00806F52" w:rsidP="00195A0D">
            <w:pPr>
              <w:pStyle w:val="tabletextleft"/>
              <w:spacing w:before="40" w:after="40"/>
              <w:jc w:val="right"/>
              <w:rPr>
                <w:rFonts w:asciiTheme="minorHAnsi" w:hAnsiTheme="minorHAnsi" w:cstheme="minorHAnsi"/>
                <w:b/>
                <w:szCs w:val="18"/>
              </w:rPr>
            </w:pPr>
            <w:r w:rsidRPr="00A41CDE">
              <w:rPr>
                <w:rFonts w:asciiTheme="minorHAnsi" w:hAnsiTheme="minorHAnsi" w:cstheme="minorHAnsi"/>
                <w:b/>
                <w:szCs w:val="18"/>
              </w:rPr>
              <w:t>2021</w:t>
            </w:r>
          </w:p>
        </w:tc>
        <w:tc>
          <w:tcPr>
            <w:tcW w:w="869" w:type="dxa"/>
            <w:shd w:val="clear" w:color="auto" w:fill="D7D4F1"/>
            <w:noWrap/>
            <w:vAlign w:val="center"/>
          </w:tcPr>
          <w:p w14:paraId="72D84C65" w14:textId="1293A039" w:rsidR="00806F52" w:rsidRPr="00A41CDE" w:rsidRDefault="00806F52" w:rsidP="00195A0D">
            <w:pPr>
              <w:pStyle w:val="tabletextleft"/>
              <w:spacing w:before="40" w:after="40"/>
              <w:jc w:val="right"/>
              <w:rPr>
                <w:rFonts w:asciiTheme="minorHAnsi" w:hAnsiTheme="minorHAnsi" w:cstheme="minorHAnsi"/>
                <w:b/>
                <w:szCs w:val="18"/>
              </w:rPr>
            </w:pPr>
            <w:r w:rsidRPr="00A41CDE">
              <w:rPr>
                <w:rFonts w:asciiTheme="minorHAnsi" w:hAnsiTheme="minorHAnsi" w:cstheme="minorHAnsi"/>
                <w:b/>
                <w:szCs w:val="18"/>
              </w:rPr>
              <w:t>2021</w:t>
            </w:r>
          </w:p>
        </w:tc>
        <w:tc>
          <w:tcPr>
            <w:tcW w:w="868" w:type="dxa"/>
            <w:shd w:val="clear" w:color="auto" w:fill="D7D4F1"/>
            <w:noWrap/>
            <w:vAlign w:val="center"/>
          </w:tcPr>
          <w:p w14:paraId="6EF7A09F" w14:textId="3BBAC85D" w:rsidR="00806F52" w:rsidRPr="00A41CDE" w:rsidRDefault="00806F52" w:rsidP="00195A0D">
            <w:pPr>
              <w:pStyle w:val="tabletextleft"/>
              <w:spacing w:before="40" w:after="40"/>
              <w:jc w:val="right"/>
              <w:rPr>
                <w:rFonts w:asciiTheme="minorHAnsi" w:hAnsiTheme="minorHAnsi" w:cstheme="minorHAnsi"/>
                <w:b/>
                <w:szCs w:val="18"/>
              </w:rPr>
            </w:pPr>
            <w:r w:rsidRPr="00A41CDE">
              <w:rPr>
                <w:rFonts w:asciiTheme="minorHAnsi" w:hAnsiTheme="minorHAnsi" w:cstheme="minorHAnsi"/>
                <w:b/>
                <w:szCs w:val="18"/>
              </w:rPr>
              <w:t>2022</w:t>
            </w:r>
          </w:p>
        </w:tc>
        <w:tc>
          <w:tcPr>
            <w:tcW w:w="868" w:type="dxa"/>
            <w:shd w:val="clear" w:color="auto" w:fill="D7D4F1"/>
            <w:noWrap/>
            <w:vAlign w:val="center"/>
          </w:tcPr>
          <w:p w14:paraId="2CD9DD30" w14:textId="374A1021" w:rsidR="00806F52" w:rsidRPr="00A41CDE" w:rsidRDefault="00806F52" w:rsidP="00195A0D">
            <w:pPr>
              <w:pStyle w:val="tabletextleft"/>
              <w:spacing w:before="40" w:after="40"/>
              <w:jc w:val="right"/>
              <w:rPr>
                <w:rFonts w:asciiTheme="minorHAnsi" w:hAnsiTheme="minorHAnsi" w:cstheme="minorHAnsi"/>
                <w:b/>
                <w:szCs w:val="18"/>
              </w:rPr>
            </w:pPr>
            <w:r w:rsidRPr="00A41CDE">
              <w:rPr>
                <w:rFonts w:asciiTheme="minorHAnsi" w:hAnsiTheme="minorHAnsi" w:cstheme="minorHAnsi"/>
                <w:b/>
                <w:szCs w:val="18"/>
              </w:rPr>
              <w:t>2023</w:t>
            </w:r>
          </w:p>
        </w:tc>
        <w:tc>
          <w:tcPr>
            <w:tcW w:w="868" w:type="dxa"/>
            <w:shd w:val="clear" w:color="auto" w:fill="D7D4F1"/>
            <w:noWrap/>
            <w:vAlign w:val="center"/>
          </w:tcPr>
          <w:p w14:paraId="3D0743CB" w14:textId="47D9725C" w:rsidR="00806F52" w:rsidRPr="00A41CDE" w:rsidRDefault="00806F52" w:rsidP="00195A0D">
            <w:pPr>
              <w:pStyle w:val="tabletextleft"/>
              <w:spacing w:before="40" w:after="40"/>
              <w:jc w:val="right"/>
              <w:rPr>
                <w:rFonts w:asciiTheme="minorHAnsi" w:hAnsiTheme="minorHAnsi" w:cstheme="minorHAnsi"/>
                <w:b/>
                <w:szCs w:val="18"/>
              </w:rPr>
            </w:pPr>
            <w:r w:rsidRPr="00A41CDE">
              <w:rPr>
                <w:rFonts w:asciiTheme="minorHAnsi" w:hAnsiTheme="minorHAnsi" w:cstheme="minorHAnsi"/>
                <w:b/>
                <w:szCs w:val="18"/>
              </w:rPr>
              <w:t>2024</w:t>
            </w:r>
          </w:p>
        </w:tc>
        <w:tc>
          <w:tcPr>
            <w:tcW w:w="868" w:type="dxa"/>
            <w:shd w:val="clear" w:color="auto" w:fill="D7D4F1"/>
            <w:vAlign w:val="center"/>
          </w:tcPr>
          <w:p w14:paraId="45524C37" w14:textId="295CBC9F" w:rsidR="00806F52" w:rsidRPr="00A41CDE" w:rsidRDefault="00806F52" w:rsidP="00195A0D">
            <w:pPr>
              <w:pStyle w:val="tabletextleft"/>
              <w:spacing w:before="40" w:after="40"/>
              <w:jc w:val="right"/>
              <w:rPr>
                <w:rFonts w:asciiTheme="minorHAnsi" w:hAnsiTheme="minorHAnsi" w:cstheme="minorHAnsi"/>
                <w:b/>
                <w:szCs w:val="18"/>
              </w:rPr>
            </w:pPr>
            <w:r w:rsidRPr="00A41CDE">
              <w:rPr>
                <w:rFonts w:asciiTheme="minorHAnsi" w:hAnsiTheme="minorHAnsi" w:cstheme="minorHAnsi"/>
                <w:b/>
                <w:szCs w:val="18"/>
              </w:rPr>
              <w:t>2025</w:t>
            </w:r>
          </w:p>
        </w:tc>
      </w:tr>
      <w:tr w:rsidR="005B2032" w:rsidRPr="00A41CDE" w14:paraId="749C318D" w14:textId="0142B193" w:rsidTr="00C2491D">
        <w:trPr>
          <w:trHeight w:val="340"/>
          <w:jc w:val="center"/>
        </w:trPr>
        <w:tc>
          <w:tcPr>
            <w:tcW w:w="3855" w:type="dxa"/>
            <w:vMerge/>
            <w:shd w:val="clear" w:color="auto" w:fill="D7D4F1"/>
            <w:vAlign w:val="center"/>
            <w:hideMark/>
          </w:tcPr>
          <w:p w14:paraId="294423AD" w14:textId="77777777" w:rsidR="00806F52" w:rsidRPr="00A41CDE" w:rsidRDefault="00806F52" w:rsidP="00195A0D">
            <w:pPr>
              <w:pStyle w:val="tabletextleft"/>
              <w:spacing w:before="40" w:after="40"/>
              <w:rPr>
                <w:rFonts w:asciiTheme="minorHAnsi" w:hAnsiTheme="minorHAnsi" w:cstheme="minorHAnsi"/>
                <w:szCs w:val="18"/>
              </w:rPr>
            </w:pPr>
          </w:p>
        </w:tc>
        <w:tc>
          <w:tcPr>
            <w:tcW w:w="868" w:type="dxa"/>
            <w:shd w:val="clear" w:color="auto" w:fill="D7D4F1"/>
            <w:noWrap/>
            <w:vAlign w:val="center"/>
            <w:hideMark/>
          </w:tcPr>
          <w:p w14:paraId="506CF8F1" w14:textId="77777777" w:rsidR="00A407C5" w:rsidRDefault="00806F52" w:rsidP="00195A0D">
            <w:pPr>
              <w:pStyle w:val="tabletextleft"/>
              <w:spacing w:before="40" w:after="40"/>
              <w:jc w:val="right"/>
              <w:rPr>
                <w:rFonts w:asciiTheme="minorHAnsi" w:hAnsiTheme="minorHAnsi" w:cstheme="minorHAnsi"/>
                <w:szCs w:val="18"/>
              </w:rPr>
            </w:pPr>
            <w:r w:rsidRPr="00A41CDE">
              <w:rPr>
                <w:rFonts w:asciiTheme="minorHAnsi" w:hAnsiTheme="minorHAnsi" w:cstheme="minorHAnsi"/>
                <w:szCs w:val="18"/>
              </w:rPr>
              <w:t>Равнище</w:t>
            </w:r>
          </w:p>
          <w:p w14:paraId="36196C61" w14:textId="4DFF264B" w:rsidR="00806F52" w:rsidRPr="00A41CDE" w:rsidRDefault="00A407C5" w:rsidP="00195A0D">
            <w:pPr>
              <w:pStyle w:val="tabletextleft"/>
              <w:spacing w:before="40" w:after="40"/>
              <w:jc w:val="center"/>
              <w:rPr>
                <w:rFonts w:asciiTheme="minorHAnsi" w:hAnsiTheme="minorHAnsi" w:cstheme="minorHAnsi"/>
                <w:szCs w:val="18"/>
              </w:rPr>
            </w:pPr>
            <w:r w:rsidRPr="00195A0D">
              <w:rPr>
                <w:rFonts w:asciiTheme="minorHAnsi" w:hAnsiTheme="minorHAnsi" w:cstheme="minorHAnsi"/>
                <w:sz w:val="16"/>
              </w:rPr>
              <w:t>(млн. лв.)</w:t>
            </w:r>
          </w:p>
        </w:tc>
        <w:tc>
          <w:tcPr>
            <w:tcW w:w="869" w:type="dxa"/>
            <w:shd w:val="clear" w:color="auto" w:fill="D7D4F1"/>
            <w:noWrap/>
            <w:vAlign w:val="center"/>
            <w:hideMark/>
          </w:tcPr>
          <w:p w14:paraId="085F987D" w14:textId="77777777" w:rsidR="00806F52" w:rsidRPr="00A41CDE" w:rsidRDefault="00806F52" w:rsidP="00195A0D">
            <w:pPr>
              <w:pStyle w:val="tabletextleft"/>
              <w:spacing w:before="40" w:after="40"/>
              <w:jc w:val="right"/>
              <w:rPr>
                <w:rFonts w:asciiTheme="minorHAnsi" w:hAnsiTheme="minorHAnsi" w:cstheme="minorHAnsi"/>
                <w:szCs w:val="18"/>
              </w:rPr>
            </w:pPr>
            <w:r w:rsidRPr="00A41CDE">
              <w:rPr>
                <w:rFonts w:asciiTheme="minorHAnsi" w:hAnsiTheme="minorHAnsi" w:cstheme="minorHAnsi"/>
                <w:szCs w:val="18"/>
              </w:rPr>
              <w:t>% от БВП</w:t>
            </w:r>
          </w:p>
        </w:tc>
        <w:tc>
          <w:tcPr>
            <w:tcW w:w="868" w:type="dxa"/>
            <w:shd w:val="clear" w:color="auto" w:fill="D7D4F1"/>
            <w:noWrap/>
            <w:vAlign w:val="center"/>
            <w:hideMark/>
          </w:tcPr>
          <w:p w14:paraId="56699F51" w14:textId="77777777" w:rsidR="00806F52" w:rsidRPr="00A41CDE" w:rsidRDefault="00806F52" w:rsidP="00195A0D">
            <w:pPr>
              <w:pStyle w:val="tabletextleft"/>
              <w:spacing w:before="40" w:after="40"/>
              <w:jc w:val="right"/>
              <w:rPr>
                <w:rFonts w:asciiTheme="minorHAnsi" w:hAnsiTheme="minorHAnsi" w:cstheme="minorHAnsi"/>
                <w:szCs w:val="18"/>
              </w:rPr>
            </w:pPr>
            <w:r w:rsidRPr="00A41CDE">
              <w:rPr>
                <w:rFonts w:asciiTheme="minorHAnsi" w:hAnsiTheme="minorHAnsi" w:cstheme="minorHAnsi"/>
                <w:szCs w:val="18"/>
              </w:rPr>
              <w:t>% от БВП</w:t>
            </w:r>
          </w:p>
        </w:tc>
        <w:tc>
          <w:tcPr>
            <w:tcW w:w="868" w:type="dxa"/>
            <w:shd w:val="clear" w:color="auto" w:fill="D7D4F1"/>
            <w:noWrap/>
            <w:vAlign w:val="center"/>
            <w:hideMark/>
          </w:tcPr>
          <w:p w14:paraId="2D11D133" w14:textId="77777777" w:rsidR="00806F52" w:rsidRPr="00A41CDE" w:rsidRDefault="00806F52" w:rsidP="00195A0D">
            <w:pPr>
              <w:pStyle w:val="tabletextleft"/>
              <w:spacing w:before="40" w:after="40"/>
              <w:jc w:val="right"/>
              <w:rPr>
                <w:rFonts w:asciiTheme="minorHAnsi" w:hAnsiTheme="minorHAnsi" w:cstheme="minorHAnsi"/>
                <w:szCs w:val="18"/>
              </w:rPr>
            </w:pPr>
            <w:r w:rsidRPr="00A41CDE">
              <w:rPr>
                <w:rFonts w:asciiTheme="minorHAnsi" w:hAnsiTheme="minorHAnsi" w:cstheme="minorHAnsi"/>
                <w:szCs w:val="18"/>
              </w:rPr>
              <w:t>% от БВП</w:t>
            </w:r>
          </w:p>
        </w:tc>
        <w:tc>
          <w:tcPr>
            <w:tcW w:w="868" w:type="dxa"/>
            <w:shd w:val="clear" w:color="auto" w:fill="D7D4F1"/>
            <w:noWrap/>
            <w:vAlign w:val="center"/>
            <w:hideMark/>
          </w:tcPr>
          <w:p w14:paraId="1F936526" w14:textId="77777777" w:rsidR="00806F52" w:rsidRPr="00A41CDE" w:rsidRDefault="00806F52" w:rsidP="00195A0D">
            <w:pPr>
              <w:pStyle w:val="tabletextleft"/>
              <w:spacing w:before="40" w:after="40"/>
              <w:jc w:val="right"/>
              <w:rPr>
                <w:rFonts w:asciiTheme="minorHAnsi" w:hAnsiTheme="minorHAnsi" w:cstheme="minorHAnsi"/>
                <w:szCs w:val="18"/>
              </w:rPr>
            </w:pPr>
            <w:r w:rsidRPr="00A41CDE">
              <w:rPr>
                <w:rFonts w:asciiTheme="minorHAnsi" w:hAnsiTheme="minorHAnsi" w:cstheme="minorHAnsi"/>
                <w:szCs w:val="18"/>
              </w:rPr>
              <w:t>% от БВП</w:t>
            </w:r>
          </w:p>
        </w:tc>
        <w:tc>
          <w:tcPr>
            <w:tcW w:w="868" w:type="dxa"/>
            <w:shd w:val="clear" w:color="auto" w:fill="D7D4F1"/>
            <w:vAlign w:val="center"/>
          </w:tcPr>
          <w:p w14:paraId="76A314D6" w14:textId="25043D7E" w:rsidR="00806F52" w:rsidRPr="00A41CDE" w:rsidRDefault="00806F52" w:rsidP="00195A0D">
            <w:pPr>
              <w:pStyle w:val="tabletextleft"/>
              <w:spacing w:before="40" w:after="40"/>
              <w:jc w:val="right"/>
              <w:rPr>
                <w:rFonts w:asciiTheme="minorHAnsi" w:hAnsiTheme="minorHAnsi" w:cstheme="minorHAnsi"/>
                <w:szCs w:val="18"/>
              </w:rPr>
            </w:pPr>
            <w:r w:rsidRPr="00A41CDE">
              <w:rPr>
                <w:rFonts w:asciiTheme="minorHAnsi" w:hAnsiTheme="minorHAnsi" w:cstheme="minorHAnsi"/>
                <w:szCs w:val="18"/>
              </w:rPr>
              <w:t>% от БВП</w:t>
            </w:r>
          </w:p>
        </w:tc>
      </w:tr>
      <w:tr w:rsidR="00D724CF" w:rsidRPr="00A41CDE" w14:paraId="0193A96F" w14:textId="69635E09" w:rsidTr="00C2491D">
        <w:trPr>
          <w:trHeight w:val="340"/>
          <w:jc w:val="center"/>
        </w:trPr>
        <w:tc>
          <w:tcPr>
            <w:tcW w:w="3855" w:type="dxa"/>
            <w:noWrap/>
            <w:vAlign w:val="center"/>
            <w:hideMark/>
          </w:tcPr>
          <w:p w14:paraId="2725EAC1" w14:textId="77777777" w:rsidR="00D724CF" w:rsidRPr="00A41CDE" w:rsidRDefault="00D724CF" w:rsidP="00195A0D">
            <w:pPr>
              <w:pStyle w:val="tabletextleft"/>
              <w:spacing w:before="40" w:after="40"/>
              <w:rPr>
                <w:rFonts w:asciiTheme="minorHAnsi" w:hAnsiTheme="minorHAnsi" w:cstheme="minorHAnsi"/>
                <w:szCs w:val="18"/>
              </w:rPr>
            </w:pPr>
            <w:r w:rsidRPr="00A41CDE">
              <w:rPr>
                <w:rFonts w:asciiTheme="minorHAnsi" w:hAnsiTheme="minorHAnsi" w:cstheme="minorHAnsi"/>
                <w:szCs w:val="18"/>
              </w:rPr>
              <w:t xml:space="preserve">1. Разходи по европейски програми, напълно обезпечени с приходи от европейските фондове </w:t>
            </w:r>
          </w:p>
        </w:tc>
        <w:tc>
          <w:tcPr>
            <w:tcW w:w="868" w:type="dxa"/>
            <w:noWrap/>
            <w:vAlign w:val="center"/>
          </w:tcPr>
          <w:p w14:paraId="74ABC3C1" w14:textId="7BACAA2B"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1 158</w:t>
            </w:r>
            <w:r w:rsidR="00B43C0B">
              <w:rPr>
                <w:color w:val="000000"/>
                <w:szCs w:val="18"/>
              </w:rPr>
              <w:t>.</w:t>
            </w:r>
            <w:r w:rsidRPr="00A41CDE">
              <w:rPr>
                <w:color w:val="000000"/>
                <w:szCs w:val="18"/>
              </w:rPr>
              <w:t>2</w:t>
            </w:r>
          </w:p>
        </w:tc>
        <w:tc>
          <w:tcPr>
            <w:tcW w:w="869" w:type="dxa"/>
            <w:noWrap/>
            <w:vAlign w:val="center"/>
          </w:tcPr>
          <w:p w14:paraId="7C81B48D" w14:textId="21C5DB9F"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9</w:t>
            </w:r>
          </w:p>
        </w:tc>
        <w:tc>
          <w:tcPr>
            <w:tcW w:w="868" w:type="dxa"/>
            <w:noWrap/>
            <w:vAlign w:val="center"/>
          </w:tcPr>
          <w:p w14:paraId="16F885BA" w14:textId="3BF39D00"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1</w:t>
            </w:r>
            <w:r w:rsidR="00B43C0B">
              <w:rPr>
                <w:color w:val="000000"/>
                <w:szCs w:val="18"/>
              </w:rPr>
              <w:t>.</w:t>
            </w:r>
            <w:r w:rsidRPr="00A41CDE">
              <w:rPr>
                <w:color w:val="000000"/>
                <w:szCs w:val="18"/>
              </w:rPr>
              <w:t>9</w:t>
            </w:r>
          </w:p>
        </w:tc>
        <w:tc>
          <w:tcPr>
            <w:tcW w:w="868" w:type="dxa"/>
            <w:noWrap/>
            <w:vAlign w:val="center"/>
          </w:tcPr>
          <w:p w14:paraId="572EF7D3" w14:textId="039D6BB5"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2</w:t>
            </w:r>
            <w:r w:rsidR="00B43C0B">
              <w:rPr>
                <w:color w:val="000000"/>
                <w:szCs w:val="18"/>
              </w:rPr>
              <w:t>.</w:t>
            </w:r>
            <w:r w:rsidRPr="00A41CDE">
              <w:rPr>
                <w:color w:val="000000"/>
                <w:szCs w:val="18"/>
              </w:rPr>
              <w:t>6</w:t>
            </w:r>
          </w:p>
        </w:tc>
        <w:tc>
          <w:tcPr>
            <w:tcW w:w="868" w:type="dxa"/>
            <w:noWrap/>
            <w:vAlign w:val="center"/>
          </w:tcPr>
          <w:p w14:paraId="3FE64FE4" w14:textId="321A663E"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2</w:t>
            </w:r>
            <w:r w:rsidR="00B43C0B">
              <w:rPr>
                <w:color w:val="000000"/>
                <w:szCs w:val="18"/>
              </w:rPr>
              <w:t>.</w:t>
            </w:r>
            <w:r w:rsidRPr="00A41CDE">
              <w:rPr>
                <w:color w:val="000000"/>
                <w:szCs w:val="18"/>
              </w:rPr>
              <w:t>2</w:t>
            </w:r>
          </w:p>
        </w:tc>
        <w:tc>
          <w:tcPr>
            <w:tcW w:w="868" w:type="dxa"/>
            <w:vAlign w:val="center"/>
          </w:tcPr>
          <w:p w14:paraId="241B743C" w14:textId="122BD62E"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1</w:t>
            </w:r>
            <w:r w:rsidR="00B43C0B">
              <w:rPr>
                <w:color w:val="000000"/>
                <w:szCs w:val="18"/>
              </w:rPr>
              <w:t>.</w:t>
            </w:r>
            <w:r w:rsidRPr="00A41CDE">
              <w:rPr>
                <w:color w:val="000000"/>
                <w:szCs w:val="18"/>
              </w:rPr>
              <w:t>9</w:t>
            </w:r>
          </w:p>
        </w:tc>
      </w:tr>
      <w:tr w:rsidR="00D724CF" w:rsidRPr="00A41CDE" w14:paraId="442E0434" w14:textId="4C46EA07" w:rsidTr="00C2491D">
        <w:trPr>
          <w:trHeight w:val="340"/>
          <w:jc w:val="center"/>
        </w:trPr>
        <w:tc>
          <w:tcPr>
            <w:tcW w:w="3855" w:type="dxa"/>
            <w:noWrap/>
            <w:vAlign w:val="center"/>
            <w:hideMark/>
          </w:tcPr>
          <w:p w14:paraId="18D7C55E" w14:textId="77777777" w:rsidR="00D724CF" w:rsidRPr="00A41CDE" w:rsidRDefault="00D724CF" w:rsidP="00195A0D">
            <w:pPr>
              <w:pStyle w:val="tabletextleft"/>
              <w:spacing w:before="40" w:after="40"/>
              <w:rPr>
                <w:rFonts w:asciiTheme="minorHAnsi" w:hAnsiTheme="minorHAnsi" w:cstheme="minorHAnsi"/>
                <w:szCs w:val="18"/>
              </w:rPr>
            </w:pPr>
            <w:r w:rsidRPr="00A41CDE">
              <w:rPr>
                <w:rFonts w:asciiTheme="minorHAnsi" w:hAnsiTheme="minorHAnsi" w:cstheme="minorHAnsi"/>
                <w:szCs w:val="18"/>
              </w:rPr>
              <w:t>1а. Инвестиции, напълно обезпечени с приходи от европейските фондове</w:t>
            </w:r>
          </w:p>
        </w:tc>
        <w:tc>
          <w:tcPr>
            <w:tcW w:w="868" w:type="dxa"/>
            <w:noWrap/>
            <w:vAlign w:val="center"/>
          </w:tcPr>
          <w:p w14:paraId="28BB69EA" w14:textId="290410C4"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452</w:t>
            </w:r>
            <w:r w:rsidR="00B43C0B">
              <w:rPr>
                <w:color w:val="000000"/>
                <w:szCs w:val="18"/>
              </w:rPr>
              <w:t>.</w:t>
            </w:r>
            <w:r w:rsidRPr="00A41CDE">
              <w:rPr>
                <w:color w:val="000000"/>
                <w:szCs w:val="18"/>
              </w:rPr>
              <w:t>7</w:t>
            </w:r>
          </w:p>
        </w:tc>
        <w:tc>
          <w:tcPr>
            <w:tcW w:w="869" w:type="dxa"/>
            <w:noWrap/>
            <w:vAlign w:val="center"/>
          </w:tcPr>
          <w:p w14:paraId="38DAEEEB" w14:textId="67843A26"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3</w:t>
            </w:r>
          </w:p>
        </w:tc>
        <w:tc>
          <w:tcPr>
            <w:tcW w:w="868" w:type="dxa"/>
            <w:noWrap/>
            <w:vAlign w:val="center"/>
          </w:tcPr>
          <w:p w14:paraId="420C7258" w14:textId="1DA4461A"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1</w:t>
            </w:r>
            <w:r w:rsidR="00B43C0B">
              <w:rPr>
                <w:color w:val="000000"/>
                <w:szCs w:val="18"/>
              </w:rPr>
              <w:t>.</w:t>
            </w:r>
            <w:r w:rsidRPr="00A41CDE">
              <w:rPr>
                <w:color w:val="000000"/>
                <w:szCs w:val="18"/>
              </w:rPr>
              <w:t>3</w:t>
            </w:r>
          </w:p>
        </w:tc>
        <w:tc>
          <w:tcPr>
            <w:tcW w:w="868" w:type="dxa"/>
            <w:noWrap/>
            <w:vAlign w:val="center"/>
          </w:tcPr>
          <w:p w14:paraId="728B6857" w14:textId="32FD4CB4"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2</w:t>
            </w:r>
            <w:r w:rsidR="00B43C0B">
              <w:rPr>
                <w:color w:val="000000"/>
                <w:szCs w:val="18"/>
              </w:rPr>
              <w:t>.</w:t>
            </w:r>
            <w:r w:rsidRPr="00A41CDE">
              <w:rPr>
                <w:color w:val="000000"/>
                <w:szCs w:val="18"/>
              </w:rPr>
              <w:t>0</w:t>
            </w:r>
          </w:p>
        </w:tc>
        <w:tc>
          <w:tcPr>
            <w:tcW w:w="868" w:type="dxa"/>
            <w:noWrap/>
            <w:vAlign w:val="center"/>
          </w:tcPr>
          <w:p w14:paraId="692ED1A8" w14:textId="52067198"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1</w:t>
            </w:r>
            <w:r w:rsidR="00B43C0B">
              <w:rPr>
                <w:color w:val="000000"/>
                <w:szCs w:val="18"/>
              </w:rPr>
              <w:t>.</w:t>
            </w:r>
            <w:r w:rsidRPr="00A41CDE">
              <w:rPr>
                <w:color w:val="000000"/>
                <w:szCs w:val="18"/>
              </w:rPr>
              <w:t>8</w:t>
            </w:r>
          </w:p>
        </w:tc>
        <w:tc>
          <w:tcPr>
            <w:tcW w:w="868" w:type="dxa"/>
            <w:vAlign w:val="center"/>
          </w:tcPr>
          <w:p w14:paraId="578CEC47" w14:textId="2B21E08C"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1</w:t>
            </w:r>
            <w:r w:rsidR="00B43C0B">
              <w:rPr>
                <w:color w:val="000000"/>
                <w:szCs w:val="18"/>
              </w:rPr>
              <w:t>.</w:t>
            </w:r>
            <w:r w:rsidRPr="00A41CDE">
              <w:rPr>
                <w:color w:val="000000"/>
                <w:szCs w:val="18"/>
              </w:rPr>
              <w:t>5</w:t>
            </w:r>
          </w:p>
        </w:tc>
      </w:tr>
      <w:tr w:rsidR="00D724CF" w:rsidRPr="00A41CDE" w14:paraId="19E58A36" w14:textId="5451428C" w:rsidTr="00C2491D">
        <w:trPr>
          <w:trHeight w:val="340"/>
          <w:jc w:val="center"/>
        </w:trPr>
        <w:tc>
          <w:tcPr>
            <w:tcW w:w="3855" w:type="dxa"/>
            <w:noWrap/>
            <w:vAlign w:val="center"/>
            <w:hideMark/>
          </w:tcPr>
          <w:p w14:paraId="3464277E" w14:textId="77777777" w:rsidR="00D724CF" w:rsidRPr="00A41CDE" w:rsidRDefault="00D724CF" w:rsidP="00195A0D">
            <w:pPr>
              <w:pStyle w:val="tabletextleft"/>
              <w:spacing w:before="40" w:after="40"/>
              <w:rPr>
                <w:rFonts w:asciiTheme="minorHAnsi" w:hAnsiTheme="minorHAnsi" w:cstheme="minorHAnsi"/>
                <w:szCs w:val="18"/>
              </w:rPr>
            </w:pPr>
            <w:r w:rsidRPr="00A41CDE">
              <w:rPr>
                <w:rFonts w:asciiTheme="minorHAnsi" w:hAnsiTheme="minorHAnsi" w:cstheme="minorHAnsi"/>
                <w:szCs w:val="18"/>
              </w:rPr>
              <w:t xml:space="preserve">2. Циклична компонента на разходите за обезщетения при безработица </w:t>
            </w:r>
          </w:p>
        </w:tc>
        <w:tc>
          <w:tcPr>
            <w:tcW w:w="868" w:type="dxa"/>
            <w:noWrap/>
            <w:vAlign w:val="center"/>
          </w:tcPr>
          <w:p w14:paraId="014BD622" w14:textId="58295A62"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528</w:t>
            </w:r>
            <w:r w:rsidR="00B43C0B">
              <w:rPr>
                <w:color w:val="000000"/>
                <w:szCs w:val="18"/>
              </w:rPr>
              <w:t>.</w:t>
            </w:r>
            <w:r w:rsidRPr="00A41CDE">
              <w:rPr>
                <w:color w:val="000000"/>
                <w:szCs w:val="18"/>
              </w:rPr>
              <w:t>9</w:t>
            </w:r>
          </w:p>
        </w:tc>
        <w:tc>
          <w:tcPr>
            <w:tcW w:w="869" w:type="dxa"/>
            <w:noWrap/>
            <w:vAlign w:val="center"/>
          </w:tcPr>
          <w:p w14:paraId="55628328" w14:textId="407FB1C1"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4</w:t>
            </w:r>
          </w:p>
        </w:tc>
        <w:tc>
          <w:tcPr>
            <w:tcW w:w="868" w:type="dxa"/>
            <w:noWrap/>
            <w:vAlign w:val="center"/>
          </w:tcPr>
          <w:p w14:paraId="3F4E8733" w14:textId="28C37CC6"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4</w:t>
            </w:r>
          </w:p>
        </w:tc>
        <w:tc>
          <w:tcPr>
            <w:tcW w:w="868" w:type="dxa"/>
            <w:noWrap/>
            <w:vAlign w:val="center"/>
          </w:tcPr>
          <w:p w14:paraId="42A58386" w14:textId="0E954B4E"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3</w:t>
            </w:r>
          </w:p>
        </w:tc>
        <w:tc>
          <w:tcPr>
            <w:tcW w:w="868" w:type="dxa"/>
            <w:noWrap/>
            <w:vAlign w:val="center"/>
          </w:tcPr>
          <w:p w14:paraId="62B376E8" w14:textId="426191BF"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3</w:t>
            </w:r>
          </w:p>
        </w:tc>
        <w:tc>
          <w:tcPr>
            <w:tcW w:w="868" w:type="dxa"/>
            <w:vAlign w:val="center"/>
          </w:tcPr>
          <w:p w14:paraId="4C72DE22" w14:textId="6652C0BD" w:rsidR="00D724CF" w:rsidRPr="00A41CDE" w:rsidRDefault="00D724CF" w:rsidP="00195A0D">
            <w:pPr>
              <w:pStyle w:val="tabletextleft"/>
              <w:spacing w:before="40" w:after="40"/>
              <w:jc w:val="right"/>
              <w:rPr>
                <w:rFonts w:asciiTheme="minorHAnsi" w:hAnsiTheme="minorHAnsi" w:cstheme="minorHAnsi"/>
                <w:szCs w:val="18"/>
              </w:rPr>
            </w:pPr>
            <w:r w:rsidRPr="00A41CDE">
              <w:rPr>
                <w:color w:val="000000"/>
                <w:szCs w:val="18"/>
              </w:rPr>
              <w:t>0</w:t>
            </w:r>
            <w:r w:rsidR="00B43C0B">
              <w:rPr>
                <w:color w:val="000000"/>
                <w:szCs w:val="18"/>
              </w:rPr>
              <w:t>.</w:t>
            </w:r>
            <w:r w:rsidRPr="00A41CDE">
              <w:rPr>
                <w:color w:val="000000"/>
                <w:szCs w:val="18"/>
              </w:rPr>
              <w:t>3</w:t>
            </w:r>
          </w:p>
        </w:tc>
      </w:tr>
      <w:tr w:rsidR="005B2032" w:rsidRPr="00A41CDE" w14:paraId="7119AA3B" w14:textId="6DC0A00E" w:rsidTr="00C2491D">
        <w:trPr>
          <w:trHeight w:val="340"/>
          <w:jc w:val="center"/>
        </w:trPr>
        <w:tc>
          <w:tcPr>
            <w:tcW w:w="3855" w:type="dxa"/>
            <w:noWrap/>
            <w:vAlign w:val="center"/>
            <w:hideMark/>
          </w:tcPr>
          <w:p w14:paraId="15F3EAA0" w14:textId="77777777" w:rsidR="00C42024" w:rsidRPr="00A41CDE" w:rsidRDefault="00C42024" w:rsidP="00195A0D">
            <w:pPr>
              <w:pStyle w:val="tabletextleft"/>
              <w:spacing w:before="40" w:after="40"/>
              <w:rPr>
                <w:rFonts w:asciiTheme="minorHAnsi" w:hAnsiTheme="minorHAnsi" w:cstheme="minorHAnsi"/>
                <w:szCs w:val="18"/>
              </w:rPr>
            </w:pPr>
            <w:r w:rsidRPr="00A41CDE">
              <w:rPr>
                <w:rFonts w:asciiTheme="minorHAnsi" w:hAnsiTheme="minorHAnsi" w:cstheme="minorHAnsi"/>
                <w:szCs w:val="18"/>
              </w:rPr>
              <w:t xml:space="preserve">3. Ефект от дискреционни мерки в </w:t>
            </w:r>
            <w:r w:rsidRPr="00A41CDE">
              <w:rPr>
                <w:rFonts w:asciiTheme="minorHAnsi" w:hAnsiTheme="minorHAnsi" w:cstheme="minorHAnsi"/>
                <w:szCs w:val="18"/>
              </w:rPr>
              <w:br/>
              <w:t xml:space="preserve">приходната част </w:t>
            </w:r>
          </w:p>
        </w:tc>
        <w:tc>
          <w:tcPr>
            <w:tcW w:w="868" w:type="dxa"/>
            <w:noWrap/>
            <w:vAlign w:val="center"/>
          </w:tcPr>
          <w:p w14:paraId="497CA7A8" w14:textId="7D90AFDD"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366</w:t>
            </w:r>
            <w:r w:rsidR="000B3666" w:rsidRPr="00A41CDE">
              <w:rPr>
                <w:szCs w:val="18"/>
              </w:rPr>
              <w:t>.</w:t>
            </w:r>
            <w:r w:rsidRPr="00A41CDE">
              <w:rPr>
                <w:szCs w:val="18"/>
              </w:rPr>
              <w:t>5</w:t>
            </w:r>
          </w:p>
        </w:tc>
        <w:tc>
          <w:tcPr>
            <w:tcW w:w="869" w:type="dxa"/>
            <w:noWrap/>
            <w:vAlign w:val="center"/>
          </w:tcPr>
          <w:p w14:paraId="4E38C653" w14:textId="329B9AF2"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3</w:t>
            </w:r>
          </w:p>
        </w:tc>
        <w:tc>
          <w:tcPr>
            <w:tcW w:w="868" w:type="dxa"/>
            <w:noWrap/>
            <w:vAlign w:val="center"/>
          </w:tcPr>
          <w:p w14:paraId="731D4660" w14:textId="13B5BE92"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4</w:t>
            </w:r>
          </w:p>
        </w:tc>
        <w:tc>
          <w:tcPr>
            <w:tcW w:w="868" w:type="dxa"/>
            <w:noWrap/>
            <w:vAlign w:val="center"/>
          </w:tcPr>
          <w:p w14:paraId="4521C41D" w14:textId="490A21FB"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1</w:t>
            </w:r>
          </w:p>
        </w:tc>
        <w:tc>
          <w:tcPr>
            <w:tcW w:w="868" w:type="dxa"/>
            <w:noWrap/>
            <w:vAlign w:val="center"/>
          </w:tcPr>
          <w:p w14:paraId="3B6D7476" w14:textId="16AB769C"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c>
          <w:tcPr>
            <w:tcW w:w="868" w:type="dxa"/>
            <w:vAlign w:val="center"/>
          </w:tcPr>
          <w:p w14:paraId="11C933E6" w14:textId="7F2DB491"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r>
      <w:tr w:rsidR="005B2032" w:rsidRPr="00A41CDE" w14:paraId="7C469317" w14:textId="6ED8A6F0" w:rsidTr="00C2491D">
        <w:trPr>
          <w:trHeight w:val="340"/>
          <w:jc w:val="center"/>
        </w:trPr>
        <w:tc>
          <w:tcPr>
            <w:tcW w:w="3855" w:type="dxa"/>
            <w:noWrap/>
            <w:vAlign w:val="center"/>
            <w:hideMark/>
          </w:tcPr>
          <w:p w14:paraId="00A491B3" w14:textId="77777777" w:rsidR="00C42024" w:rsidRPr="00A41CDE" w:rsidRDefault="00C42024" w:rsidP="00195A0D">
            <w:pPr>
              <w:pStyle w:val="tabletextleft"/>
              <w:spacing w:before="40" w:after="40"/>
              <w:rPr>
                <w:rFonts w:asciiTheme="minorHAnsi" w:hAnsiTheme="minorHAnsi" w:cstheme="minorHAnsi"/>
                <w:szCs w:val="18"/>
              </w:rPr>
            </w:pPr>
            <w:r w:rsidRPr="00A41CDE">
              <w:rPr>
                <w:rFonts w:asciiTheme="minorHAnsi" w:hAnsiTheme="minorHAnsi" w:cstheme="minorHAnsi"/>
                <w:szCs w:val="18"/>
              </w:rPr>
              <w:t xml:space="preserve">4. Законово установени увеличения </w:t>
            </w:r>
            <w:r w:rsidRPr="00A41CDE">
              <w:rPr>
                <w:rFonts w:asciiTheme="minorHAnsi" w:hAnsiTheme="minorHAnsi" w:cstheme="minorHAnsi"/>
                <w:szCs w:val="18"/>
              </w:rPr>
              <w:br/>
              <w:t>на приходите</w:t>
            </w:r>
          </w:p>
        </w:tc>
        <w:tc>
          <w:tcPr>
            <w:tcW w:w="868" w:type="dxa"/>
            <w:noWrap/>
            <w:vAlign w:val="center"/>
          </w:tcPr>
          <w:p w14:paraId="447621AC" w14:textId="33E1911B"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c>
          <w:tcPr>
            <w:tcW w:w="869" w:type="dxa"/>
            <w:noWrap/>
            <w:vAlign w:val="center"/>
          </w:tcPr>
          <w:p w14:paraId="02F68C52" w14:textId="7EB70304"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c>
          <w:tcPr>
            <w:tcW w:w="868" w:type="dxa"/>
            <w:noWrap/>
            <w:vAlign w:val="center"/>
          </w:tcPr>
          <w:p w14:paraId="4771D3A5" w14:textId="7EDDEF87"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c>
          <w:tcPr>
            <w:tcW w:w="868" w:type="dxa"/>
            <w:noWrap/>
            <w:vAlign w:val="center"/>
          </w:tcPr>
          <w:p w14:paraId="74D14113" w14:textId="16F7AE01"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c>
          <w:tcPr>
            <w:tcW w:w="868" w:type="dxa"/>
            <w:noWrap/>
            <w:vAlign w:val="center"/>
          </w:tcPr>
          <w:p w14:paraId="1ABA6878" w14:textId="50DE4FBC"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c>
          <w:tcPr>
            <w:tcW w:w="868" w:type="dxa"/>
            <w:vAlign w:val="center"/>
          </w:tcPr>
          <w:p w14:paraId="088941B9" w14:textId="46C51D5B" w:rsidR="00C42024" w:rsidRPr="00A41CDE" w:rsidRDefault="00C42024" w:rsidP="00195A0D">
            <w:pPr>
              <w:pStyle w:val="tabletextleft"/>
              <w:spacing w:before="40" w:after="40"/>
              <w:jc w:val="right"/>
              <w:rPr>
                <w:rFonts w:asciiTheme="minorHAnsi" w:hAnsiTheme="minorHAnsi" w:cstheme="minorHAnsi"/>
                <w:szCs w:val="18"/>
              </w:rPr>
            </w:pPr>
            <w:r w:rsidRPr="00A41CDE">
              <w:rPr>
                <w:szCs w:val="18"/>
              </w:rPr>
              <w:t>0</w:t>
            </w:r>
            <w:r w:rsidR="000B3666" w:rsidRPr="00A41CDE">
              <w:rPr>
                <w:szCs w:val="18"/>
              </w:rPr>
              <w:t>.</w:t>
            </w:r>
            <w:r w:rsidRPr="00A41CDE">
              <w:rPr>
                <w:szCs w:val="18"/>
              </w:rPr>
              <w:t>0</w:t>
            </w:r>
          </w:p>
        </w:tc>
      </w:tr>
    </w:tbl>
    <w:p w14:paraId="3A85CED8" w14:textId="59AE3DAF" w:rsidR="00A964EF" w:rsidRDefault="00A964EF" w:rsidP="00A964EF">
      <w:pPr>
        <w:rPr>
          <w:rFonts w:asciiTheme="minorHAnsi" w:hAnsiTheme="minorHAnsi" w:cstheme="minorHAnsi"/>
        </w:rPr>
      </w:pPr>
    </w:p>
    <w:p w14:paraId="0C815358" w14:textId="77777777" w:rsidR="004C1336" w:rsidRPr="005B2032" w:rsidRDefault="004C1336" w:rsidP="004C1336"/>
    <w:p w14:paraId="3A5D071E" w14:textId="77777777" w:rsidR="00567A58" w:rsidRPr="002A19EC" w:rsidRDefault="00102EAD" w:rsidP="002A19EC">
      <w:pPr>
        <w:pStyle w:val="Heading2"/>
        <w:numPr>
          <w:ilvl w:val="0"/>
          <w:numId w:val="0"/>
        </w:numPr>
      </w:pPr>
      <w:bookmarkStart w:id="175" w:name="_Toc448227318"/>
      <w:bookmarkStart w:id="176" w:name="_Toc479332469"/>
      <w:bookmarkStart w:id="177" w:name="_Toc100906098"/>
      <w:r w:rsidRPr="002A19EC">
        <w:t>Табл. 3: Държавни разходи по функции</w:t>
      </w:r>
      <w:bookmarkEnd w:id="175"/>
      <w:bookmarkEnd w:id="176"/>
      <w:bookmarkEnd w:id="177"/>
    </w:p>
    <w:tbl>
      <w:tblPr>
        <w:tblStyle w:val="Style1"/>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top w:w="28" w:type="dxa"/>
          <w:left w:w="85" w:type="dxa"/>
          <w:bottom w:w="28" w:type="dxa"/>
          <w:right w:w="85" w:type="dxa"/>
        </w:tblCellMar>
        <w:tblLook w:val="0620" w:firstRow="1" w:lastRow="0" w:firstColumn="0" w:lastColumn="0" w:noHBand="1" w:noVBand="1"/>
      </w:tblPr>
      <w:tblGrid>
        <w:gridCol w:w="5195"/>
        <w:gridCol w:w="1248"/>
        <w:gridCol w:w="1248"/>
        <w:gridCol w:w="1373"/>
      </w:tblGrid>
      <w:tr w:rsidR="005B2032" w:rsidRPr="005B2032" w14:paraId="5E5D2132" w14:textId="77777777" w:rsidTr="00C2491D">
        <w:trPr>
          <w:trHeight w:val="20"/>
          <w:jc w:val="center"/>
        </w:trPr>
        <w:tc>
          <w:tcPr>
            <w:tcW w:w="5195" w:type="dxa"/>
            <w:shd w:val="clear" w:color="auto" w:fill="D7D4F1"/>
            <w:vAlign w:val="center"/>
            <w:hideMark/>
          </w:tcPr>
          <w:p w14:paraId="1DE6CACA" w14:textId="77777777" w:rsidR="00A964EF" w:rsidRPr="005B2032" w:rsidRDefault="00C10F27" w:rsidP="00C1337B">
            <w:pPr>
              <w:pStyle w:val="tabletextleft"/>
              <w:rPr>
                <w:rFonts w:asciiTheme="minorHAnsi" w:hAnsiTheme="minorHAnsi" w:cstheme="minorHAnsi"/>
                <w:b/>
              </w:rPr>
            </w:pPr>
            <w:r w:rsidRPr="005B2032">
              <w:rPr>
                <w:rFonts w:asciiTheme="minorHAnsi" w:hAnsiTheme="minorHAnsi" w:cstheme="minorHAnsi"/>
                <w:b/>
              </w:rPr>
              <w:t>% от БВП</w:t>
            </w:r>
          </w:p>
        </w:tc>
        <w:tc>
          <w:tcPr>
            <w:tcW w:w="1248" w:type="dxa"/>
            <w:shd w:val="clear" w:color="auto" w:fill="D7D4F1"/>
            <w:vAlign w:val="center"/>
            <w:hideMark/>
          </w:tcPr>
          <w:p w14:paraId="39FE6666" w14:textId="77777777" w:rsidR="00A964EF" w:rsidRPr="005B2032" w:rsidRDefault="00A964EF" w:rsidP="00A41CDE">
            <w:pPr>
              <w:pStyle w:val="tabletextleft"/>
              <w:jc w:val="center"/>
              <w:rPr>
                <w:rFonts w:asciiTheme="minorHAnsi" w:hAnsiTheme="minorHAnsi" w:cstheme="minorHAnsi"/>
                <w:b/>
              </w:rPr>
            </w:pPr>
            <w:r w:rsidRPr="005B2032">
              <w:rPr>
                <w:rFonts w:asciiTheme="minorHAnsi" w:hAnsiTheme="minorHAnsi" w:cstheme="minorHAnsi"/>
                <w:b/>
              </w:rPr>
              <w:t>Код по ЕСС 2010</w:t>
            </w:r>
          </w:p>
        </w:tc>
        <w:tc>
          <w:tcPr>
            <w:tcW w:w="1248" w:type="dxa"/>
            <w:shd w:val="clear" w:color="auto" w:fill="D7D4F1"/>
            <w:vAlign w:val="center"/>
            <w:hideMark/>
          </w:tcPr>
          <w:p w14:paraId="6FAB27AD" w14:textId="178BF7F3" w:rsidR="00A964EF" w:rsidRPr="005B2032" w:rsidRDefault="004F44ED" w:rsidP="00A41CDE">
            <w:pPr>
              <w:pStyle w:val="tabletextleft"/>
              <w:jc w:val="center"/>
              <w:rPr>
                <w:rFonts w:asciiTheme="minorHAnsi" w:hAnsiTheme="minorHAnsi" w:cstheme="minorHAnsi"/>
                <w:b/>
              </w:rPr>
            </w:pPr>
            <w:r w:rsidRPr="005B2032">
              <w:rPr>
                <w:rFonts w:asciiTheme="minorHAnsi" w:hAnsiTheme="minorHAnsi" w:cstheme="minorHAnsi"/>
                <w:b/>
              </w:rPr>
              <w:t>20</w:t>
            </w:r>
            <w:r w:rsidR="00806F52" w:rsidRPr="005B2032">
              <w:rPr>
                <w:rFonts w:asciiTheme="minorHAnsi" w:hAnsiTheme="minorHAnsi" w:cstheme="minorHAnsi"/>
                <w:b/>
              </w:rPr>
              <w:t>20</w:t>
            </w:r>
          </w:p>
        </w:tc>
        <w:tc>
          <w:tcPr>
            <w:tcW w:w="1373" w:type="dxa"/>
            <w:shd w:val="clear" w:color="auto" w:fill="D7D4F1"/>
            <w:vAlign w:val="center"/>
            <w:hideMark/>
          </w:tcPr>
          <w:p w14:paraId="141E02C6" w14:textId="65AE852D" w:rsidR="00A964EF" w:rsidRPr="005B2032" w:rsidRDefault="00A37E13" w:rsidP="00A41CDE">
            <w:pPr>
              <w:pStyle w:val="tabletextleft"/>
              <w:jc w:val="center"/>
              <w:rPr>
                <w:rFonts w:asciiTheme="minorHAnsi" w:hAnsiTheme="minorHAnsi" w:cstheme="minorHAnsi"/>
                <w:b/>
              </w:rPr>
            </w:pPr>
            <w:r w:rsidRPr="005B2032">
              <w:rPr>
                <w:rFonts w:asciiTheme="minorHAnsi" w:hAnsiTheme="minorHAnsi" w:cstheme="minorHAnsi"/>
                <w:b/>
              </w:rPr>
              <w:t>202</w:t>
            </w:r>
            <w:r w:rsidR="00806F52" w:rsidRPr="005B2032">
              <w:rPr>
                <w:rFonts w:asciiTheme="minorHAnsi" w:hAnsiTheme="minorHAnsi" w:cstheme="minorHAnsi"/>
                <w:b/>
              </w:rPr>
              <w:t>5</w:t>
            </w:r>
          </w:p>
        </w:tc>
      </w:tr>
      <w:tr w:rsidR="00D724CF" w:rsidRPr="005B2032" w14:paraId="2E70088F" w14:textId="77777777" w:rsidTr="00C2491D">
        <w:trPr>
          <w:trHeight w:val="20"/>
          <w:jc w:val="center"/>
        </w:trPr>
        <w:tc>
          <w:tcPr>
            <w:tcW w:w="5195" w:type="dxa"/>
            <w:vAlign w:val="center"/>
            <w:hideMark/>
          </w:tcPr>
          <w:p w14:paraId="35CF6F01"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1. Общи държавни служби</w:t>
            </w:r>
          </w:p>
        </w:tc>
        <w:tc>
          <w:tcPr>
            <w:tcW w:w="1248" w:type="dxa"/>
            <w:vAlign w:val="center"/>
            <w:hideMark/>
          </w:tcPr>
          <w:p w14:paraId="71E24C28"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1</w:t>
            </w:r>
          </w:p>
        </w:tc>
        <w:tc>
          <w:tcPr>
            <w:tcW w:w="1248" w:type="dxa"/>
            <w:vAlign w:val="center"/>
          </w:tcPr>
          <w:p w14:paraId="11908FB9" w14:textId="242E2BC2" w:rsidR="00D724CF" w:rsidRPr="005B2032" w:rsidRDefault="00D724CF" w:rsidP="00195A0D">
            <w:pPr>
              <w:pStyle w:val="tabletextleft"/>
              <w:spacing w:before="40" w:after="40"/>
              <w:jc w:val="center"/>
              <w:rPr>
                <w:rFonts w:asciiTheme="minorHAnsi" w:hAnsiTheme="minorHAnsi" w:cstheme="minorHAnsi"/>
              </w:rPr>
            </w:pPr>
            <w:r>
              <w:rPr>
                <w:szCs w:val="18"/>
              </w:rPr>
              <w:t>3</w:t>
            </w:r>
            <w:r w:rsidR="00B43C0B">
              <w:rPr>
                <w:szCs w:val="18"/>
              </w:rPr>
              <w:t>.</w:t>
            </w:r>
            <w:r>
              <w:rPr>
                <w:szCs w:val="18"/>
              </w:rPr>
              <w:t>5</w:t>
            </w:r>
          </w:p>
        </w:tc>
        <w:tc>
          <w:tcPr>
            <w:tcW w:w="1373" w:type="dxa"/>
            <w:vAlign w:val="center"/>
          </w:tcPr>
          <w:p w14:paraId="71E662FA" w14:textId="47E9E3E4" w:rsidR="00D724CF" w:rsidRPr="005B2032" w:rsidRDefault="00D724CF" w:rsidP="00195A0D">
            <w:pPr>
              <w:pStyle w:val="tabletextleft"/>
              <w:spacing w:before="40" w:after="40"/>
              <w:jc w:val="center"/>
              <w:rPr>
                <w:rFonts w:asciiTheme="minorHAnsi" w:hAnsiTheme="minorHAnsi" w:cstheme="minorHAnsi"/>
              </w:rPr>
            </w:pPr>
            <w:r>
              <w:rPr>
                <w:szCs w:val="18"/>
              </w:rPr>
              <w:t>3</w:t>
            </w:r>
            <w:r w:rsidR="00B43C0B">
              <w:rPr>
                <w:szCs w:val="18"/>
              </w:rPr>
              <w:t>.</w:t>
            </w:r>
            <w:r>
              <w:rPr>
                <w:szCs w:val="18"/>
              </w:rPr>
              <w:t>4</w:t>
            </w:r>
          </w:p>
        </w:tc>
      </w:tr>
      <w:tr w:rsidR="00D724CF" w:rsidRPr="005B2032" w14:paraId="57CE45DE" w14:textId="77777777" w:rsidTr="00C2491D">
        <w:trPr>
          <w:trHeight w:val="20"/>
          <w:jc w:val="center"/>
        </w:trPr>
        <w:tc>
          <w:tcPr>
            <w:tcW w:w="5195" w:type="dxa"/>
            <w:vAlign w:val="center"/>
            <w:hideMark/>
          </w:tcPr>
          <w:p w14:paraId="1B05139E"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2. Отбрана</w:t>
            </w:r>
          </w:p>
        </w:tc>
        <w:tc>
          <w:tcPr>
            <w:tcW w:w="1248" w:type="dxa"/>
            <w:vAlign w:val="center"/>
            <w:hideMark/>
          </w:tcPr>
          <w:p w14:paraId="2CCE5AAF"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2</w:t>
            </w:r>
          </w:p>
        </w:tc>
        <w:tc>
          <w:tcPr>
            <w:tcW w:w="1248" w:type="dxa"/>
            <w:vAlign w:val="center"/>
          </w:tcPr>
          <w:p w14:paraId="0379AD97" w14:textId="0BE8B39B" w:rsidR="00D724CF" w:rsidRPr="005B2032" w:rsidRDefault="00D724CF" w:rsidP="00195A0D">
            <w:pPr>
              <w:pStyle w:val="tabletextleft"/>
              <w:spacing w:before="40" w:after="40"/>
              <w:jc w:val="center"/>
              <w:rPr>
                <w:rFonts w:asciiTheme="minorHAnsi" w:hAnsiTheme="minorHAnsi" w:cstheme="minorHAnsi"/>
              </w:rPr>
            </w:pPr>
            <w:r>
              <w:rPr>
                <w:szCs w:val="18"/>
              </w:rPr>
              <w:t>1</w:t>
            </w:r>
            <w:r w:rsidR="00B43C0B">
              <w:rPr>
                <w:szCs w:val="18"/>
              </w:rPr>
              <w:t>.</w:t>
            </w:r>
            <w:r>
              <w:rPr>
                <w:szCs w:val="18"/>
              </w:rPr>
              <w:t>5</w:t>
            </w:r>
          </w:p>
        </w:tc>
        <w:tc>
          <w:tcPr>
            <w:tcW w:w="1373" w:type="dxa"/>
            <w:vAlign w:val="center"/>
          </w:tcPr>
          <w:p w14:paraId="6E052E4E" w14:textId="0C3ED12A" w:rsidR="00D724CF" w:rsidRPr="005B2032" w:rsidRDefault="00D724CF" w:rsidP="00195A0D">
            <w:pPr>
              <w:pStyle w:val="tabletextleft"/>
              <w:spacing w:before="40" w:after="40"/>
              <w:jc w:val="center"/>
              <w:rPr>
                <w:rFonts w:asciiTheme="minorHAnsi" w:hAnsiTheme="minorHAnsi" w:cstheme="minorHAnsi"/>
              </w:rPr>
            </w:pPr>
            <w:r>
              <w:rPr>
                <w:szCs w:val="18"/>
              </w:rPr>
              <w:t>2</w:t>
            </w:r>
            <w:r w:rsidR="00B43C0B">
              <w:rPr>
                <w:szCs w:val="18"/>
              </w:rPr>
              <w:t>.</w:t>
            </w:r>
            <w:r>
              <w:rPr>
                <w:szCs w:val="18"/>
              </w:rPr>
              <w:t>6</w:t>
            </w:r>
          </w:p>
        </w:tc>
      </w:tr>
      <w:tr w:rsidR="00D724CF" w:rsidRPr="005B2032" w14:paraId="2F011EED" w14:textId="77777777" w:rsidTr="00C2491D">
        <w:trPr>
          <w:trHeight w:val="20"/>
          <w:jc w:val="center"/>
        </w:trPr>
        <w:tc>
          <w:tcPr>
            <w:tcW w:w="5195" w:type="dxa"/>
            <w:vAlign w:val="center"/>
            <w:hideMark/>
          </w:tcPr>
          <w:p w14:paraId="1F5B4645"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3. Обществен ред и сигурност</w:t>
            </w:r>
          </w:p>
        </w:tc>
        <w:tc>
          <w:tcPr>
            <w:tcW w:w="1248" w:type="dxa"/>
            <w:vAlign w:val="center"/>
            <w:hideMark/>
          </w:tcPr>
          <w:p w14:paraId="0BA378C5"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3</w:t>
            </w:r>
          </w:p>
        </w:tc>
        <w:tc>
          <w:tcPr>
            <w:tcW w:w="1248" w:type="dxa"/>
            <w:vAlign w:val="center"/>
          </w:tcPr>
          <w:p w14:paraId="195CDDC8" w14:textId="461298CB" w:rsidR="00D724CF" w:rsidRPr="005B2032" w:rsidRDefault="00D724CF" w:rsidP="00195A0D">
            <w:pPr>
              <w:pStyle w:val="tabletextleft"/>
              <w:spacing w:before="40" w:after="40"/>
              <w:jc w:val="center"/>
              <w:rPr>
                <w:rFonts w:asciiTheme="minorHAnsi" w:hAnsiTheme="minorHAnsi" w:cstheme="minorHAnsi"/>
              </w:rPr>
            </w:pPr>
            <w:r>
              <w:rPr>
                <w:szCs w:val="18"/>
              </w:rPr>
              <w:t>2</w:t>
            </w:r>
            <w:r w:rsidR="00B43C0B">
              <w:rPr>
                <w:szCs w:val="18"/>
              </w:rPr>
              <w:t>.</w:t>
            </w:r>
            <w:r>
              <w:rPr>
                <w:szCs w:val="18"/>
              </w:rPr>
              <w:t>7</w:t>
            </w:r>
          </w:p>
        </w:tc>
        <w:tc>
          <w:tcPr>
            <w:tcW w:w="1373" w:type="dxa"/>
            <w:vAlign w:val="center"/>
          </w:tcPr>
          <w:p w14:paraId="1AB50EAF" w14:textId="24AA7D5B" w:rsidR="00D724CF" w:rsidRPr="005B2032" w:rsidRDefault="00D724CF" w:rsidP="00195A0D">
            <w:pPr>
              <w:pStyle w:val="tabletextleft"/>
              <w:spacing w:before="40" w:after="40"/>
              <w:jc w:val="center"/>
              <w:rPr>
                <w:rFonts w:asciiTheme="minorHAnsi" w:hAnsiTheme="minorHAnsi" w:cstheme="minorHAnsi"/>
              </w:rPr>
            </w:pPr>
            <w:r>
              <w:rPr>
                <w:szCs w:val="18"/>
              </w:rPr>
              <w:t>2</w:t>
            </w:r>
            <w:r w:rsidR="00B43C0B">
              <w:rPr>
                <w:szCs w:val="18"/>
              </w:rPr>
              <w:t>.</w:t>
            </w:r>
            <w:r>
              <w:rPr>
                <w:szCs w:val="18"/>
              </w:rPr>
              <w:t>3</w:t>
            </w:r>
          </w:p>
        </w:tc>
      </w:tr>
      <w:tr w:rsidR="00D724CF" w:rsidRPr="005B2032" w14:paraId="33F88D50" w14:textId="77777777" w:rsidTr="00C2491D">
        <w:trPr>
          <w:trHeight w:val="20"/>
          <w:jc w:val="center"/>
        </w:trPr>
        <w:tc>
          <w:tcPr>
            <w:tcW w:w="5195" w:type="dxa"/>
            <w:vAlign w:val="center"/>
            <w:hideMark/>
          </w:tcPr>
          <w:p w14:paraId="590C2B49"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4. Икономически дейности</w:t>
            </w:r>
          </w:p>
        </w:tc>
        <w:tc>
          <w:tcPr>
            <w:tcW w:w="1248" w:type="dxa"/>
            <w:vAlign w:val="center"/>
            <w:hideMark/>
          </w:tcPr>
          <w:p w14:paraId="42E56A68"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4</w:t>
            </w:r>
          </w:p>
        </w:tc>
        <w:tc>
          <w:tcPr>
            <w:tcW w:w="1248" w:type="dxa"/>
            <w:vAlign w:val="center"/>
          </w:tcPr>
          <w:p w14:paraId="762FFE48" w14:textId="664E4B00" w:rsidR="00D724CF" w:rsidRPr="005B2032" w:rsidRDefault="00D724CF" w:rsidP="00195A0D">
            <w:pPr>
              <w:pStyle w:val="tabletextleft"/>
              <w:spacing w:before="40" w:after="40"/>
              <w:jc w:val="center"/>
              <w:rPr>
                <w:rFonts w:asciiTheme="minorHAnsi" w:hAnsiTheme="minorHAnsi" w:cstheme="minorHAnsi"/>
              </w:rPr>
            </w:pPr>
            <w:r>
              <w:rPr>
                <w:szCs w:val="18"/>
              </w:rPr>
              <w:t>8</w:t>
            </w:r>
            <w:r w:rsidR="00B43C0B">
              <w:rPr>
                <w:szCs w:val="18"/>
              </w:rPr>
              <w:t>.</w:t>
            </w:r>
            <w:r>
              <w:rPr>
                <w:szCs w:val="18"/>
              </w:rPr>
              <w:t>5</w:t>
            </w:r>
          </w:p>
        </w:tc>
        <w:tc>
          <w:tcPr>
            <w:tcW w:w="1373" w:type="dxa"/>
            <w:vAlign w:val="center"/>
          </w:tcPr>
          <w:p w14:paraId="2A3AFC94" w14:textId="7CACDE73" w:rsidR="00D724CF" w:rsidRPr="005B2032" w:rsidRDefault="00D724CF" w:rsidP="00195A0D">
            <w:pPr>
              <w:pStyle w:val="tabletextleft"/>
              <w:spacing w:before="40" w:after="40"/>
              <w:jc w:val="center"/>
              <w:rPr>
                <w:rFonts w:asciiTheme="minorHAnsi" w:hAnsiTheme="minorHAnsi" w:cstheme="minorHAnsi"/>
              </w:rPr>
            </w:pPr>
            <w:r>
              <w:rPr>
                <w:szCs w:val="18"/>
              </w:rPr>
              <w:t>6</w:t>
            </w:r>
            <w:r w:rsidR="00B43C0B">
              <w:rPr>
                <w:szCs w:val="18"/>
              </w:rPr>
              <w:t>.</w:t>
            </w:r>
            <w:r>
              <w:rPr>
                <w:szCs w:val="18"/>
              </w:rPr>
              <w:t>4</w:t>
            </w:r>
          </w:p>
        </w:tc>
      </w:tr>
      <w:tr w:rsidR="00D724CF" w:rsidRPr="005B2032" w14:paraId="73AE7B5B" w14:textId="77777777" w:rsidTr="00C2491D">
        <w:trPr>
          <w:trHeight w:val="20"/>
          <w:jc w:val="center"/>
        </w:trPr>
        <w:tc>
          <w:tcPr>
            <w:tcW w:w="5195" w:type="dxa"/>
            <w:vAlign w:val="center"/>
            <w:hideMark/>
          </w:tcPr>
          <w:p w14:paraId="6151FDD8"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5. Опазване на околната среда</w:t>
            </w:r>
          </w:p>
        </w:tc>
        <w:tc>
          <w:tcPr>
            <w:tcW w:w="1248" w:type="dxa"/>
            <w:vAlign w:val="center"/>
            <w:hideMark/>
          </w:tcPr>
          <w:p w14:paraId="218421C2"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5</w:t>
            </w:r>
          </w:p>
        </w:tc>
        <w:tc>
          <w:tcPr>
            <w:tcW w:w="1248" w:type="dxa"/>
            <w:vAlign w:val="center"/>
          </w:tcPr>
          <w:p w14:paraId="650FE498" w14:textId="1D19F8BE" w:rsidR="00D724CF" w:rsidRPr="005B2032" w:rsidRDefault="00D724CF" w:rsidP="00195A0D">
            <w:pPr>
              <w:pStyle w:val="tabletextleft"/>
              <w:spacing w:before="40" w:after="40"/>
              <w:jc w:val="center"/>
              <w:rPr>
                <w:rFonts w:asciiTheme="minorHAnsi" w:hAnsiTheme="minorHAnsi" w:cstheme="minorHAnsi"/>
              </w:rPr>
            </w:pPr>
            <w:r>
              <w:rPr>
                <w:szCs w:val="18"/>
              </w:rPr>
              <w:t>0</w:t>
            </w:r>
            <w:r w:rsidR="00B43C0B">
              <w:rPr>
                <w:szCs w:val="18"/>
              </w:rPr>
              <w:t>.</w:t>
            </w:r>
            <w:r>
              <w:rPr>
                <w:szCs w:val="18"/>
              </w:rPr>
              <w:t>7</w:t>
            </w:r>
          </w:p>
        </w:tc>
        <w:tc>
          <w:tcPr>
            <w:tcW w:w="1373" w:type="dxa"/>
            <w:vAlign w:val="center"/>
          </w:tcPr>
          <w:p w14:paraId="2DC1823F" w14:textId="705E9CA1" w:rsidR="00D724CF" w:rsidRPr="005B2032" w:rsidRDefault="00D724CF" w:rsidP="00195A0D">
            <w:pPr>
              <w:pStyle w:val="tabletextleft"/>
              <w:spacing w:before="40" w:after="40"/>
              <w:jc w:val="center"/>
              <w:rPr>
                <w:rFonts w:asciiTheme="minorHAnsi" w:hAnsiTheme="minorHAnsi" w:cstheme="minorHAnsi"/>
              </w:rPr>
            </w:pPr>
            <w:r>
              <w:rPr>
                <w:szCs w:val="18"/>
              </w:rPr>
              <w:t>0</w:t>
            </w:r>
            <w:r w:rsidR="00B43C0B">
              <w:rPr>
                <w:szCs w:val="18"/>
              </w:rPr>
              <w:t>.</w:t>
            </w:r>
            <w:r>
              <w:rPr>
                <w:szCs w:val="18"/>
              </w:rPr>
              <w:t>7</w:t>
            </w:r>
          </w:p>
        </w:tc>
      </w:tr>
      <w:tr w:rsidR="00D724CF" w:rsidRPr="005B2032" w14:paraId="392F122C" w14:textId="77777777" w:rsidTr="00C2491D">
        <w:trPr>
          <w:trHeight w:val="20"/>
          <w:jc w:val="center"/>
        </w:trPr>
        <w:tc>
          <w:tcPr>
            <w:tcW w:w="5195" w:type="dxa"/>
            <w:vAlign w:val="center"/>
            <w:hideMark/>
          </w:tcPr>
          <w:p w14:paraId="07BF5569"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 xml:space="preserve">6. Жилищно строителство. благоустройство и </w:t>
            </w:r>
            <w:r w:rsidRPr="005B2032">
              <w:rPr>
                <w:rFonts w:asciiTheme="minorHAnsi" w:hAnsiTheme="minorHAnsi" w:cstheme="minorHAnsi"/>
              </w:rPr>
              <w:br/>
              <w:t>комунално стопанство</w:t>
            </w:r>
          </w:p>
        </w:tc>
        <w:tc>
          <w:tcPr>
            <w:tcW w:w="1248" w:type="dxa"/>
            <w:vAlign w:val="center"/>
            <w:hideMark/>
          </w:tcPr>
          <w:p w14:paraId="523C60A7"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6</w:t>
            </w:r>
          </w:p>
        </w:tc>
        <w:tc>
          <w:tcPr>
            <w:tcW w:w="1248" w:type="dxa"/>
            <w:vAlign w:val="center"/>
          </w:tcPr>
          <w:p w14:paraId="7154D9C1" w14:textId="1E8F8BC9" w:rsidR="00D724CF" w:rsidRPr="005B2032" w:rsidRDefault="00D724CF" w:rsidP="00195A0D">
            <w:pPr>
              <w:pStyle w:val="tabletextleft"/>
              <w:spacing w:before="40" w:after="40"/>
              <w:jc w:val="center"/>
              <w:rPr>
                <w:rFonts w:asciiTheme="minorHAnsi" w:hAnsiTheme="minorHAnsi" w:cstheme="minorHAnsi"/>
              </w:rPr>
            </w:pPr>
            <w:r>
              <w:rPr>
                <w:szCs w:val="18"/>
              </w:rPr>
              <w:t>0</w:t>
            </w:r>
            <w:r w:rsidR="00B43C0B">
              <w:rPr>
                <w:szCs w:val="18"/>
              </w:rPr>
              <w:t>.</w:t>
            </w:r>
            <w:r>
              <w:rPr>
                <w:szCs w:val="18"/>
              </w:rPr>
              <w:t>9</w:t>
            </w:r>
          </w:p>
        </w:tc>
        <w:tc>
          <w:tcPr>
            <w:tcW w:w="1373" w:type="dxa"/>
            <w:vAlign w:val="center"/>
          </w:tcPr>
          <w:p w14:paraId="5F32C150" w14:textId="24E8A241" w:rsidR="00D724CF" w:rsidRPr="005B2032" w:rsidRDefault="00D724CF" w:rsidP="00195A0D">
            <w:pPr>
              <w:pStyle w:val="tabletextleft"/>
              <w:spacing w:before="40" w:after="40"/>
              <w:jc w:val="center"/>
              <w:rPr>
                <w:rFonts w:asciiTheme="minorHAnsi" w:hAnsiTheme="minorHAnsi" w:cstheme="minorHAnsi"/>
              </w:rPr>
            </w:pPr>
            <w:r>
              <w:rPr>
                <w:szCs w:val="18"/>
              </w:rPr>
              <w:t>0</w:t>
            </w:r>
            <w:r w:rsidR="00B43C0B">
              <w:rPr>
                <w:szCs w:val="18"/>
              </w:rPr>
              <w:t>.</w:t>
            </w:r>
            <w:r>
              <w:rPr>
                <w:szCs w:val="18"/>
              </w:rPr>
              <w:t>8</w:t>
            </w:r>
          </w:p>
        </w:tc>
      </w:tr>
      <w:tr w:rsidR="00D724CF" w:rsidRPr="005B2032" w14:paraId="7854FC0F" w14:textId="77777777" w:rsidTr="00C2491D">
        <w:trPr>
          <w:trHeight w:val="20"/>
          <w:jc w:val="center"/>
        </w:trPr>
        <w:tc>
          <w:tcPr>
            <w:tcW w:w="5195" w:type="dxa"/>
            <w:vAlign w:val="center"/>
            <w:hideMark/>
          </w:tcPr>
          <w:p w14:paraId="5DD90257"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7. Здравеопазване</w:t>
            </w:r>
          </w:p>
        </w:tc>
        <w:tc>
          <w:tcPr>
            <w:tcW w:w="1248" w:type="dxa"/>
            <w:vAlign w:val="center"/>
            <w:hideMark/>
          </w:tcPr>
          <w:p w14:paraId="693BB412"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7</w:t>
            </w:r>
          </w:p>
        </w:tc>
        <w:tc>
          <w:tcPr>
            <w:tcW w:w="1248" w:type="dxa"/>
            <w:vAlign w:val="center"/>
          </w:tcPr>
          <w:p w14:paraId="32780908" w14:textId="3EBE8316" w:rsidR="00D724CF" w:rsidRPr="005B2032" w:rsidRDefault="00D724CF" w:rsidP="00195A0D">
            <w:pPr>
              <w:pStyle w:val="tabletextleft"/>
              <w:spacing w:before="40" w:after="40"/>
              <w:jc w:val="center"/>
              <w:rPr>
                <w:rFonts w:asciiTheme="minorHAnsi" w:hAnsiTheme="minorHAnsi" w:cstheme="minorHAnsi"/>
              </w:rPr>
            </w:pPr>
            <w:r>
              <w:rPr>
                <w:szCs w:val="18"/>
              </w:rPr>
              <w:t>5</w:t>
            </w:r>
            <w:r w:rsidR="00B43C0B">
              <w:rPr>
                <w:szCs w:val="18"/>
              </w:rPr>
              <w:t>.</w:t>
            </w:r>
            <w:r>
              <w:rPr>
                <w:szCs w:val="18"/>
              </w:rPr>
              <w:t>9</w:t>
            </w:r>
          </w:p>
        </w:tc>
        <w:tc>
          <w:tcPr>
            <w:tcW w:w="1373" w:type="dxa"/>
            <w:vAlign w:val="center"/>
          </w:tcPr>
          <w:p w14:paraId="41FF405D" w14:textId="44F41FA7" w:rsidR="00D724CF" w:rsidRPr="005B2032" w:rsidRDefault="00D724CF" w:rsidP="00195A0D">
            <w:pPr>
              <w:pStyle w:val="tabletextleft"/>
              <w:spacing w:before="40" w:after="40"/>
              <w:jc w:val="center"/>
              <w:rPr>
                <w:rFonts w:asciiTheme="minorHAnsi" w:hAnsiTheme="minorHAnsi" w:cstheme="minorHAnsi"/>
              </w:rPr>
            </w:pPr>
            <w:r>
              <w:rPr>
                <w:szCs w:val="18"/>
              </w:rPr>
              <w:t>5</w:t>
            </w:r>
            <w:r w:rsidR="00B43C0B">
              <w:rPr>
                <w:szCs w:val="18"/>
              </w:rPr>
              <w:t>.</w:t>
            </w:r>
            <w:r>
              <w:rPr>
                <w:szCs w:val="18"/>
              </w:rPr>
              <w:t>2</w:t>
            </w:r>
          </w:p>
        </w:tc>
      </w:tr>
      <w:tr w:rsidR="00D724CF" w:rsidRPr="005B2032" w14:paraId="232FAA08" w14:textId="77777777" w:rsidTr="00C2491D">
        <w:trPr>
          <w:trHeight w:val="20"/>
          <w:jc w:val="center"/>
        </w:trPr>
        <w:tc>
          <w:tcPr>
            <w:tcW w:w="5195" w:type="dxa"/>
            <w:vAlign w:val="center"/>
            <w:hideMark/>
          </w:tcPr>
          <w:p w14:paraId="6F56C834"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8. Почивно дело. култура и религия</w:t>
            </w:r>
          </w:p>
        </w:tc>
        <w:tc>
          <w:tcPr>
            <w:tcW w:w="1248" w:type="dxa"/>
            <w:vAlign w:val="center"/>
            <w:hideMark/>
          </w:tcPr>
          <w:p w14:paraId="6F4B5D5C"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8</w:t>
            </w:r>
          </w:p>
        </w:tc>
        <w:tc>
          <w:tcPr>
            <w:tcW w:w="1248" w:type="dxa"/>
            <w:vAlign w:val="center"/>
          </w:tcPr>
          <w:p w14:paraId="394996F9" w14:textId="6F9629F1" w:rsidR="00D724CF" w:rsidRPr="005B2032" w:rsidRDefault="00D724CF" w:rsidP="00195A0D">
            <w:pPr>
              <w:pStyle w:val="tabletextleft"/>
              <w:spacing w:before="40" w:after="40"/>
              <w:jc w:val="center"/>
              <w:rPr>
                <w:rFonts w:asciiTheme="minorHAnsi" w:hAnsiTheme="minorHAnsi" w:cstheme="minorHAnsi"/>
              </w:rPr>
            </w:pPr>
            <w:r>
              <w:rPr>
                <w:szCs w:val="18"/>
              </w:rPr>
              <w:t>0</w:t>
            </w:r>
            <w:r w:rsidR="00B43C0B">
              <w:rPr>
                <w:szCs w:val="18"/>
              </w:rPr>
              <w:t>.</w:t>
            </w:r>
            <w:r>
              <w:rPr>
                <w:szCs w:val="18"/>
              </w:rPr>
              <w:t>9</w:t>
            </w:r>
          </w:p>
        </w:tc>
        <w:tc>
          <w:tcPr>
            <w:tcW w:w="1373" w:type="dxa"/>
            <w:vAlign w:val="center"/>
          </w:tcPr>
          <w:p w14:paraId="57318E5F" w14:textId="248FEB11" w:rsidR="00D724CF" w:rsidRPr="005B2032" w:rsidRDefault="00D724CF" w:rsidP="00195A0D">
            <w:pPr>
              <w:pStyle w:val="tabletextleft"/>
              <w:spacing w:before="40" w:after="40"/>
              <w:jc w:val="center"/>
              <w:rPr>
                <w:rFonts w:asciiTheme="minorHAnsi" w:hAnsiTheme="minorHAnsi" w:cstheme="minorHAnsi"/>
              </w:rPr>
            </w:pPr>
            <w:r>
              <w:rPr>
                <w:szCs w:val="18"/>
              </w:rPr>
              <w:t>0</w:t>
            </w:r>
            <w:r w:rsidR="00B43C0B">
              <w:rPr>
                <w:szCs w:val="18"/>
              </w:rPr>
              <w:t>.</w:t>
            </w:r>
            <w:r>
              <w:rPr>
                <w:szCs w:val="18"/>
              </w:rPr>
              <w:t>6</w:t>
            </w:r>
          </w:p>
        </w:tc>
      </w:tr>
      <w:tr w:rsidR="00D724CF" w:rsidRPr="005B2032" w14:paraId="0A675603" w14:textId="77777777" w:rsidTr="00C2491D">
        <w:trPr>
          <w:trHeight w:val="20"/>
          <w:jc w:val="center"/>
        </w:trPr>
        <w:tc>
          <w:tcPr>
            <w:tcW w:w="5195" w:type="dxa"/>
            <w:vAlign w:val="center"/>
            <w:hideMark/>
          </w:tcPr>
          <w:p w14:paraId="769AAE60"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9. Образование</w:t>
            </w:r>
          </w:p>
        </w:tc>
        <w:tc>
          <w:tcPr>
            <w:tcW w:w="1248" w:type="dxa"/>
            <w:vAlign w:val="center"/>
            <w:hideMark/>
          </w:tcPr>
          <w:p w14:paraId="27207EEE"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9</w:t>
            </w:r>
          </w:p>
        </w:tc>
        <w:tc>
          <w:tcPr>
            <w:tcW w:w="1248" w:type="dxa"/>
            <w:vAlign w:val="center"/>
          </w:tcPr>
          <w:p w14:paraId="24B23339" w14:textId="56DB9093" w:rsidR="00D724CF" w:rsidRPr="005B2032" w:rsidRDefault="00D724CF" w:rsidP="00195A0D">
            <w:pPr>
              <w:pStyle w:val="tabletextleft"/>
              <w:spacing w:before="40" w:after="40"/>
              <w:jc w:val="center"/>
              <w:rPr>
                <w:rFonts w:asciiTheme="minorHAnsi" w:hAnsiTheme="minorHAnsi" w:cstheme="minorHAnsi"/>
              </w:rPr>
            </w:pPr>
            <w:r>
              <w:rPr>
                <w:szCs w:val="18"/>
              </w:rPr>
              <w:t>4</w:t>
            </w:r>
            <w:r w:rsidR="00B43C0B">
              <w:rPr>
                <w:szCs w:val="18"/>
              </w:rPr>
              <w:t>.</w:t>
            </w:r>
            <w:r>
              <w:rPr>
                <w:szCs w:val="18"/>
              </w:rPr>
              <w:t>0</w:t>
            </w:r>
          </w:p>
        </w:tc>
        <w:tc>
          <w:tcPr>
            <w:tcW w:w="1373" w:type="dxa"/>
            <w:vAlign w:val="center"/>
          </w:tcPr>
          <w:p w14:paraId="6363E57A" w14:textId="3A3B5A25" w:rsidR="00D724CF" w:rsidRPr="005B2032" w:rsidRDefault="00D724CF" w:rsidP="00195A0D">
            <w:pPr>
              <w:pStyle w:val="tabletextleft"/>
              <w:spacing w:before="40" w:after="40"/>
              <w:jc w:val="center"/>
              <w:rPr>
                <w:rFonts w:asciiTheme="minorHAnsi" w:hAnsiTheme="minorHAnsi" w:cstheme="minorHAnsi"/>
              </w:rPr>
            </w:pPr>
            <w:r>
              <w:rPr>
                <w:szCs w:val="18"/>
              </w:rPr>
              <w:t>4</w:t>
            </w:r>
            <w:r w:rsidR="00B43C0B">
              <w:rPr>
                <w:szCs w:val="18"/>
              </w:rPr>
              <w:t>.</w:t>
            </w:r>
            <w:r>
              <w:rPr>
                <w:szCs w:val="18"/>
              </w:rPr>
              <w:t>0</w:t>
            </w:r>
          </w:p>
        </w:tc>
      </w:tr>
      <w:tr w:rsidR="00D724CF" w:rsidRPr="005B2032" w14:paraId="0E220ACC" w14:textId="77777777" w:rsidTr="00C2491D">
        <w:trPr>
          <w:trHeight w:val="20"/>
          <w:jc w:val="center"/>
        </w:trPr>
        <w:tc>
          <w:tcPr>
            <w:tcW w:w="5195" w:type="dxa"/>
            <w:vAlign w:val="center"/>
            <w:hideMark/>
          </w:tcPr>
          <w:p w14:paraId="395B58A7"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10. Социална защита</w:t>
            </w:r>
          </w:p>
        </w:tc>
        <w:tc>
          <w:tcPr>
            <w:tcW w:w="1248" w:type="dxa"/>
            <w:vAlign w:val="center"/>
            <w:hideMark/>
          </w:tcPr>
          <w:p w14:paraId="0064D4EA"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10</w:t>
            </w:r>
          </w:p>
        </w:tc>
        <w:tc>
          <w:tcPr>
            <w:tcW w:w="1248" w:type="dxa"/>
            <w:vAlign w:val="center"/>
          </w:tcPr>
          <w:p w14:paraId="3748CB1B" w14:textId="6DAA1735" w:rsidR="00D724CF" w:rsidRPr="005B2032" w:rsidRDefault="00D724CF" w:rsidP="00195A0D">
            <w:pPr>
              <w:pStyle w:val="tabletextleft"/>
              <w:spacing w:before="40" w:after="40"/>
              <w:jc w:val="center"/>
              <w:rPr>
                <w:rFonts w:asciiTheme="minorHAnsi" w:hAnsiTheme="minorHAnsi" w:cstheme="minorHAnsi"/>
              </w:rPr>
            </w:pPr>
            <w:r>
              <w:rPr>
                <w:szCs w:val="18"/>
              </w:rPr>
              <w:t>13</w:t>
            </w:r>
            <w:r w:rsidR="00B43C0B">
              <w:rPr>
                <w:szCs w:val="18"/>
              </w:rPr>
              <w:t>.</w:t>
            </w:r>
            <w:r>
              <w:rPr>
                <w:szCs w:val="18"/>
              </w:rPr>
              <w:t>1</w:t>
            </w:r>
          </w:p>
        </w:tc>
        <w:tc>
          <w:tcPr>
            <w:tcW w:w="1373" w:type="dxa"/>
            <w:vAlign w:val="center"/>
          </w:tcPr>
          <w:p w14:paraId="7EA4AA31" w14:textId="159523EC" w:rsidR="00D724CF" w:rsidRPr="005B2032" w:rsidRDefault="00D724CF" w:rsidP="00195A0D">
            <w:pPr>
              <w:pStyle w:val="tabletextleft"/>
              <w:spacing w:before="40" w:after="40"/>
              <w:jc w:val="center"/>
              <w:rPr>
                <w:rFonts w:asciiTheme="minorHAnsi" w:hAnsiTheme="minorHAnsi" w:cstheme="minorHAnsi"/>
              </w:rPr>
            </w:pPr>
            <w:r>
              <w:rPr>
                <w:szCs w:val="18"/>
              </w:rPr>
              <w:t>12</w:t>
            </w:r>
            <w:r w:rsidR="00B43C0B">
              <w:rPr>
                <w:szCs w:val="18"/>
              </w:rPr>
              <w:t>.</w:t>
            </w:r>
            <w:r>
              <w:rPr>
                <w:szCs w:val="18"/>
              </w:rPr>
              <w:t>5</w:t>
            </w:r>
          </w:p>
        </w:tc>
      </w:tr>
      <w:tr w:rsidR="00D724CF" w:rsidRPr="005B2032" w14:paraId="029DB5ED" w14:textId="77777777" w:rsidTr="00C2491D">
        <w:trPr>
          <w:trHeight w:val="20"/>
          <w:jc w:val="center"/>
        </w:trPr>
        <w:tc>
          <w:tcPr>
            <w:tcW w:w="5195" w:type="dxa"/>
            <w:vAlign w:val="center"/>
            <w:hideMark/>
          </w:tcPr>
          <w:p w14:paraId="4B04E44A" w14:textId="77777777" w:rsidR="00D724CF" w:rsidRPr="005B2032" w:rsidRDefault="00D724CF" w:rsidP="00195A0D">
            <w:pPr>
              <w:pStyle w:val="tabletextleft"/>
              <w:spacing w:before="40" w:after="40"/>
              <w:rPr>
                <w:rFonts w:asciiTheme="minorHAnsi" w:hAnsiTheme="minorHAnsi" w:cstheme="minorHAnsi"/>
              </w:rPr>
            </w:pPr>
            <w:r w:rsidRPr="005B2032">
              <w:rPr>
                <w:rFonts w:asciiTheme="minorHAnsi" w:hAnsiTheme="minorHAnsi" w:cstheme="minorHAnsi"/>
              </w:rPr>
              <w:t>11. Общо разходи (= точка 7 = 24 от Таблица 2)</w:t>
            </w:r>
          </w:p>
        </w:tc>
        <w:tc>
          <w:tcPr>
            <w:tcW w:w="1248" w:type="dxa"/>
            <w:vAlign w:val="center"/>
            <w:hideMark/>
          </w:tcPr>
          <w:p w14:paraId="15B6BCDB" w14:textId="77777777" w:rsidR="00D724CF" w:rsidRPr="005B2032" w:rsidRDefault="00D724CF" w:rsidP="00195A0D">
            <w:pPr>
              <w:pStyle w:val="tabletextleft"/>
              <w:spacing w:before="40" w:after="40"/>
              <w:jc w:val="center"/>
              <w:rPr>
                <w:rFonts w:asciiTheme="minorHAnsi" w:hAnsiTheme="minorHAnsi" w:cstheme="minorHAnsi"/>
              </w:rPr>
            </w:pPr>
            <w:r w:rsidRPr="005B2032">
              <w:rPr>
                <w:rFonts w:asciiTheme="minorHAnsi" w:hAnsiTheme="minorHAnsi" w:cstheme="minorHAnsi"/>
              </w:rPr>
              <w:t>TE1</w:t>
            </w:r>
          </w:p>
        </w:tc>
        <w:tc>
          <w:tcPr>
            <w:tcW w:w="1248" w:type="dxa"/>
            <w:vAlign w:val="center"/>
          </w:tcPr>
          <w:p w14:paraId="1E77EC76" w14:textId="723C165F" w:rsidR="00D724CF" w:rsidRPr="005B2032" w:rsidRDefault="00D724CF" w:rsidP="00195A0D">
            <w:pPr>
              <w:pStyle w:val="tabletextleft"/>
              <w:spacing w:before="40" w:after="40"/>
              <w:jc w:val="center"/>
              <w:rPr>
                <w:rFonts w:asciiTheme="minorHAnsi" w:hAnsiTheme="minorHAnsi" w:cstheme="minorHAnsi"/>
                <w:b/>
              </w:rPr>
            </w:pPr>
            <w:r>
              <w:rPr>
                <w:szCs w:val="18"/>
              </w:rPr>
              <w:t>41</w:t>
            </w:r>
            <w:r w:rsidR="00B43C0B">
              <w:rPr>
                <w:szCs w:val="18"/>
              </w:rPr>
              <w:t>.</w:t>
            </w:r>
            <w:r>
              <w:rPr>
                <w:szCs w:val="18"/>
              </w:rPr>
              <w:t>8</w:t>
            </w:r>
          </w:p>
        </w:tc>
        <w:tc>
          <w:tcPr>
            <w:tcW w:w="1373" w:type="dxa"/>
            <w:vAlign w:val="center"/>
          </w:tcPr>
          <w:p w14:paraId="79B7289B" w14:textId="1B86FD8A" w:rsidR="00D724CF" w:rsidRPr="005B2032" w:rsidRDefault="00D724CF" w:rsidP="00195A0D">
            <w:pPr>
              <w:pStyle w:val="tabletextleft"/>
              <w:spacing w:before="40" w:after="40"/>
              <w:jc w:val="center"/>
              <w:rPr>
                <w:rFonts w:asciiTheme="minorHAnsi" w:hAnsiTheme="minorHAnsi" w:cstheme="minorHAnsi"/>
              </w:rPr>
            </w:pPr>
            <w:r>
              <w:rPr>
                <w:szCs w:val="18"/>
              </w:rPr>
              <w:t>38</w:t>
            </w:r>
            <w:r w:rsidR="00B43C0B">
              <w:rPr>
                <w:szCs w:val="18"/>
              </w:rPr>
              <w:t>.</w:t>
            </w:r>
            <w:r>
              <w:rPr>
                <w:szCs w:val="18"/>
              </w:rPr>
              <w:t>6</w:t>
            </w:r>
          </w:p>
        </w:tc>
      </w:tr>
    </w:tbl>
    <w:p w14:paraId="56FC8A52" w14:textId="77777777" w:rsidR="004C1336" w:rsidRDefault="004C1336" w:rsidP="00974100">
      <w:bookmarkStart w:id="178" w:name="_Toc448227319"/>
      <w:bookmarkStart w:id="179" w:name="_Toc479332470"/>
    </w:p>
    <w:p w14:paraId="7759030F" w14:textId="7B431153" w:rsidR="009A566A" w:rsidRPr="002A19EC" w:rsidRDefault="00102EAD" w:rsidP="002A19EC">
      <w:pPr>
        <w:pStyle w:val="Heading2"/>
        <w:numPr>
          <w:ilvl w:val="0"/>
          <w:numId w:val="0"/>
        </w:numPr>
      </w:pPr>
      <w:bookmarkStart w:id="180" w:name="_Toc100906099"/>
      <w:r w:rsidRPr="002A19EC">
        <w:lastRenderedPageBreak/>
        <w:t>Табл. 4: Консолидиран правителствен дълг</w:t>
      </w:r>
      <w:bookmarkEnd w:id="178"/>
      <w:bookmarkEnd w:id="179"/>
      <w:bookmarkEnd w:id="180"/>
    </w:p>
    <w:tbl>
      <w:tblPr>
        <w:tblStyle w:val="Style191"/>
        <w:tblW w:w="9064"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top w:w="57" w:type="dxa"/>
          <w:left w:w="85" w:type="dxa"/>
          <w:bottom w:w="57" w:type="dxa"/>
          <w:right w:w="85" w:type="dxa"/>
        </w:tblCellMar>
        <w:tblLook w:val="0000" w:firstRow="0" w:lastRow="0" w:firstColumn="0" w:lastColumn="0" w:noHBand="0" w:noVBand="0"/>
      </w:tblPr>
      <w:tblGrid>
        <w:gridCol w:w="3227"/>
        <w:gridCol w:w="765"/>
        <w:gridCol w:w="1021"/>
        <w:gridCol w:w="1021"/>
        <w:gridCol w:w="1021"/>
        <w:gridCol w:w="1021"/>
        <w:gridCol w:w="988"/>
      </w:tblGrid>
      <w:tr w:rsidR="005B2032" w:rsidRPr="00974100" w14:paraId="150CFEE3" w14:textId="6ED17766" w:rsidTr="00C2491D">
        <w:trPr>
          <w:trHeight w:val="380"/>
        </w:trPr>
        <w:tc>
          <w:tcPr>
            <w:tcW w:w="3227" w:type="dxa"/>
            <w:shd w:val="clear" w:color="auto" w:fill="D7D4F1"/>
          </w:tcPr>
          <w:p w14:paraId="2CD75EF9" w14:textId="77777777" w:rsidR="00CE44DB" w:rsidRPr="00974100" w:rsidRDefault="00CE44DB" w:rsidP="00195A0D">
            <w:pPr>
              <w:pStyle w:val="tabletextleft"/>
              <w:spacing w:before="40" w:after="40"/>
              <w:rPr>
                <w:rFonts w:asciiTheme="minorHAnsi" w:hAnsiTheme="minorHAnsi" w:cstheme="minorHAnsi"/>
                <w:b/>
                <w:szCs w:val="18"/>
              </w:rPr>
            </w:pPr>
            <w:r w:rsidRPr="00974100">
              <w:rPr>
                <w:rFonts w:asciiTheme="minorHAnsi" w:hAnsiTheme="minorHAnsi" w:cstheme="minorHAnsi"/>
                <w:b/>
                <w:szCs w:val="18"/>
              </w:rPr>
              <w:t>% от БВП</w:t>
            </w:r>
          </w:p>
        </w:tc>
        <w:tc>
          <w:tcPr>
            <w:tcW w:w="765" w:type="dxa"/>
            <w:shd w:val="clear" w:color="auto" w:fill="D7D4F1"/>
          </w:tcPr>
          <w:p w14:paraId="5D633F10" w14:textId="77777777" w:rsidR="00CE44DB" w:rsidRPr="00974100" w:rsidRDefault="00CE44DB" w:rsidP="00195A0D">
            <w:pPr>
              <w:pStyle w:val="tabletextleft"/>
              <w:spacing w:before="40" w:after="40"/>
              <w:rPr>
                <w:rFonts w:asciiTheme="minorHAnsi" w:hAnsiTheme="minorHAnsi" w:cstheme="minorHAnsi"/>
                <w:b/>
                <w:szCs w:val="18"/>
              </w:rPr>
            </w:pPr>
            <w:r w:rsidRPr="00974100">
              <w:rPr>
                <w:rFonts w:asciiTheme="minorHAnsi" w:hAnsiTheme="minorHAnsi" w:cstheme="minorHAnsi"/>
                <w:b/>
                <w:szCs w:val="18"/>
              </w:rPr>
              <w:t>Код по ЕСС</w:t>
            </w:r>
          </w:p>
        </w:tc>
        <w:tc>
          <w:tcPr>
            <w:tcW w:w="1021" w:type="dxa"/>
            <w:shd w:val="clear" w:color="auto" w:fill="D7D4F1"/>
            <w:vAlign w:val="center"/>
          </w:tcPr>
          <w:p w14:paraId="43772307" w14:textId="1E79BF7E" w:rsidR="00CE44DB" w:rsidRPr="00974100" w:rsidRDefault="00CE44DB" w:rsidP="00195A0D">
            <w:pPr>
              <w:pStyle w:val="tabletextleft"/>
              <w:spacing w:before="40" w:after="40"/>
              <w:jc w:val="right"/>
              <w:rPr>
                <w:rFonts w:asciiTheme="minorHAnsi" w:hAnsiTheme="minorHAnsi" w:cstheme="minorHAnsi"/>
                <w:b/>
                <w:szCs w:val="18"/>
              </w:rPr>
            </w:pPr>
            <w:r w:rsidRPr="00974100">
              <w:rPr>
                <w:rFonts w:asciiTheme="minorHAnsi" w:hAnsiTheme="minorHAnsi" w:cstheme="minorHAnsi"/>
                <w:b/>
                <w:szCs w:val="18"/>
              </w:rPr>
              <w:t>2021</w:t>
            </w:r>
          </w:p>
        </w:tc>
        <w:tc>
          <w:tcPr>
            <w:tcW w:w="1021" w:type="dxa"/>
            <w:shd w:val="clear" w:color="auto" w:fill="D7D4F1"/>
            <w:vAlign w:val="center"/>
          </w:tcPr>
          <w:p w14:paraId="4C8791B1" w14:textId="75EE64EE" w:rsidR="00CE44DB" w:rsidRPr="00974100" w:rsidRDefault="00CE44DB" w:rsidP="00195A0D">
            <w:pPr>
              <w:pStyle w:val="tabletextleft"/>
              <w:spacing w:before="40" w:after="40"/>
              <w:jc w:val="right"/>
              <w:rPr>
                <w:rFonts w:asciiTheme="minorHAnsi" w:hAnsiTheme="minorHAnsi" w:cstheme="minorHAnsi"/>
                <w:b/>
                <w:szCs w:val="18"/>
              </w:rPr>
            </w:pPr>
            <w:r w:rsidRPr="00974100">
              <w:rPr>
                <w:rFonts w:asciiTheme="minorHAnsi" w:hAnsiTheme="minorHAnsi" w:cstheme="minorHAnsi"/>
                <w:b/>
                <w:szCs w:val="18"/>
              </w:rPr>
              <w:t>2022</w:t>
            </w:r>
          </w:p>
        </w:tc>
        <w:tc>
          <w:tcPr>
            <w:tcW w:w="1021" w:type="dxa"/>
            <w:shd w:val="clear" w:color="auto" w:fill="D7D4F1"/>
            <w:vAlign w:val="center"/>
          </w:tcPr>
          <w:p w14:paraId="07ED1E74" w14:textId="65255EB6" w:rsidR="00CE44DB" w:rsidRPr="00974100" w:rsidRDefault="00CE44DB" w:rsidP="00195A0D">
            <w:pPr>
              <w:pStyle w:val="tabletextleft"/>
              <w:spacing w:before="40" w:after="40"/>
              <w:jc w:val="right"/>
              <w:rPr>
                <w:rFonts w:asciiTheme="minorHAnsi" w:hAnsiTheme="minorHAnsi" w:cstheme="minorHAnsi"/>
                <w:b/>
                <w:szCs w:val="18"/>
              </w:rPr>
            </w:pPr>
            <w:r w:rsidRPr="00974100">
              <w:rPr>
                <w:rFonts w:asciiTheme="minorHAnsi" w:hAnsiTheme="minorHAnsi" w:cstheme="minorHAnsi"/>
                <w:b/>
                <w:szCs w:val="18"/>
              </w:rPr>
              <w:t>2023</w:t>
            </w:r>
          </w:p>
        </w:tc>
        <w:tc>
          <w:tcPr>
            <w:tcW w:w="1021" w:type="dxa"/>
            <w:shd w:val="clear" w:color="auto" w:fill="D7D4F1"/>
            <w:vAlign w:val="center"/>
          </w:tcPr>
          <w:p w14:paraId="2EB5F1E1" w14:textId="14F281F0" w:rsidR="00CE44DB" w:rsidRPr="00974100" w:rsidRDefault="00CE44DB" w:rsidP="00195A0D">
            <w:pPr>
              <w:pStyle w:val="tabletextleft"/>
              <w:spacing w:before="40" w:after="40"/>
              <w:jc w:val="right"/>
              <w:rPr>
                <w:rFonts w:asciiTheme="minorHAnsi" w:hAnsiTheme="minorHAnsi" w:cstheme="minorHAnsi"/>
                <w:b/>
                <w:szCs w:val="18"/>
              </w:rPr>
            </w:pPr>
            <w:r w:rsidRPr="00974100">
              <w:rPr>
                <w:rFonts w:asciiTheme="minorHAnsi" w:hAnsiTheme="minorHAnsi" w:cstheme="minorHAnsi"/>
                <w:b/>
                <w:szCs w:val="18"/>
              </w:rPr>
              <w:t>2024</w:t>
            </w:r>
          </w:p>
        </w:tc>
        <w:tc>
          <w:tcPr>
            <w:tcW w:w="988" w:type="dxa"/>
            <w:shd w:val="clear" w:color="auto" w:fill="D7D4F1"/>
            <w:vAlign w:val="center"/>
          </w:tcPr>
          <w:p w14:paraId="74DE8082" w14:textId="73AB08C6" w:rsidR="00CE44DB" w:rsidRPr="00974100" w:rsidRDefault="00CE44DB" w:rsidP="00195A0D">
            <w:pPr>
              <w:pStyle w:val="tabletextleft"/>
              <w:spacing w:before="40" w:after="40"/>
              <w:jc w:val="right"/>
              <w:rPr>
                <w:rFonts w:asciiTheme="minorHAnsi" w:hAnsiTheme="minorHAnsi" w:cstheme="minorHAnsi"/>
                <w:b/>
                <w:szCs w:val="18"/>
              </w:rPr>
            </w:pPr>
            <w:r w:rsidRPr="00974100">
              <w:rPr>
                <w:rFonts w:asciiTheme="minorHAnsi" w:hAnsiTheme="minorHAnsi" w:cstheme="minorHAnsi"/>
                <w:b/>
                <w:szCs w:val="18"/>
              </w:rPr>
              <w:t>2025</w:t>
            </w:r>
          </w:p>
        </w:tc>
      </w:tr>
      <w:tr w:rsidR="005B2032" w:rsidRPr="00974100" w14:paraId="178CA114" w14:textId="16F4F031" w:rsidTr="00C2491D">
        <w:trPr>
          <w:trHeight w:val="113"/>
        </w:trPr>
        <w:tc>
          <w:tcPr>
            <w:tcW w:w="3227" w:type="dxa"/>
          </w:tcPr>
          <w:p w14:paraId="2E9AFC25"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1. Брутен дълг</w:t>
            </w:r>
            <w:r w:rsidRPr="00974100">
              <w:rPr>
                <w:rStyle w:val="FootnoteReference"/>
                <w:rFonts w:asciiTheme="minorHAnsi" w:hAnsiTheme="minorHAnsi" w:cstheme="minorHAnsi"/>
                <w:szCs w:val="18"/>
              </w:rPr>
              <w:footnoteReference w:id="42"/>
            </w:r>
          </w:p>
        </w:tc>
        <w:tc>
          <w:tcPr>
            <w:tcW w:w="765" w:type="dxa"/>
          </w:tcPr>
          <w:p w14:paraId="0AC7DB54"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tcPr>
          <w:p w14:paraId="3035EEB9" w14:textId="215047F9"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25</w:t>
            </w:r>
            <w:r w:rsidR="000B3666" w:rsidRPr="00974100">
              <w:rPr>
                <w:rFonts w:asciiTheme="minorHAnsi" w:hAnsiTheme="minorHAnsi" w:cstheme="minorHAnsi"/>
                <w:szCs w:val="18"/>
              </w:rPr>
              <w:t>.</w:t>
            </w:r>
            <w:r w:rsidRPr="00974100">
              <w:rPr>
                <w:rFonts w:asciiTheme="minorHAnsi" w:hAnsiTheme="minorHAnsi" w:cstheme="minorHAnsi"/>
                <w:szCs w:val="18"/>
              </w:rPr>
              <w:t>1</w:t>
            </w:r>
          </w:p>
        </w:tc>
        <w:tc>
          <w:tcPr>
            <w:tcW w:w="1021" w:type="dxa"/>
          </w:tcPr>
          <w:p w14:paraId="2013F471" w14:textId="00022CDB"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25</w:t>
            </w:r>
            <w:r w:rsidR="000B3666" w:rsidRPr="00974100">
              <w:rPr>
                <w:rFonts w:asciiTheme="minorHAnsi" w:hAnsiTheme="minorHAnsi" w:cstheme="minorHAnsi"/>
                <w:szCs w:val="18"/>
              </w:rPr>
              <w:t>.</w:t>
            </w:r>
            <w:r w:rsidRPr="00974100">
              <w:rPr>
                <w:rFonts w:asciiTheme="minorHAnsi" w:hAnsiTheme="minorHAnsi" w:cstheme="minorHAnsi"/>
                <w:szCs w:val="18"/>
              </w:rPr>
              <w:t>5</w:t>
            </w:r>
          </w:p>
        </w:tc>
        <w:tc>
          <w:tcPr>
            <w:tcW w:w="1021" w:type="dxa"/>
          </w:tcPr>
          <w:p w14:paraId="38956699" w14:textId="46772B7A"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27</w:t>
            </w:r>
            <w:r w:rsidR="000B3666" w:rsidRPr="00974100">
              <w:rPr>
                <w:rFonts w:asciiTheme="minorHAnsi" w:hAnsiTheme="minorHAnsi" w:cstheme="minorHAnsi"/>
                <w:szCs w:val="18"/>
              </w:rPr>
              <w:t>.</w:t>
            </w:r>
            <w:r w:rsidRPr="00974100">
              <w:rPr>
                <w:rFonts w:asciiTheme="minorHAnsi" w:hAnsiTheme="minorHAnsi" w:cstheme="minorHAnsi"/>
                <w:szCs w:val="18"/>
              </w:rPr>
              <w:t>7</w:t>
            </w:r>
          </w:p>
        </w:tc>
        <w:tc>
          <w:tcPr>
            <w:tcW w:w="1021" w:type="dxa"/>
          </w:tcPr>
          <w:p w14:paraId="568DC35D" w14:textId="618CAC5F"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29</w:t>
            </w:r>
            <w:r w:rsidR="000B3666" w:rsidRPr="00974100">
              <w:rPr>
                <w:rFonts w:asciiTheme="minorHAnsi" w:hAnsiTheme="minorHAnsi" w:cstheme="minorHAnsi"/>
                <w:szCs w:val="18"/>
              </w:rPr>
              <w:t>.</w:t>
            </w:r>
            <w:r w:rsidRPr="00974100">
              <w:rPr>
                <w:rFonts w:asciiTheme="minorHAnsi" w:hAnsiTheme="minorHAnsi" w:cstheme="minorHAnsi"/>
                <w:szCs w:val="18"/>
              </w:rPr>
              <w:t>1</w:t>
            </w:r>
          </w:p>
        </w:tc>
        <w:tc>
          <w:tcPr>
            <w:tcW w:w="988" w:type="dxa"/>
          </w:tcPr>
          <w:p w14:paraId="4DAF501B" w14:textId="0AD515D4"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30</w:t>
            </w:r>
            <w:r w:rsidR="000B3666" w:rsidRPr="00974100">
              <w:rPr>
                <w:rFonts w:asciiTheme="minorHAnsi" w:hAnsiTheme="minorHAnsi" w:cstheme="minorHAnsi"/>
                <w:szCs w:val="18"/>
              </w:rPr>
              <w:t>.</w:t>
            </w:r>
            <w:r w:rsidRPr="00974100">
              <w:rPr>
                <w:rFonts w:asciiTheme="minorHAnsi" w:hAnsiTheme="minorHAnsi" w:cstheme="minorHAnsi"/>
                <w:szCs w:val="18"/>
              </w:rPr>
              <w:t>4</w:t>
            </w:r>
          </w:p>
        </w:tc>
      </w:tr>
      <w:tr w:rsidR="005B2032" w:rsidRPr="00974100" w14:paraId="6068C825" w14:textId="59A10083" w:rsidTr="00C2491D">
        <w:trPr>
          <w:trHeight w:val="113"/>
        </w:trPr>
        <w:tc>
          <w:tcPr>
            <w:tcW w:w="3227" w:type="dxa"/>
          </w:tcPr>
          <w:p w14:paraId="090C2B06"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xml:space="preserve">2. Изменение в нивото на брутния дълг </w:t>
            </w:r>
          </w:p>
        </w:tc>
        <w:tc>
          <w:tcPr>
            <w:tcW w:w="765" w:type="dxa"/>
          </w:tcPr>
          <w:p w14:paraId="32DB45D8"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bottom"/>
          </w:tcPr>
          <w:p w14:paraId="21133FF2" w14:textId="7A977B12"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4</w:t>
            </w:r>
          </w:p>
        </w:tc>
        <w:tc>
          <w:tcPr>
            <w:tcW w:w="1021" w:type="dxa"/>
            <w:vAlign w:val="bottom"/>
          </w:tcPr>
          <w:p w14:paraId="7A88DD89" w14:textId="36DC6F96"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5</w:t>
            </w:r>
          </w:p>
        </w:tc>
        <w:tc>
          <w:tcPr>
            <w:tcW w:w="1021" w:type="dxa"/>
            <w:vAlign w:val="bottom"/>
          </w:tcPr>
          <w:p w14:paraId="6FA7BA91" w14:textId="7C6E5CC8"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2</w:t>
            </w:r>
          </w:p>
        </w:tc>
        <w:tc>
          <w:tcPr>
            <w:tcW w:w="1021" w:type="dxa"/>
            <w:vAlign w:val="bottom"/>
          </w:tcPr>
          <w:p w14:paraId="10AD38CD" w14:textId="5D466E9B"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1</w:t>
            </w:r>
            <w:r w:rsidR="000B3666" w:rsidRPr="00974100">
              <w:rPr>
                <w:rFonts w:asciiTheme="minorHAnsi" w:hAnsiTheme="minorHAnsi" w:cstheme="minorHAnsi"/>
                <w:szCs w:val="18"/>
              </w:rPr>
              <w:t>.</w:t>
            </w:r>
            <w:r w:rsidRPr="00974100">
              <w:rPr>
                <w:rFonts w:asciiTheme="minorHAnsi" w:hAnsiTheme="minorHAnsi" w:cstheme="minorHAnsi"/>
                <w:szCs w:val="18"/>
              </w:rPr>
              <w:t>3</w:t>
            </w:r>
          </w:p>
        </w:tc>
        <w:tc>
          <w:tcPr>
            <w:tcW w:w="988" w:type="dxa"/>
            <w:vAlign w:val="bottom"/>
          </w:tcPr>
          <w:p w14:paraId="109D803A" w14:textId="4D00B445"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1</w:t>
            </w:r>
            <w:r w:rsidR="000B3666" w:rsidRPr="00974100">
              <w:rPr>
                <w:rFonts w:asciiTheme="minorHAnsi" w:hAnsiTheme="minorHAnsi" w:cstheme="minorHAnsi"/>
                <w:szCs w:val="18"/>
              </w:rPr>
              <w:t>.</w:t>
            </w:r>
            <w:r w:rsidRPr="00974100">
              <w:rPr>
                <w:rFonts w:asciiTheme="minorHAnsi" w:hAnsiTheme="minorHAnsi" w:cstheme="minorHAnsi"/>
                <w:szCs w:val="18"/>
              </w:rPr>
              <w:t>3</w:t>
            </w:r>
          </w:p>
        </w:tc>
      </w:tr>
      <w:tr w:rsidR="005B2032" w:rsidRPr="00974100" w14:paraId="66EE1108" w14:textId="054CF45C" w:rsidTr="00C2491D">
        <w:trPr>
          <w:trHeight w:val="113"/>
        </w:trPr>
        <w:tc>
          <w:tcPr>
            <w:tcW w:w="3227" w:type="dxa"/>
          </w:tcPr>
          <w:p w14:paraId="2ED30BB5"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3. Първичен баланс</w:t>
            </w:r>
            <w:r w:rsidRPr="00974100">
              <w:rPr>
                <w:rStyle w:val="FootnoteReference"/>
                <w:rFonts w:asciiTheme="minorHAnsi" w:hAnsiTheme="minorHAnsi" w:cstheme="minorHAnsi"/>
                <w:szCs w:val="18"/>
              </w:rPr>
              <w:footnoteReference w:id="43"/>
            </w:r>
          </w:p>
        </w:tc>
        <w:tc>
          <w:tcPr>
            <w:tcW w:w="765" w:type="dxa"/>
          </w:tcPr>
          <w:p w14:paraId="7174F78B"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2F4972B4"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2FC229C0"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46C873BB"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130CA3A1" w14:textId="77777777" w:rsidR="00760E26" w:rsidRPr="00974100" w:rsidRDefault="00760E26" w:rsidP="00195A0D">
            <w:pPr>
              <w:pStyle w:val="tabletextleft"/>
              <w:spacing w:before="40" w:after="40"/>
              <w:rPr>
                <w:rFonts w:asciiTheme="minorHAnsi" w:hAnsiTheme="minorHAnsi" w:cstheme="minorHAnsi"/>
                <w:szCs w:val="18"/>
              </w:rPr>
            </w:pPr>
          </w:p>
        </w:tc>
        <w:tc>
          <w:tcPr>
            <w:tcW w:w="988" w:type="dxa"/>
          </w:tcPr>
          <w:p w14:paraId="7447253E" w14:textId="77777777" w:rsidR="00760E26" w:rsidRPr="00974100" w:rsidRDefault="00760E26" w:rsidP="00195A0D">
            <w:pPr>
              <w:pStyle w:val="tabletextleft"/>
              <w:spacing w:before="40" w:after="40"/>
              <w:rPr>
                <w:rFonts w:asciiTheme="minorHAnsi" w:hAnsiTheme="minorHAnsi" w:cstheme="minorHAnsi"/>
                <w:szCs w:val="18"/>
              </w:rPr>
            </w:pPr>
          </w:p>
        </w:tc>
      </w:tr>
      <w:tr w:rsidR="00040D6E" w:rsidRPr="00974100" w14:paraId="0B4F0371" w14:textId="686CA1B9" w:rsidTr="00C2491D">
        <w:trPr>
          <w:trHeight w:val="113"/>
        </w:trPr>
        <w:tc>
          <w:tcPr>
            <w:tcW w:w="3227" w:type="dxa"/>
          </w:tcPr>
          <w:p w14:paraId="56104CED" w14:textId="77777777" w:rsidR="00040D6E" w:rsidRPr="00974100" w:rsidRDefault="00040D6E"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4. Лихвени разходи</w:t>
            </w:r>
            <w:r w:rsidRPr="00974100">
              <w:rPr>
                <w:rStyle w:val="FootnoteReference"/>
                <w:rFonts w:asciiTheme="minorHAnsi" w:hAnsiTheme="minorHAnsi" w:cstheme="minorHAnsi"/>
                <w:szCs w:val="18"/>
              </w:rPr>
              <w:footnoteReference w:id="44"/>
            </w:r>
          </w:p>
        </w:tc>
        <w:tc>
          <w:tcPr>
            <w:tcW w:w="765" w:type="dxa"/>
          </w:tcPr>
          <w:p w14:paraId="4A6404F3" w14:textId="77777777" w:rsidR="00040D6E" w:rsidRPr="00974100" w:rsidRDefault="00040D6E"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EDP D.41</w:t>
            </w:r>
          </w:p>
        </w:tc>
        <w:tc>
          <w:tcPr>
            <w:tcW w:w="1021" w:type="dxa"/>
          </w:tcPr>
          <w:p w14:paraId="7A1ECAD8" w14:textId="1D1861E9" w:rsidR="00040D6E" w:rsidRPr="00974100" w:rsidRDefault="00040D6E" w:rsidP="00195A0D">
            <w:pPr>
              <w:pStyle w:val="tabletextleft"/>
              <w:spacing w:before="40" w:after="40"/>
              <w:jc w:val="right"/>
              <w:rPr>
                <w:rFonts w:asciiTheme="minorHAnsi" w:hAnsiTheme="minorHAnsi" w:cstheme="minorHAnsi"/>
                <w:szCs w:val="18"/>
              </w:rPr>
            </w:pPr>
            <w:r w:rsidRPr="00040D6E">
              <w:rPr>
                <w:rFonts w:asciiTheme="minorHAnsi" w:hAnsiTheme="minorHAnsi" w:cstheme="minorHAnsi"/>
                <w:szCs w:val="18"/>
              </w:rPr>
              <w:t>0,5</w:t>
            </w:r>
          </w:p>
        </w:tc>
        <w:tc>
          <w:tcPr>
            <w:tcW w:w="1021" w:type="dxa"/>
          </w:tcPr>
          <w:p w14:paraId="0A58C83E" w14:textId="4B70F99E" w:rsidR="00040D6E" w:rsidRPr="00974100" w:rsidRDefault="00040D6E" w:rsidP="00195A0D">
            <w:pPr>
              <w:pStyle w:val="tabletextleft"/>
              <w:spacing w:before="40" w:after="40"/>
              <w:jc w:val="right"/>
              <w:rPr>
                <w:rFonts w:asciiTheme="minorHAnsi" w:hAnsiTheme="minorHAnsi" w:cstheme="minorHAnsi"/>
                <w:szCs w:val="18"/>
              </w:rPr>
            </w:pPr>
            <w:r w:rsidRPr="00040D6E">
              <w:rPr>
                <w:rFonts w:asciiTheme="minorHAnsi" w:hAnsiTheme="minorHAnsi" w:cstheme="minorHAnsi"/>
                <w:szCs w:val="18"/>
              </w:rPr>
              <w:t>0,5</w:t>
            </w:r>
          </w:p>
        </w:tc>
        <w:tc>
          <w:tcPr>
            <w:tcW w:w="1021" w:type="dxa"/>
          </w:tcPr>
          <w:p w14:paraId="0B06AB19" w14:textId="4824F14C" w:rsidR="00040D6E" w:rsidRPr="00974100" w:rsidRDefault="00040D6E" w:rsidP="00195A0D">
            <w:pPr>
              <w:pStyle w:val="tabletextleft"/>
              <w:spacing w:before="40" w:after="40"/>
              <w:jc w:val="right"/>
              <w:rPr>
                <w:rFonts w:asciiTheme="minorHAnsi" w:hAnsiTheme="minorHAnsi" w:cstheme="minorHAnsi"/>
                <w:szCs w:val="18"/>
              </w:rPr>
            </w:pPr>
            <w:r w:rsidRPr="00040D6E">
              <w:rPr>
                <w:rFonts w:asciiTheme="minorHAnsi" w:hAnsiTheme="minorHAnsi" w:cstheme="minorHAnsi"/>
                <w:szCs w:val="18"/>
              </w:rPr>
              <w:t>0,6</w:t>
            </w:r>
          </w:p>
        </w:tc>
        <w:tc>
          <w:tcPr>
            <w:tcW w:w="1021" w:type="dxa"/>
          </w:tcPr>
          <w:p w14:paraId="19DE96E1" w14:textId="4C49D4B7" w:rsidR="00040D6E" w:rsidRPr="00974100" w:rsidRDefault="00040D6E" w:rsidP="00195A0D">
            <w:pPr>
              <w:pStyle w:val="tabletextleft"/>
              <w:spacing w:before="40" w:after="40"/>
              <w:jc w:val="right"/>
              <w:rPr>
                <w:rFonts w:asciiTheme="minorHAnsi" w:hAnsiTheme="minorHAnsi" w:cstheme="minorHAnsi"/>
                <w:szCs w:val="18"/>
              </w:rPr>
            </w:pPr>
            <w:r w:rsidRPr="00040D6E">
              <w:rPr>
                <w:rFonts w:asciiTheme="minorHAnsi" w:hAnsiTheme="minorHAnsi" w:cstheme="minorHAnsi"/>
                <w:szCs w:val="18"/>
              </w:rPr>
              <w:t>0,8</w:t>
            </w:r>
          </w:p>
        </w:tc>
        <w:tc>
          <w:tcPr>
            <w:tcW w:w="988" w:type="dxa"/>
          </w:tcPr>
          <w:p w14:paraId="2A852D1F" w14:textId="47723DBB" w:rsidR="00040D6E" w:rsidRPr="00974100" w:rsidRDefault="00040D6E" w:rsidP="00195A0D">
            <w:pPr>
              <w:pStyle w:val="tabletextleft"/>
              <w:spacing w:before="40" w:after="40"/>
              <w:jc w:val="right"/>
              <w:rPr>
                <w:rFonts w:asciiTheme="minorHAnsi" w:hAnsiTheme="minorHAnsi" w:cstheme="minorHAnsi"/>
                <w:szCs w:val="18"/>
              </w:rPr>
            </w:pPr>
            <w:r w:rsidRPr="00040D6E">
              <w:rPr>
                <w:rFonts w:asciiTheme="minorHAnsi" w:hAnsiTheme="minorHAnsi" w:cstheme="minorHAnsi"/>
                <w:szCs w:val="18"/>
              </w:rPr>
              <w:t>0,8</w:t>
            </w:r>
          </w:p>
        </w:tc>
      </w:tr>
      <w:tr w:rsidR="005B2032" w:rsidRPr="00974100" w14:paraId="31F08A60" w14:textId="5220BBDA" w:rsidTr="00C2491D">
        <w:trPr>
          <w:trHeight w:val="113"/>
        </w:trPr>
        <w:tc>
          <w:tcPr>
            <w:tcW w:w="3227" w:type="dxa"/>
          </w:tcPr>
          <w:p w14:paraId="7143C763"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5. Корекция наличности</w:t>
            </w:r>
          </w:p>
        </w:tc>
        <w:tc>
          <w:tcPr>
            <w:tcW w:w="765" w:type="dxa"/>
          </w:tcPr>
          <w:p w14:paraId="504509CA"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039568B9"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15DF289F"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2D262412"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2B4284E2"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988" w:type="dxa"/>
          </w:tcPr>
          <w:p w14:paraId="4CD37FDF" w14:textId="77777777" w:rsidR="00760E26" w:rsidRPr="00974100" w:rsidRDefault="00760E26" w:rsidP="00195A0D">
            <w:pPr>
              <w:pStyle w:val="tabletextleft"/>
              <w:spacing w:before="40" w:after="40"/>
              <w:jc w:val="right"/>
              <w:rPr>
                <w:rFonts w:asciiTheme="minorHAnsi" w:hAnsiTheme="minorHAnsi" w:cstheme="minorHAnsi"/>
                <w:szCs w:val="18"/>
              </w:rPr>
            </w:pPr>
          </w:p>
        </w:tc>
      </w:tr>
      <w:tr w:rsidR="005B2032" w:rsidRPr="00974100" w14:paraId="746FE0FE" w14:textId="68DD7A81" w:rsidTr="00C2491D">
        <w:trPr>
          <w:trHeight w:val="113"/>
        </w:trPr>
        <w:tc>
          <w:tcPr>
            <w:tcW w:w="3227" w:type="dxa"/>
          </w:tcPr>
          <w:p w14:paraId="73F94828"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в това число:</w:t>
            </w:r>
          </w:p>
        </w:tc>
        <w:tc>
          <w:tcPr>
            <w:tcW w:w="765" w:type="dxa"/>
          </w:tcPr>
          <w:p w14:paraId="3D522B14"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144B848C"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3028A003"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218F72ED"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1738ADCA"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988" w:type="dxa"/>
          </w:tcPr>
          <w:p w14:paraId="13B1A7AB" w14:textId="77777777" w:rsidR="00760E26" w:rsidRPr="00974100" w:rsidRDefault="00760E26" w:rsidP="00195A0D">
            <w:pPr>
              <w:pStyle w:val="tabletextleft"/>
              <w:spacing w:before="40" w:after="40"/>
              <w:jc w:val="right"/>
              <w:rPr>
                <w:rFonts w:asciiTheme="minorHAnsi" w:hAnsiTheme="minorHAnsi" w:cstheme="minorHAnsi"/>
                <w:szCs w:val="18"/>
              </w:rPr>
            </w:pPr>
          </w:p>
        </w:tc>
      </w:tr>
      <w:tr w:rsidR="005B2032" w:rsidRPr="00974100" w14:paraId="41C1E92B" w14:textId="217A07D1" w:rsidTr="00C2491D">
        <w:trPr>
          <w:trHeight w:val="113"/>
        </w:trPr>
        <w:tc>
          <w:tcPr>
            <w:tcW w:w="3227" w:type="dxa"/>
          </w:tcPr>
          <w:p w14:paraId="03175C79"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Разлики между пари в брой и натрупвания</w:t>
            </w:r>
            <w:r w:rsidRPr="00974100">
              <w:rPr>
                <w:rStyle w:val="FootnoteReference"/>
                <w:rFonts w:asciiTheme="minorHAnsi" w:hAnsiTheme="minorHAnsi" w:cstheme="minorHAnsi"/>
                <w:szCs w:val="18"/>
              </w:rPr>
              <w:footnoteReference w:id="45"/>
            </w:r>
          </w:p>
        </w:tc>
        <w:tc>
          <w:tcPr>
            <w:tcW w:w="765" w:type="dxa"/>
          </w:tcPr>
          <w:p w14:paraId="32434C86"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5ADB7DDB"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31782ED9"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6AAA1112"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195DE25E"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988" w:type="dxa"/>
          </w:tcPr>
          <w:p w14:paraId="618A9558" w14:textId="77777777" w:rsidR="00760E26" w:rsidRPr="00974100" w:rsidRDefault="00760E26" w:rsidP="00195A0D">
            <w:pPr>
              <w:pStyle w:val="tabletextleft"/>
              <w:spacing w:before="40" w:after="40"/>
              <w:jc w:val="right"/>
              <w:rPr>
                <w:rFonts w:asciiTheme="minorHAnsi" w:hAnsiTheme="minorHAnsi" w:cstheme="minorHAnsi"/>
                <w:szCs w:val="18"/>
              </w:rPr>
            </w:pPr>
          </w:p>
        </w:tc>
      </w:tr>
      <w:tr w:rsidR="005B2032" w:rsidRPr="00974100" w14:paraId="3D36E1B6" w14:textId="1C90488F" w:rsidTr="00C2491D">
        <w:trPr>
          <w:trHeight w:val="113"/>
        </w:trPr>
        <w:tc>
          <w:tcPr>
            <w:tcW w:w="3227" w:type="dxa"/>
          </w:tcPr>
          <w:p w14:paraId="471AF93A"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xml:space="preserve">Нетно натрупване на финансови </w:t>
            </w:r>
            <w:r w:rsidRPr="00974100">
              <w:rPr>
                <w:rFonts w:asciiTheme="minorHAnsi" w:hAnsiTheme="minorHAnsi" w:cstheme="minorHAnsi"/>
                <w:szCs w:val="18"/>
              </w:rPr>
              <w:br/>
              <w:t>активи</w:t>
            </w:r>
            <w:r w:rsidRPr="00974100">
              <w:rPr>
                <w:rStyle w:val="FootnoteReference"/>
                <w:rFonts w:asciiTheme="minorHAnsi" w:hAnsiTheme="minorHAnsi" w:cstheme="minorHAnsi"/>
                <w:szCs w:val="18"/>
              </w:rPr>
              <w:footnoteReference w:id="46"/>
            </w:r>
          </w:p>
        </w:tc>
        <w:tc>
          <w:tcPr>
            <w:tcW w:w="765" w:type="dxa"/>
          </w:tcPr>
          <w:p w14:paraId="70D80168"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29BADCBB"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00B2C5C8"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655A46F2"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5360A215"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988" w:type="dxa"/>
          </w:tcPr>
          <w:p w14:paraId="663C4587" w14:textId="77777777" w:rsidR="00760E26" w:rsidRPr="00974100" w:rsidRDefault="00760E26" w:rsidP="00195A0D">
            <w:pPr>
              <w:pStyle w:val="tabletextleft"/>
              <w:spacing w:before="40" w:after="40"/>
              <w:jc w:val="right"/>
              <w:rPr>
                <w:rFonts w:asciiTheme="minorHAnsi" w:hAnsiTheme="minorHAnsi" w:cstheme="minorHAnsi"/>
                <w:szCs w:val="18"/>
              </w:rPr>
            </w:pPr>
          </w:p>
        </w:tc>
      </w:tr>
      <w:tr w:rsidR="005B2032" w:rsidRPr="00974100" w14:paraId="07E9312A" w14:textId="314432FF" w:rsidTr="00C2491D">
        <w:trPr>
          <w:trHeight w:val="113"/>
        </w:trPr>
        <w:tc>
          <w:tcPr>
            <w:tcW w:w="3227" w:type="dxa"/>
          </w:tcPr>
          <w:p w14:paraId="7D7DD409"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в това число: приходи от приватизация</w:t>
            </w:r>
          </w:p>
        </w:tc>
        <w:tc>
          <w:tcPr>
            <w:tcW w:w="765" w:type="dxa"/>
          </w:tcPr>
          <w:p w14:paraId="5F3C6410"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2AD7B153"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2FBA8C21"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229E92B3"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386EA628"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988" w:type="dxa"/>
          </w:tcPr>
          <w:p w14:paraId="20652A25" w14:textId="77777777" w:rsidR="00760E26" w:rsidRPr="00974100" w:rsidRDefault="00760E26" w:rsidP="00195A0D">
            <w:pPr>
              <w:pStyle w:val="tabletextleft"/>
              <w:spacing w:before="40" w:after="40"/>
              <w:jc w:val="right"/>
              <w:rPr>
                <w:rFonts w:asciiTheme="minorHAnsi" w:hAnsiTheme="minorHAnsi" w:cstheme="minorHAnsi"/>
                <w:szCs w:val="18"/>
              </w:rPr>
            </w:pPr>
          </w:p>
        </w:tc>
      </w:tr>
      <w:tr w:rsidR="005B2032" w:rsidRPr="00974100" w14:paraId="12390022" w14:textId="640E882F" w:rsidTr="00C2491D">
        <w:trPr>
          <w:trHeight w:val="113"/>
        </w:trPr>
        <w:tc>
          <w:tcPr>
            <w:tcW w:w="3227" w:type="dxa"/>
          </w:tcPr>
          <w:p w14:paraId="180FC990"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Оценъчни ефекти и други</w:t>
            </w:r>
            <w:r w:rsidRPr="00974100">
              <w:rPr>
                <w:rStyle w:val="FootnoteReference"/>
                <w:rFonts w:asciiTheme="minorHAnsi" w:hAnsiTheme="minorHAnsi" w:cstheme="minorHAnsi"/>
                <w:szCs w:val="18"/>
              </w:rPr>
              <w:footnoteReference w:id="47"/>
            </w:r>
          </w:p>
        </w:tc>
        <w:tc>
          <w:tcPr>
            <w:tcW w:w="765" w:type="dxa"/>
          </w:tcPr>
          <w:p w14:paraId="30B460B8"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12EF50A8"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01F60065"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5579E17B"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1021" w:type="dxa"/>
            <w:vAlign w:val="center"/>
          </w:tcPr>
          <w:p w14:paraId="3FCC0DC4" w14:textId="77777777" w:rsidR="00760E26" w:rsidRPr="00974100" w:rsidRDefault="00760E26" w:rsidP="00195A0D">
            <w:pPr>
              <w:pStyle w:val="tabletextleft"/>
              <w:spacing w:before="40" w:after="40"/>
              <w:jc w:val="right"/>
              <w:rPr>
                <w:rFonts w:asciiTheme="minorHAnsi" w:hAnsiTheme="minorHAnsi" w:cstheme="minorHAnsi"/>
                <w:szCs w:val="18"/>
              </w:rPr>
            </w:pPr>
          </w:p>
        </w:tc>
        <w:tc>
          <w:tcPr>
            <w:tcW w:w="988" w:type="dxa"/>
          </w:tcPr>
          <w:p w14:paraId="1C8B5C80" w14:textId="77777777" w:rsidR="00760E26" w:rsidRPr="00974100" w:rsidRDefault="00760E26" w:rsidP="00195A0D">
            <w:pPr>
              <w:pStyle w:val="tabletextleft"/>
              <w:spacing w:before="40" w:after="40"/>
              <w:jc w:val="right"/>
              <w:rPr>
                <w:rFonts w:asciiTheme="minorHAnsi" w:hAnsiTheme="minorHAnsi" w:cstheme="minorHAnsi"/>
                <w:szCs w:val="18"/>
              </w:rPr>
            </w:pPr>
          </w:p>
        </w:tc>
      </w:tr>
      <w:tr w:rsidR="005B2032" w:rsidRPr="00974100" w14:paraId="53506ADA" w14:textId="296863C8" w:rsidTr="00C2491D">
        <w:trPr>
          <w:trHeight w:val="113"/>
        </w:trPr>
        <w:tc>
          <w:tcPr>
            <w:tcW w:w="3227" w:type="dxa"/>
          </w:tcPr>
          <w:p w14:paraId="2FC6C95B"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Имплицитен лихвен процент върху дълга</w:t>
            </w:r>
            <w:r w:rsidRPr="00974100">
              <w:rPr>
                <w:rStyle w:val="FootnoteReference"/>
                <w:rFonts w:asciiTheme="minorHAnsi" w:hAnsiTheme="minorHAnsi" w:cstheme="minorHAnsi"/>
                <w:szCs w:val="18"/>
              </w:rPr>
              <w:footnoteReference w:id="48"/>
            </w:r>
          </w:p>
        </w:tc>
        <w:tc>
          <w:tcPr>
            <w:tcW w:w="765" w:type="dxa"/>
          </w:tcPr>
          <w:p w14:paraId="782779F4"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bottom"/>
          </w:tcPr>
          <w:p w14:paraId="1D7E73F0" w14:textId="3BCA5323"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1</w:t>
            </w:r>
          </w:p>
        </w:tc>
        <w:tc>
          <w:tcPr>
            <w:tcW w:w="1021" w:type="dxa"/>
            <w:vAlign w:val="bottom"/>
          </w:tcPr>
          <w:p w14:paraId="1732800D" w14:textId="6941F06B"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0</w:t>
            </w:r>
          </w:p>
        </w:tc>
        <w:tc>
          <w:tcPr>
            <w:tcW w:w="1021" w:type="dxa"/>
            <w:vAlign w:val="bottom"/>
          </w:tcPr>
          <w:p w14:paraId="07673F9A" w14:textId="431984C5"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6</w:t>
            </w:r>
          </w:p>
        </w:tc>
        <w:tc>
          <w:tcPr>
            <w:tcW w:w="1021" w:type="dxa"/>
            <w:vAlign w:val="bottom"/>
          </w:tcPr>
          <w:p w14:paraId="1EFFB85C" w14:textId="3C8E2DF3"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988" w:type="dxa"/>
            <w:vAlign w:val="bottom"/>
          </w:tcPr>
          <w:p w14:paraId="24C8BBDC" w14:textId="68112C5E"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8</w:t>
            </w:r>
          </w:p>
        </w:tc>
      </w:tr>
      <w:tr w:rsidR="005B2032" w:rsidRPr="00974100" w14:paraId="2BAB08E5" w14:textId="43DBB659" w:rsidTr="00C2491D">
        <w:trPr>
          <w:trHeight w:val="113"/>
        </w:trPr>
        <w:tc>
          <w:tcPr>
            <w:tcW w:w="3227" w:type="dxa"/>
          </w:tcPr>
          <w:p w14:paraId="4F200755"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6. Ликвидни финансови активи</w:t>
            </w:r>
            <w:r w:rsidRPr="00974100">
              <w:rPr>
                <w:rStyle w:val="FootnoteReference"/>
                <w:rFonts w:asciiTheme="minorHAnsi" w:hAnsiTheme="minorHAnsi" w:cstheme="minorHAnsi"/>
                <w:szCs w:val="18"/>
              </w:rPr>
              <w:footnoteReference w:id="49"/>
            </w:r>
          </w:p>
        </w:tc>
        <w:tc>
          <w:tcPr>
            <w:tcW w:w="765" w:type="dxa"/>
          </w:tcPr>
          <w:p w14:paraId="1AC6356D"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40FC5F81"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2CE8A797"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74720985"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55E41FF6" w14:textId="77777777" w:rsidR="00760E26" w:rsidRPr="00974100" w:rsidRDefault="00760E26" w:rsidP="00195A0D">
            <w:pPr>
              <w:pStyle w:val="tabletextleft"/>
              <w:spacing w:before="40" w:after="40"/>
              <w:rPr>
                <w:rFonts w:asciiTheme="minorHAnsi" w:hAnsiTheme="minorHAnsi" w:cstheme="minorHAnsi"/>
                <w:szCs w:val="18"/>
              </w:rPr>
            </w:pPr>
          </w:p>
        </w:tc>
        <w:tc>
          <w:tcPr>
            <w:tcW w:w="988" w:type="dxa"/>
          </w:tcPr>
          <w:p w14:paraId="5EEF3C7D" w14:textId="77777777" w:rsidR="00760E26" w:rsidRPr="00974100" w:rsidRDefault="00760E26" w:rsidP="00195A0D">
            <w:pPr>
              <w:pStyle w:val="tabletextleft"/>
              <w:spacing w:before="40" w:after="40"/>
              <w:rPr>
                <w:rFonts w:asciiTheme="minorHAnsi" w:hAnsiTheme="minorHAnsi" w:cstheme="minorHAnsi"/>
                <w:szCs w:val="18"/>
              </w:rPr>
            </w:pPr>
          </w:p>
        </w:tc>
      </w:tr>
      <w:tr w:rsidR="005B2032" w:rsidRPr="00974100" w14:paraId="43BE5BE3" w14:textId="1AF05E2E" w:rsidTr="00C2491D">
        <w:trPr>
          <w:trHeight w:val="113"/>
        </w:trPr>
        <w:tc>
          <w:tcPr>
            <w:tcW w:w="3227" w:type="dxa"/>
          </w:tcPr>
          <w:p w14:paraId="5B80FB94"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7. Нетен финансов дълг (7=1-6)</w:t>
            </w:r>
          </w:p>
        </w:tc>
        <w:tc>
          <w:tcPr>
            <w:tcW w:w="765" w:type="dxa"/>
          </w:tcPr>
          <w:p w14:paraId="7E40340E" w14:textId="77777777" w:rsidR="00760E26" w:rsidRPr="00974100" w:rsidRDefault="00760E26"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w:t>
            </w:r>
          </w:p>
        </w:tc>
        <w:tc>
          <w:tcPr>
            <w:tcW w:w="1021" w:type="dxa"/>
            <w:vAlign w:val="center"/>
          </w:tcPr>
          <w:p w14:paraId="0019EE62"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7DDACB49"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4DB5BDBC" w14:textId="77777777" w:rsidR="00760E26" w:rsidRPr="00974100" w:rsidRDefault="00760E26" w:rsidP="00195A0D">
            <w:pPr>
              <w:pStyle w:val="tabletextleft"/>
              <w:spacing w:before="40" w:after="40"/>
              <w:rPr>
                <w:rFonts w:asciiTheme="minorHAnsi" w:hAnsiTheme="minorHAnsi" w:cstheme="minorHAnsi"/>
                <w:szCs w:val="18"/>
              </w:rPr>
            </w:pPr>
          </w:p>
        </w:tc>
        <w:tc>
          <w:tcPr>
            <w:tcW w:w="1021" w:type="dxa"/>
            <w:vAlign w:val="center"/>
          </w:tcPr>
          <w:p w14:paraId="503CB37B" w14:textId="77777777" w:rsidR="00760E26" w:rsidRPr="00974100" w:rsidRDefault="00760E26" w:rsidP="00195A0D">
            <w:pPr>
              <w:pStyle w:val="tabletextleft"/>
              <w:spacing w:before="40" w:after="40"/>
              <w:rPr>
                <w:rFonts w:asciiTheme="minorHAnsi" w:hAnsiTheme="minorHAnsi" w:cstheme="minorHAnsi"/>
                <w:szCs w:val="18"/>
              </w:rPr>
            </w:pPr>
          </w:p>
        </w:tc>
        <w:tc>
          <w:tcPr>
            <w:tcW w:w="988" w:type="dxa"/>
          </w:tcPr>
          <w:p w14:paraId="1259CB3A" w14:textId="77777777" w:rsidR="00760E26" w:rsidRPr="00974100" w:rsidRDefault="00760E26" w:rsidP="00195A0D">
            <w:pPr>
              <w:pStyle w:val="tabletextleft"/>
              <w:spacing w:before="40" w:after="40"/>
              <w:rPr>
                <w:rFonts w:asciiTheme="minorHAnsi" w:hAnsiTheme="minorHAnsi" w:cstheme="minorHAnsi"/>
                <w:szCs w:val="18"/>
              </w:rPr>
            </w:pPr>
          </w:p>
        </w:tc>
      </w:tr>
      <w:tr w:rsidR="005B2032" w:rsidRPr="00974100" w14:paraId="4A733073" w14:textId="19D6329C" w:rsidTr="00C2491D">
        <w:trPr>
          <w:trHeight w:val="113"/>
        </w:trPr>
        <w:tc>
          <w:tcPr>
            <w:tcW w:w="3227" w:type="dxa"/>
          </w:tcPr>
          <w:p w14:paraId="78D7E402"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 xml:space="preserve">8. Дългова амортизация от края на </w:t>
            </w:r>
            <w:r w:rsidRPr="00974100">
              <w:rPr>
                <w:rFonts w:asciiTheme="minorHAnsi" w:hAnsiTheme="minorHAnsi" w:cstheme="minorHAnsi"/>
                <w:szCs w:val="18"/>
              </w:rPr>
              <w:br/>
              <w:t>предходната година</w:t>
            </w:r>
          </w:p>
        </w:tc>
        <w:tc>
          <w:tcPr>
            <w:tcW w:w="765" w:type="dxa"/>
          </w:tcPr>
          <w:p w14:paraId="0D532B0C" w14:textId="77777777" w:rsidR="00CE44DB" w:rsidRPr="00974100" w:rsidRDefault="00CE44DB" w:rsidP="00195A0D">
            <w:pPr>
              <w:pStyle w:val="tabletextleft"/>
              <w:spacing w:before="40" w:after="40"/>
              <w:rPr>
                <w:rFonts w:asciiTheme="minorHAnsi" w:hAnsiTheme="minorHAnsi" w:cstheme="minorHAnsi"/>
                <w:szCs w:val="18"/>
              </w:rPr>
            </w:pPr>
          </w:p>
        </w:tc>
        <w:tc>
          <w:tcPr>
            <w:tcW w:w="1021" w:type="dxa"/>
            <w:vAlign w:val="bottom"/>
          </w:tcPr>
          <w:p w14:paraId="4AA72AD3" w14:textId="1DF6EE69"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4</w:t>
            </w:r>
            <w:r w:rsidR="000B3666" w:rsidRPr="00974100">
              <w:rPr>
                <w:rFonts w:asciiTheme="minorHAnsi" w:hAnsiTheme="minorHAnsi" w:cstheme="minorHAnsi"/>
                <w:szCs w:val="18"/>
              </w:rPr>
              <w:t>.</w:t>
            </w:r>
            <w:r w:rsidRPr="00974100">
              <w:rPr>
                <w:rFonts w:asciiTheme="minorHAnsi" w:hAnsiTheme="minorHAnsi" w:cstheme="minorHAnsi"/>
                <w:szCs w:val="18"/>
              </w:rPr>
              <w:t>3</w:t>
            </w:r>
          </w:p>
        </w:tc>
        <w:tc>
          <w:tcPr>
            <w:tcW w:w="1021" w:type="dxa"/>
            <w:vAlign w:val="bottom"/>
          </w:tcPr>
          <w:p w14:paraId="0A22B4BA" w14:textId="2FFB7BFC"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9</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1021" w:type="dxa"/>
            <w:vAlign w:val="bottom"/>
          </w:tcPr>
          <w:p w14:paraId="707BEF67" w14:textId="3B6AB7D9"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8</w:t>
            </w:r>
            <w:r w:rsidR="000B3666" w:rsidRPr="00974100">
              <w:rPr>
                <w:rFonts w:asciiTheme="minorHAnsi" w:hAnsiTheme="minorHAnsi" w:cstheme="minorHAnsi"/>
                <w:szCs w:val="18"/>
              </w:rPr>
              <w:t>.</w:t>
            </w:r>
            <w:r w:rsidRPr="00974100">
              <w:rPr>
                <w:rFonts w:asciiTheme="minorHAnsi" w:hAnsiTheme="minorHAnsi" w:cstheme="minorHAnsi"/>
                <w:szCs w:val="18"/>
              </w:rPr>
              <w:t>9</w:t>
            </w:r>
          </w:p>
        </w:tc>
        <w:tc>
          <w:tcPr>
            <w:tcW w:w="1021" w:type="dxa"/>
            <w:vAlign w:val="bottom"/>
          </w:tcPr>
          <w:p w14:paraId="5D9C2639" w14:textId="7411F36D"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8</w:t>
            </w:r>
            <w:r w:rsidR="000B3666" w:rsidRPr="00974100">
              <w:rPr>
                <w:rFonts w:asciiTheme="minorHAnsi" w:hAnsiTheme="minorHAnsi" w:cstheme="minorHAnsi"/>
                <w:szCs w:val="18"/>
              </w:rPr>
              <w:t>.</w:t>
            </w:r>
            <w:r w:rsidRPr="00974100">
              <w:rPr>
                <w:rFonts w:asciiTheme="minorHAnsi" w:hAnsiTheme="minorHAnsi" w:cstheme="minorHAnsi"/>
                <w:szCs w:val="18"/>
              </w:rPr>
              <w:t>5</w:t>
            </w:r>
          </w:p>
        </w:tc>
        <w:tc>
          <w:tcPr>
            <w:tcW w:w="988" w:type="dxa"/>
            <w:vAlign w:val="bottom"/>
          </w:tcPr>
          <w:p w14:paraId="49604989" w14:textId="23D25F5D"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7</w:t>
            </w:r>
            <w:r w:rsidR="000B3666" w:rsidRPr="00974100">
              <w:rPr>
                <w:rFonts w:asciiTheme="minorHAnsi" w:hAnsiTheme="minorHAnsi" w:cstheme="minorHAnsi"/>
                <w:szCs w:val="18"/>
              </w:rPr>
              <w:t>.</w:t>
            </w:r>
            <w:r w:rsidRPr="00974100">
              <w:rPr>
                <w:rFonts w:asciiTheme="minorHAnsi" w:hAnsiTheme="minorHAnsi" w:cstheme="minorHAnsi"/>
                <w:szCs w:val="18"/>
              </w:rPr>
              <w:t>4</w:t>
            </w:r>
          </w:p>
        </w:tc>
      </w:tr>
      <w:tr w:rsidR="005B2032" w:rsidRPr="00974100" w14:paraId="7E459D0A" w14:textId="0DF1F5D3" w:rsidTr="00C2491D">
        <w:trPr>
          <w:trHeight w:val="113"/>
        </w:trPr>
        <w:tc>
          <w:tcPr>
            <w:tcW w:w="3227" w:type="dxa"/>
          </w:tcPr>
          <w:p w14:paraId="40167A27" w14:textId="4E9A988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9. Процентно съотношение на дълга</w:t>
            </w:r>
            <w:r w:rsidR="000B3666" w:rsidRPr="00974100">
              <w:rPr>
                <w:rFonts w:asciiTheme="minorHAnsi" w:hAnsiTheme="minorHAnsi" w:cstheme="minorHAnsi"/>
                <w:szCs w:val="18"/>
              </w:rPr>
              <w:t>,</w:t>
            </w:r>
            <w:r w:rsidRPr="00974100">
              <w:rPr>
                <w:rFonts w:asciiTheme="minorHAnsi" w:hAnsiTheme="minorHAnsi" w:cstheme="minorHAnsi"/>
                <w:szCs w:val="18"/>
              </w:rPr>
              <w:t xml:space="preserve"> </w:t>
            </w:r>
            <w:r w:rsidRPr="00974100">
              <w:rPr>
                <w:rFonts w:asciiTheme="minorHAnsi" w:hAnsiTheme="minorHAnsi" w:cstheme="minorHAnsi"/>
                <w:szCs w:val="18"/>
              </w:rPr>
              <w:br/>
              <w:t>деноминиран в чужда валута</w:t>
            </w:r>
          </w:p>
        </w:tc>
        <w:tc>
          <w:tcPr>
            <w:tcW w:w="765" w:type="dxa"/>
          </w:tcPr>
          <w:p w14:paraId="395903DC" w14:textId="77777777" w:rsidR="00CE44DB" w:rsidRPr="00974100" w:rsidRDefault="00CE44DB" w:rsidP="00195A0D">
            <w:pPr>
              <w:pStyle w:val="tabletextleft"/>
              <w:spacing w:before="40" w:after="40"/>
              <w:rPr>
                <w:rFonts w:asciiTheme="minorHAnsi" w:hAnsiTheme="minorHAnsi" w:cstheme="minorHAnsi"/>
                <w:szCs w:val="18"/>
              </w:rPr>
            </w:pPr>
          </w:p>
        </w:tc>
        <w:tc>
          <w:tcPr>
            <w:tcW w:w="1021" w:type="dxa"/>
            <w:vAlign w:val="bottom"/>
          </w:tcPr>
          <w:p w14:paraId="26F5D2A9" w14:textId="1D8920D1"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72</w:t>
            </w:r>
            <w:r w:rsidR="000B3666" w:rsidRPr="00974100">
              <w:rPr>
                <w:rFonts w:asciiTheme="minorHAnsi" w:hAnsiTheme="minorHAnsi" w:cstheme="minorHAnsi"/>
                <w:szCs w:val="18"/>
              </w:rPr>
              <w:t>.</w:t>
            </w:r>
            <w:r w:rsidRPr="00974100">
              <w:rPr>
                <w:rFonts w:asciiTheme="minorHAnsi" w:hAnsiTheme="minorHAnsi" w:cstheme="minorHAnsi"/>
                <w:szCs w:val="18"/>
              </w:rPr>
              <w:t>4</w:t>
            </w:r>
          </w:p>
        </w:tc>
        <w:tc>
          <w:tcPr>
            <w:tcW w:w="1021" w:type="dxa"/>
            <w:vAlign w:val="bottom"/>
          </w:tcPr>
          <w:p w14:paraId="3F9F58AA" w14:textId="6491C5DB"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68</w:t>
            </w:r>
            <w:r w:rsidR="000B3666" w:rsidRPr="00974100">
              <w:rPr>
                <w:rFonts w:asciiTheme="minorHAnsi" w:hAnsiTheme="minorHAnsi" w:cstheme="minorHAnsi"/>
                <w:szCs w:val="18"/>
              </w:rPr>
              <w:t>.</w:t>
            </w:r>
            <w:r w:rsidRPr="00974100">
              <w:rPr>
                <w:rFonts w:asciiTheme="minorHAnsi" w:hAnsiTheme="minorHAnsi" w:cstheme="minorHAnsi"/>
                <w:szCs w:val="18"/>
              </w:rPr>
              <w:t>3</w:t>
            </w:r>
          </w:p>
        </w:tc>
        <w:tc>
          <w:tcPr>
            <w:tcW w:w="1021" w:type="dxa"/>
            <w:vAlign w:val="bottom"/>
          </w:tcPr>
          <w:p w14:paraId="5F193F3B" w14:textId="0ACEE013"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66</w:t>
            </w:r>
            <w:r w:rsidR="000B3666" w:rsidRPr="00974100">
              <w:rPr>
                <w:rFonts w:asciiTheme="minorHAnsi" w:hAnsiTheme="minorHAnsi" w:cstheme="minorHAnsi"/>
                <w:szCs w:val="18"/>
              </w:rPr>
              <w:t>.</w:t>
            </w:r>
            <w:r w:rsidRPr="00974100">
              <w:rPr>
                <w:rFonts w:asciiTheme="minorHAnsi" w:hAnsiTheme="minorHAnsi" w:cstheme="minorHAnsi"/>
                <w:szCs w:val="18"/>
              </w:rPr>
              <w:t>9</w:t>
            </w:r>
          </w:p>
        </w:tc>
        <w:tc>
          <w:tcPr>
            <w:tcW w:w="1021" w:type="dxa"/>
            <w:vAlign w:val="bottom"/>
          </w:tcPr>
          <w:p w14:paraId="669BB397" w14:textId="4B463386"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65</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988" w:type="dxa"/>
            <w:vAlign w:val="bottom"/>
          </w:tcPr>
          <w:p w14:paraId="16704618" w14:textId="742D7086"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68</w:t>
            </w:r>
            <w:r w:rsidR="000B3666" w:rsidRPr="00974100">
              <w:rPr>
                <w:rFonts w:asciiTheme="minorHAnsi" w:hAnsiTheme="minorHAnsi" w:cstheme="minorHAnsi"/>
                <w:szCs w:val="18"/>
              </w:rPr>
              <w:t>.</w:t>
            </w:r>
            <w:r w:rsidRPr="00974100">
              <w:rPr>
                <w:rFonts w:asciiTheme="minorHAnsi" w:hAnsiTheme="minorHAnsi" w:cstheme="minorHAnsi"/>
                <w:szCs w:val="18"/>
              </w:rPr>
              <w:t>0</w:t>
            </w:r>
          </w:p>
        </w:tc>
      </w:tr>
      <w:tr w:rsidR="00CE44DB" w:rsidRPr="00974100" w14:paraId="51698ED9" w14:textId="6C3DC129" w:rsidTr="00C2491D">
        <w:trPr>
          <w:trHeight w:val="113"/>
        </w:trPr>
        <w:tc>
          <w:tcPr>
            <w:tcW w:w="3227" w:type="dxa"/>
          </w:tcPr>
          <w:p w14:paraId="4FA68C22" w14:textId="77777777" w:rsidR="00CE44DB" w:rsidRPr="00974100" w:rsidRDefault="00CE44DB" w:rsidP="00195A0D">
            <w:pPr>
              <w:pStyle w:val="tabletextleft"/>
              <w:spacing w:before="40" w:after="40"/>
              <w:rPr>
                <w:rFonts w:asciiTheme="minorHAnsi" w:hAnsiTheme="minorHAnsi" w:cstheme="minorHAnsi"/>
                <w:szCs w:val="18"/>
              </w:rPr>
            </w:pPr>
            <w:r w:rsidRPr="00974100">
              <w:rPr>
                <w:rFonts w:asciiTheme="minorHAnsi" w:hAnsiTheme="minorHAnsi" w:cstheme="minorHAnsi"/>
                <w:szCs w:val="18"/>
              </w:rPr>
              <w:t>10. Среден матуритет</w:t>
            </w:r>
          </w:p>
        </w:tc>
        <w:tc>
          <w:tcPr>
            <w:tcW w:w="765" w:type="dxa"/>
          </w:tcPr>
          <w:p w14:paraId="435AC5CC" w14:textId="77777777" w:rsidR="00CE44DB" w:rsidRPr="00974100" w:rsidRDefault="00CE44DB" w:rsidP="00195A0D">
            <w:pPr>
              <w:pStyle w:val="tabletextleft"/>
              <w:spacing w:before="40" w:after="40"/>
              <w:rPr>
                <w:rFonts w:asciiTheme="minorHAnsi" w:hAnsiTheme="minorHAnsi" w:cstheme="minorHAnsi"/>
                <w:szCs w:val="18"/>
              </w:rPr>
            </w:pPr>
          </w:p>
        </w:tc>
        <w:tc>
          <w:tcPr>
            <w:tcW w:w="1021" w:type="dxa"/>
          </w:tcPr>
          <w:p w14:paraId="0C630DF6" w14:textId="708C1A95"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8</w:t>
            </w:r>
            <w:r w:rsidR="000B3666" w:rsidRPr="00974100">
              <w:rPr>
                <w:rFonts w:asciiTheme="minorHAnsi" w:hAnsiTheme="minorHAnsi" w:cstheme="minorHAnsi"/>
                <w:szCs w:val="18"/>
              </w:rPr>
              <w:t>.</w:t>
            </w:r>
            <w:r w:rsidRPr="00974100">
              <w:rPr>
                <w:rFonts w:asciiTheme="minorHAnsi" w:hAnsiTheme="minorHAnsi" w:cstheme="minorHAnsi"/>
                <w:szCs w:val="18"/>
              </w:rPr>
              <w:t>0</w:t>
            </w:r>
          </w:p>
        </w:tc>
        <w:tc>
          <w:tcPr>
            <w:tcW w:w="1021" w:type="dxa"/>
            <w:vAlign w:val="center"/>
          </w:tcPr>
          <w:p w14:paraId="4F1B4A97" w14:textId="6CA3A65B"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8</w:t>
            </w:r>
            <w:r w:rsidR="000B3666" w:rsidRPr="00974100">
              <w:rPr>
                <w:rFonts w:asciiTheme="minorHAnsi" w:hAnsiTheme="minorHAnsi" w:cstheme="minorHAnsi"/>
                <w:szCs w:val="18"/>
              </w:rPr>
              <w:t>.</w:t>
            </w:r>
            <w:r w:rsidRPr="00974100">
              <w:rPr>
                <w:rFonts w:asciiTheme="minorHAnsi" w:hAnsiTheme="minorHAnsi" w:cstheme="minorHAnsi"/>
                <w:szCs w:val="18"/>
              </w:rPr>
              <w:t>5</w:t>
            </w:r>
          </w:p>
        </w:tc>
        <w:tc>
          <w:tcPr>
            <w:tcW w:w="1021" w:type="dxa"/>
            <w:vAlign w:val="center"/>
          </w:tcPr>
          <w:p w14:paraId="650973D8" w14:textId="62E3DC1B"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9</w:t>
            </w:r>
            <w:r w:rsidR="000B3666" w:rsidRPr="00974100">
              <w:rPr>
                <w:rFonts w:asciiTheme="minorHAnsi" w:hAnsiTheme="minorHAnsi" w:cstheme="minorHAnsi"/>
                <w:szCs w:val="18"/>
              </w:rPr>
              <w:t>.</w:t>
            </w:r>
            <w:r w:rsidRPr="00974100">
              <w:rPr>
                <w:rFonts w:asciiTheme="minorHAnsi" w:hAnsiTheme="minorHAnsi" w:cstheme="minorHAnsi"/>
                <w:szCs w:val="18"/>
              </w:rPr>
              <w:t>3</w:t>
            </w:r>
          </w:p>
        </w:tc>
        <w:tc>
          <w:tcPr>
            <w:tcW w:w="1021" w:type="dxa"/>
            <w:vAlign w:val="center"/>
          </w:tcPr>
          <w:p w14:paraId="36AE2260" w14:textId="03EFC12E"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9</w:t>
            </w:r>
            <w:r w:rsidR="000B3666" w:rsidRPr="00974100">
              <w:rPr>
                <w:rFonts w:asciiTheme="minorHAnsi" w:hAnsiTheme="minorHAnsi" w:cstheme="minorHAnsi"/>
                <w:szCs w:val="18"/>
              </w:rPr>
              <w:t>.</w:t>
            </w:r>
            <w:r w:rsidRPr="00974100">
              <w:rPr>
                <w:rFonts w:asciiTheme="minorHAnsi" w:hAnsiTheme="minorHAnsi" w:cstheme="minorHAnsi"/>
                <w:szCs w:val="18"/>
              </w:rPr>
              <w:t>7</w:t>
            </w:r>
          </w:p>
        </w:tc>
        <w:tc>
          <w:tcPr>
            <w:tcW w:w="988" w:type="dxa"/>
            <w:vAlign w:val="center"/>
          </w:tcPr>
          <w:p w14:paraId="182835D0" w14:textId="21B9EBCF" w:rsidR="00CE44DB" w:rsidRPr="00974100" w:rsidRDefault="00CE44DB" w:rsidP="00195A0D">
            <w:pPr>
              <w:pStyle w:val="tabletextleft"/>
              <w:spacing w:before="40" w:after="40"/>
              <w:jc w:val="right"/>
              <w:rPr>
                <w:rFonts w:asciiTheme="minorHAnsi" w:hAnsiTheme="minorHAnsi" w:cstheme="minorHAnsi"/>
                <w:szCs w:val="18"/>
              </w:rPr>
            </w:pPr>
            <w:r w:rsidRPr="00974100">
              <w:rPr>
                <w:rFonts w:asciiTheme="minorHAnsi" w:hAnsiTheme="minorHAnsi" w:cstheme="minorHAnsi"/>
                <w:szCs w:val="18"/>
              </w:rPr>
              <w:t>10</w:t>
            </w:r>
            <w:r w:rsidR="000B3666" w:rsidRPr="00974100">
              <w:rPr>
                <w:rFonts w:asciiTheme="minorHAnsi" w:hAnsiTheme="minorHAnsi" w:cstheme="minorHAnsi"/>
                <w:szCs w:val="18"/>
              </w:rPr>
              <w:t>.</w:t>
            </w:r>
            <w:r w:rsidRPr="00974100">
              <w:rPr>
                <w:rFonts w:asciiTheme="minorHAnsi" w:hAnsiTheme="minorHAnsi" w:cstheme="minorHAnsi"/>
                <w:szCs w:val="18"/>
              </w:rPr>
              <w:t>4</w:t>
            </w:r>
          </w:p>
        </w:tc>
      </w:tr>
    </w:tbl>
    <w:p w14:paraId="5999E9BB" w14:textId="3FEBAF0A" w:rsidR="00517DF1" w:rsidRPr="005B2032" w:rsidRDefault="00517DF1" w:rsidP="00517DF1">
      <w:pPr>
        <w:rPr>
          <w:rFonts w:asciiTheme="minorHAnsi" w:hAnsiTheme="minorHAnsi" w:cstheme="minorHAnsi"/>
        </w:rPr>
      </w:pPr>
    </w:p>
    <w:p w14:paraId="4FA6F011" w14:textId="6093BF63" w:rsidR="005B630B" w:rsidRPr="005B2032" w:rsidRDefault="005B630B" w:rsidP="00517DF1">
      <w:pPr>
        <w:rPr>
          <w:rFonts w:asciiTheme="minorHAnsi" w:hAnsiTheme="minorHAnsi" w:cstheme="minorHAnsi"/>
        </w:rPr>
      </w:pPr>
    </w:p>
    <w:p w14:paraId="1F222FBA" w14:textId="77777777" w:rsidR="005B630B" w:rsidRPr="005B2032" w:rsidRDefault="005B630B" w:rsidP="00517DF1">
      <w:pPr>
        <w:rPr>
          <w:rFonts w:asciiTheme="minorHAnsi" w:hAnsiTheme="minorHAnsi" w:cstheme="minorHAnsi"/>
        </w:rPr>
      </w:pPr>
    </w:p>
    <w:p w14:paraId="00A88F0B" w14:textId="77777777" w:rsidR="00941483" w:rsidRPr="002A19EC" w:rsidRDefault="00102EAD" w:rsidP="002A19EC">
      <w:pPr>
        <w:pStyle w:val="Heading2"/>
        <w:numPr>
          <w:ilvl w:val="0"/>
          <w:numId w:val="0"/>
        </w:numPr>
      </w:pPr>
      <w:bookmarkStart w:id="181" w:name="_Toc448227320"/>
      <w:bookmarkStart w:id="182" w:name="_Toc479332471"/>
      <w:bookmarkStart w:id="183" w:name="_Toc100906100"/>
      <w:r w:rsidRPr="002A19EC">
        <w:lastRenderedPageBreak/>
        <w:t>Табл. 5: Циклично развитие</w:t>
      </w:r>
      <w:bookmarkEnd w:id="181"/>
      <w:bookmarkEnd w:id="182"/>
      <w:bookmarkEnd w:id="183"/>
    </w:p>
    <w:tbl>
      <w:tblPr>
        <w:tblStyle w:val="Style16"/>
        <w:tblW w:w="4999"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85" w:type="dxa"/>
          <w:right w:w="85" w:type="dxa"/>
        </w:tblCellMar>
        <w:tblLook w:val="0620" w:firstRow="1" w:lastRow="0" w:firstColumn="0" w:lastColumn="0" w:noHBand="1" w:noVBand="1"/>
      </w:tblPr>
      <w:tblGrid>
        <w:gridCol w:w="3883"/>
        <w:gridCol w:w="856"/>
        <w:gridCol w:w="751"/>
        <w:gridCol w:w="893"/>
        <w:gridCol w:w="893"/>
        <w:gridCol w:w="893"/>
        <w:gridCol w:w="893"/>
      </w:tblGrid>
      <w:tr w:rsidR="005B2032" w:rsidRPr="005B2032" w14:paraId="1186D777" w14:textId="4CAB25B5" w:rsidTr="00C2491D">
        <w:trPr>
          <w:trHeight w:val="397"/>
          <w:tblHeader/>
          <w:jc w:val="center"/>
        </w:trPr>
        <w:tc>
          <w:tcPr>
            <w:tcW w:w="3883" w:type="dxa"/>
            <w:shd w:val="clear" w:color="auto" w:fill="D7D4F1"/>
            <w:vAlign w:val="center"/>
            <w:hideMark/>
          </w:tcPr>
          <w:p w14:paraId="5D843FE2" w14:textId="77777777" w:rsidR="00760E26" w:rsidRPr="005B2032" w:rsidRDefault="00760E26" w:rsidP="00C1337B">
            <w:pPr>
              <w:pStyle w:val="tabletextleft"/>
              <w:rPr>
                <w:rFonts w:asciiTheme="minorHAnsi" w:hAnsiTheme="minorHAnsi" w:cstheme="minorHAnsi"/>
                <w:b/>
                <w:bCs/>
                <w:szCs w:val="18"/>
              </w:rPr>
            </w:pPr>
            <w:r w:rsidRPr="005B2032">
              <w:rPr>
                <w:rFonts w:asciiTheme="minorHAnsi" w:hAnsiTheme="minorHAnsi" w:cstheme="minorHAnsi"/>
                <w:b/>
              </w:rPr>
              <w:t>% от БВП</w:t>
            </w:r>
          </w:p>
        </w:tc>
        <w:tc>
          <w:tcPr>
            <w:tcW w:w="856" w:type="dxa"/>
            <w:shd w:val="clear" w:color="auto" w:fill="D7D4F1"/>
            <w:vAlign w:val="center"/>
            <w:hideMark/>
          </w:tcPr>
          <w:p w14:paraId="3593A55C" w14:textId="77777777" w:rsidR="00760E26" w:rsidRPr="005B2032" w:rsidRDefault="00760E26" w:rsidP="00C1337B">
            <w:pPr>
              <w:pStyle w:val="tabletextleft"/>
              <w:rPr>
                <w:rFonts w:asciiTheme="minorHAnsi" w:hAnsiTheme="minorHAnsi" w:cstheme="minorHAnsi"/>
                <w:b/>
                <w:bCs/>
                <w:szCs w:val="18"/>
              </w:rPr>
            </w:pPr>
            <w:r w:rsidRPr="005B2032">
              <w:rPr>
                <w:rFonts w:asciiTheme="minorHAnsi" w:hAnsiTheme="minorHAnsi" w:cstheme="minorHAnsi"/>
                <w:b/>
                <w:szCs w:val="18"/>
              </w:rPr>
              <w:t>Код по ЕСС 2010</w:t>
            </w:r>
          </w:p>
        </w:tc>
        <w:tc>
          <w:tcPr>
            <w:tcW w:w="751" w:type="dxa"/>
            <w:shd w:val="clear" w:color="auto" w:fill="D7D4F1"/>
            <w:vAlign w:val="center"/>
          </w:tcPr>
          <w:p w14:paraId="7C3B7AB5" w14:textId="7618E9DB" w:rsidR="00760E26" w:rsidRPr="005B2032" w:rsidRDefault="00760E26" w:rsidP="00974100">
            <w:pPr>
              <w:pStyle w:val="tabletextleft"/>
              <w:jc w:val="right"/>
              <w:rPr>
                <w:rFonts w:asciiTheme="minorHAnsi" w:hAnsiTheme="minorHAnsi" w:cstheme="minorHAnsi"/>
                <w:b/>
                <w:szCs w:val="18"/>
              </w:rPr>
            </w:pPr>
            <w:r w:rsidRPr="005B2032">
              <w:rPr>
                <w:rFonts w:asciiTheme="minorHAnsi" w:hAnsiTheme="minorHAnsi" w:cstheme="minorHAnsi"/>
                <w:b/>
              </w:rPr>
              <w:t>2021</w:t>
            </w:r>
          </w:p>
        </w:tc>
        <w:tc>
          <w:tcPr>
            <w:tcW w:w="893" w:type="dxa"/>
            <w:shd w:val="clear" w:color="auto" w:fill="D7D4F1"/>
            <w:vAlign w:val="center"/>
          </w:tcPr>
          <w:p w14:paraId="10DF6C1D" w14:textId="0F191FE9" w:rsidR="00760E26" w:rsidRPr="005B2032" w:rsidRDefault="00760E26" w:rsidP="00974100">
            <w:pPr>
              <w:pStyle w:val="tabletextleft"/>
              <w:jc w:val="right"/>
              <w:rPr>
                <w:rFonts w:asciiTheme="minorHAnsi" w:hAnsiTheme="minorHAnsi" w:cstheme="minorHAnsi"/>
                <w:b/>
                <w:szCs w:val="18"/>
              </w:rPr>
            </w:pPr>
            <w:r w:rsidRPr="005B2032">
              <w:rPr>
                <w:rFonts w:asciiTheme="minorHAnsi" w:hAnsiTheme="minorHAnsi" w:cstheme="minorHAnsi"/>
                <w:b/>
              </w:rPr>
              <w:t>2022</w:t>
            </w:r>
          </w:p>
        </w:tc>
        <w:tc>
          <w:tcPr>
            <w:tcW w:w="893" w:type="dxa"/>
            <w:shd w:val="clear" w:color="auto" w:fill="D7D4F1"/>
            <w:vAlign w:val="center"/>
          </w:tcPr>
          <w:p w14:paraId="66435FD6" w14:textId="28AFD644" w:rsidR="00760E26" w:rsidRPr="005B2032" w:rsidRDefault="00760E26" w:rsidP="00974100">
            <w:pPr>
              <w:pStyle w:val="tabletextleft"/>
              <w:jc w:val="right"/>
              <w:rPr>
                <w:rFonts w:asciiTheme="minorHAnsi" w:hAnsiTheme="minorHAnsi" w:cstheme="minorHAnsi"/>
                <w:b/>
                <w:szCs w:val="18"/>
              </w:rPr>
            </w:pPr>
            <w:r w:rsidRPr="005B2032">
              <w:rPr>
                <w:rFonts w:asciiTheme="minorHAnsi" w:hAnsiTheme="minorHAnsi" w:cstheme="minorHAnsi"/>
                <w:b/>
              </w:rPr>
              <w:t>2023</w:t>
            </w:r>
          </w:p>
        </w:tc>
        <w:tc>
          <w:tcPr>
            <w:tcW w:w="893" w:type="dxa"/>
            <w:shd w:val="clear" w:color="auto" w:fill="D7D4F1"/>
            <w:vAlign w:val="center"/>
          </w:tcPr>
          <w:p w14:paraId="41C083A3" w14:textId="427C2729" w:rsidR="00760E26" w:rsidRPr="005B2032" w:rsidRDefault="00760E26" w:rsidP="00974100">
            <w:pPr>
              <w:pStyle w:val="tabletextleft"/>
              <w:jc w:val="right"/>
              <w:rPr>
                <w:rFonts w:asciiTheme="minorHAnsi" w:hAnsiTheme="minorHAnsi" w:cstheme="minorHAnsi"/>
                <w:b/>
                <w:szCs w:val="18"/>
              </w:rPr>
            </w:pPr>
            <w:r w:rsidRPr="005B2032">
              <w:rPr>
                <w:rFonts w:asciiTheme="minorHAnsi" w:hAnsiTheme="minorHAnsi" w:cstheme="minorHAnsi"/>
                <w:b/>
              </w:rPr>
              <w:t>2024</w:t>
            </w:r>
          </w:p>
        </w:tc>
        <w:tc>
          <w:tcPr>
            <w:tcW w:w="893" w:type="dxa"/>
            <w:shd w:val="clear" w:color="auto" w:fill="D7D4F1"/>
            <w:vAlign w:val="center"/>
          </w:tcPr>
          <w:p w14:paraId="5CD27502" w14:textId="3A26A58C" w:rsidR="00760E26" w:rsidRPr="005B2032" w:rsidRDefault="00760E26" w:rsidP="00974100">
            <w:pPr>
              <w:pStyle w:val="tabletextleft"/>
              <w:jc w:val="right"/>
              <w:rPr>
                <w:rFonts w:asciiTheme="minorHAnsi" w:hAnsiTheme="minorHAnsi" w:cstheme="minorHAnsi"/>
                <w:b/>
              </w:rPr>
            </w:pPr>
            <w:r w:rsidRPr="005B2032">
              <w:rPr>
                <w:rFonts w:asciiTheme="minorHAnsi" w:hAnsiTheme="minorHAnsi" w:cstheme="minorHAnsi"/>
                <w:b/>
              </w:rPr>
              <w:t>2025</w:t>
            </w:r>
          </w:p>
        </w:tc>
      </w:tr>
      <w:tr w:rsidR="005B2032" w:rsidRPr="005B2032" w14:paraId="66C41CB0" w14:textId="10DFA8EB" w:rsidTr="00C2491D">
        <w:trPr>
          <w:trHeight w:val="397"/>
          <w:jc w:val="center"/>
        </w:trPr>
        <w:tc>
          <w:tcPr>
            <w:tcW w:w="3883" w:type="dxa"/>
            <w:vAlign w:val="center"/>
            <w:hideMark/>
          </w:tcPr>
          <w:p w14:paraId="7D049C23" w14:textId="77777777" w:rsidR="007C6657" w:rsidRPr="005B2032" w:rsidRDefault="007C6657" w:rsidP="007C6657">
            <w:pPr>
              <w:pStyle w:val="tabletextleft"/>
              <w:rPr>
                <w:rFonts w:asciiTheme="minorHAnsi" w:hAnsiTheme="minorHAnsi" w:cstheme="minorHAnsi"/>
                <w:szCs w:val="18"/>
              </w:rPr>
            </w:pPr>
            <w:r w:rsidRPr="005B2032">
              <w:rPr>
                <w:rFonts w:asciiTheme="minorHAnsi" w:hAnsiTheme="minorHAnsi" w:cstheme="minorHAnsi"/>
                <w:szCs w:val="18"/>
              </w:rPr>
              <w:t>1. Растеж на БВП (%)</w:t>
            </w:r>
          </w:p>
        </w:tc>
        <w:tc>
          <w:tcPr>
            <w:tcW w:w="856" w:type="dxa"/>
            <w:vAlign w:val="center"/>
          </w:tcPr>
          <w:p w14:paraId="34E6D57D" w14:textId="77777777" w:rsidR="007C6657" w:rsidRPr="00974100" w:rsidRDefault="007C6657" w:rsidP="00974100">
            <w:pPr>
              <w:pStyle w:val="tabletextleft"/>
              <w:rPr>
                <w:rFonts w:asciiTheme="minorHAnsi" w:hAnsiTheme="minorHAnsi" w:cstheme="minorHAnsi"/>
                <w:szCs w:val="18"/>
              </w:rPr>
            </w:pPr>
          </w:p>
        </w:tc>
        <w:tc>
          <w:tcPr>
            <w:tcW w:w="751" w:type="dxa"/>
            <w:vAlign w:val="center"/>
          </w:tcPr>
          <w:p w14:paraId="1698F01C" w14:textId="04056560"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4</w:t>
            </w:r>
            <w:r w:rsidR="000B3666" w:rsidRPr="00974100">
              <w:rPr>
                <w:rFonts w:asciiTheme="minorHAnsi" w:hAnsiTheme="minorHAnsi" w:cstheme="minorHAnsi"/>
                <w:szCs w:val="18"/>
              </w:rPr>
              <w:t>.</w:t>
            </w:r>
            <w:r w:rsidRPr="00974100">
              <w:rPr>
                <w:rFonts w:asciiTheme="minorHAnsi" w:hAnsiTheme="minorHAnsi" w:cstheme="minorHAnsi"/>
                <w:szCs w:val="18"/>
              </w:rPr>
              <w:t>2</w:t>
            </w:r>
          </w:p>
        </w:tc>
        <w:tc>
          <w:tcPr>
            <w:tcW w:w="893" w:type="dxa"/>
            <w:vAlign w:val="center"/>
          </w:tcPr>
          <w:p w14:paraId="04401188" w14:textId="29930A88"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6</w:t>
            </w:r>
          </w:p>
        </w:tc>
        <w:tc>
          <w:tcPr>
            <w:tcW w:w="893" w:type="dxa"/>
            <w:vAlign w:val="center"/>
          </w:tcPr>
          <w:p w14:paraId="28ED3A17" w14:textId="00C37753"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893" w:type="dxa"/>
            <w:vAlign w:val="center"/>
          </w:tcPr>
          <w:p w14:paraId="2FDA5A39" w14:textId="685CDE7D"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3</w:t>
            </w:r>
            <w:r w:rsidR="000B3666" w:rsidRPr="00974100">
              <w:rPr>
                <w:rFonts w:asciiTheme="minorHAnsi" w:hAnsiTheme="minorHAnsi" w:cstheme="minorHAnsi"/>
                <w:szCs w:val="18"/>
              </w:rPr>
              <w:t>.</w:t>
            </w:r>
            <w:r w:rsidRPr="00974100">
              <w:rPr>
                <w:rFonts w:asciiTheme="minorHAnsi" w:hAnsiTheme="minorHAnsi" w:cstheme="minorHAnsi"/>
                <w:szCs w:val="18"/>
              </w:rPr>
              <w:t>6</w:t>
            </w:r>
          </w:p>
        </w:tc>
        <w:tc>
          <w:tcPr>
            <w:tcW w:w="893" w:type="dxa"/>
            <w:vAlign w:val="center"/>
          </w:tcPr>
          <w:p w14:paraId="6F5FF504" w14:textId="3CBAC869"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3</w:t>
            </w:r>
            <w:r w:rsidR="000B3666" w:rsidRPr="00974100">
              <w:rPr>
                <w:rFonts w:asciiTheme="minorHAnsi" w:hAnsiTheme="minorHAnsi" w:cstheme="minorHAnsi"/>
                <w:szCs w:val="18"/>
              </w:rPr>
              <w:t>.</w:t>
            </w:r>
            <w:r w:rsidRPr="00974100">
              <w:rPr>
                <w:rFonts w:asciiTheme="minorHAnsi" w:hAnsiTheme="minorHAnsi" w:cstheme="minorHAnsi"/>
                <w:szCs w:val="18"/>
              </w:rPr>
              <w:t>4</w:t>
            </w:r>
          </w:p>
        </w:tc>
      </w:tr>
      <w:tr w:rsidR="005B2032" w:rsidRPr="005B2032" w14:paraId="08009E97" w14:textId="4F479CC1" w:rsidTr="00C2491D">
        <w:trPr>
          <w:trHeight w:val="397"/>
          <w:jc w:val="center"/>
        </w:trPr>
        <w:tc>
          <w:tcPr>
            <w:tcW w:w="3883" w:type="dxa"/>
            <w:vAlign w:val="center"/>
            <w:hideMark/>
          </w:tcPr>
          <w:p w14:paraId="0C8D7FEE" w14:textId="77777777" w:rsidR="00DB590A" w:rsidRPr="005B2032" w:rsidRDefault="00DB590A" w:rsidP="00DB590A">
            <w:pPr>
              <w:pStyle w:val="tabletextleft"/>
              <w:rPr>
                <w:rFonts w:asciiTheme="minorHAnsi" w:hAnsiTheme="minorHAnsi" w:cstheme="minorHAnsi"/>
                <w:szCs w:val="18"/>
              </w:rPr>
            </w:pPr>
            <w:r w:rsidRPr="005B2032">
              <w:rPr>
                <w:rFonts w:asciiTheme="minorHAnsi" w:hAnsiTheme="minorHAnsi" w:cstheme="minorHAnsi"/>
                <w:szCs w:val="18"/>
              </w:rPr>
              <w:t>2. Нето отпуснати заеми на консолидираното правителство</w:t>
            </w:r>
          </w:p>
        </w:tc>
        <w:tc>
          <w:tcPr>
            <w:tcW w:w="856" w:type="dxa"/>
            <w:vAlign w:val="center"/>
            <w:hideMark/>
          </w:tcPr>
          <w:p w14:paraId="2B7187D5" w14:textId="77777777" w:rsidR="00DB590A" w:rsidRPr="00974100" w:rsidRDefault="00DB590A" w:rsidP="00974100">
            <w:pPr>
              <w:pStyle w:val="tabletextleft"/>
              <w:rPr>
                <w:rFonts w:asciiTheme="minorHAnsi" w:hAnsiTheme="minorHAnsi" w:cstheme="minorHAnsi"/>
                <w:szCs w:val="18"/>
              </w:rPr>
            </w:pPr>
            <w:r w:rsidRPr="00974100">
              <w:rPr>
                <w:rFonts w:asciiTheme="minorHAnsi" w:hAnsiTheme="minorHAnsi" w:cstheme="minorHAnsi"/>
                <w:szCs w:val="18"/>
              </w:rPr>
              <w:t>EDP B.9</w:t>
            </w:r>
          </w:p>
        </w:tc>
        <w:tc>
          <w:tcPr>
            <w:tcW w:w="751" w:type="dxa"/>
            <w:vAlign w:val="center"/>
          </w:tcPr>
          <w:p w14:paraId="3D74BCF6" w14:textId="0F8ABA48"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-4</w:t>
            </w:r>
            <w:r w:rsidR="000B3666" w:rsidRPr="00974100">
              <w:rPr>
                <w:rFonts w:asciiTheme="minorHAnsi" w:hAnsiTheme="minorHAnsi" w:cstheme="minorHAnsi"/>
                <w:szCs w:val="18"/>
              </w:rPr>
              <w:t>.</w:t>
            </w:r>
            <w:r w:rsidRPr="00974100">
              <w:rPr>
                <w:rFonts w:asciiTheme="minorHAnsi" w:hAnsiTheme="minorHAnsi" w:cstheme="minorHAnsi"/>
                <w:szCs w:val="18"/>
              </w:rPr>
              <w:t>1</w:t>
            </w:r>
          </w:p>
        </w:tc>
        <w:tc>
          <w:tcPr>
            <w:tcW w:w="893" w:type="dxa"/>
            <w:vAlign w:val="center"/>
          </w:tcPr>
          <w:p w14:paraId="42820741" w14:textId="56059F7F"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-5</w:t>
            </w:r>
            <w:r w:rsidR="000B3666" w:rsidRPr="00974100">
              <w:rPr>
                <w:rFonts w:asciiTheme="minorHAnsi" w:hAnsiTheme="minorHAnsi" w:cstheme="minorHAnsi"/>
                <w:szCs w:val="18"/>
              </w:rPr>
              <w:t>.</w:t>
            </w:r>
            <w:r w:rsidRPr="00974100">
              <w:rPr>
                <w:rFonts w:asciiTheme="minorHAnsi" w:hAnsiTheme="minorHAnsi" w:cstheme="minorHAnsi"/>
                <w:szCs w:val="18"/>
              </w:rPr>
              <w:t>3</w:t>
            </w:r>
          </w:p>
        </w:tc>
        <w:tc>
          <w:tcPr>
            <w:tcW w:w="893" w:type="dxa"/>
            <w:vAlign w:val="center"/>
          </w:tcPr>
          <w:p w14:paraId="115D12F2" w14:textId="4E769952"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9</w:t>
            </w:r>
          </w:p>
        </w:tc>
        <w:tc>
          <w:tcPr>
            <w:tcW w:w="893" w:type="dxa"/>
            <w:vAlign w:val="center"/>
          </w:tcPr>
          <w:p w14:paraId="3AAC8895" w14:textId="676EDCCB"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893" w:type="dxa"/>
            <w:vAlign w:val="center"/>
          </w:tcPr>
          <w:p w14:paraId="09556D29" w14:textId="543127F5"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4</w:t>
            </w:r>
          </w:p>
        </w:tc>
      </w:tr>
      <w:tr w:rsidR="005B2032" w:rsidRPr="005B2032" w14:paraId="1C4EB0E9" w14:textId="2D497797" w:rsidTr="00C2491D">
        <w:trPr>
          <w:trHeight w:val="397"/>
          <w:jc w:val="center"/>
        </w:trPr>
        <w:tc>
          <w:tcPr>
            <w:tcW w:w="3883" w:type="dxa"/>
            <w:vAlign w:val="center"/>
            <w:hideMark/>
          </w:tcPr>
          <w:p w14:paraId="1AD0ADE5" w14:textId="77777777" w:rsidR="00DB590A" w:rsidRPr="005B2032" w:rsidRDefault="00DB590A" w:rsidP="00DB590A">
            <w:pPr>
              <w:pStyle w:val="tabletextleft"/>
              <w:rPr>
                <w:rFonts w:asciiTheme="minorHAnsi" w:hAnsiTheme="minorHAnsi" w:cstheme="minorHAnsi"/>
                <w:szCs w:val="18"/>
              </w:rPr>
            </w:pPr>
            <w:r w:rsidRPr="005B2032">
              <w:rPr>
                <w:rFonts w:asciiTheme="minorHAnsi" w:hAnsiTheme="minorHAnsi" w:cstheme="minorHAnsi"/>
                <w:szCs w:val="18"/>
              </w:rPr>
              <w:t>3. Лихвени разходи</w:t>
            </w:r>
          </w:p>
        </w:tc>
        <w:tc>
          <w:tcPr>
            <w:tcW w:w="856" w:type="dxa"/>
            <w:vAlign w:val="center"/>
            <w:hideMark/>
          </w:tcPr>
          <w:p w14:paraId="52ABF605" w14:textId="77777777" w:rsidR="00DB590A" w:rsidRPr="00974100" w:rsidRDefault="00DB590A" w:rsidP="00974100">
            <w:pPr>
              <w:pStyle w:val="tabletextleft"/>
              <w:rPr>
                <w:rFonts w:asciiTheme="minorHAnsi" w:hAnsiTheme="minorHAnsi" w:cstheme="minorHAnsi"/>
                <w:szCs w:val="18"/>
              </w:rPr>
            </w:pPr>
            <w:r w:rsidRPr="00974100">
              <w:rPr>
                <w:rFonts w:asciiTheme="minorHAnsi" w:hAnsiTheme="minorHAnsi" w:cstheme="minorHAnsi"/>
                <w:szCs w:val="18"/>
              </w:rPr>
              <w:t>EDP D.41</w:t>
            </w:r>
          </w:p>
        </w:tc>
        <w:tc>
          <w:tcPr>
            <w:tcW w:w="751" w:type="dxa"/>
            <w:vAlign w:val="center"/>
          </w:tcPr>
          <w:p w14:paraId="2A09F0C4" w14:textId="7861D43E"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5</w:t>
            </w:r>
          </w:p>
        </w:tc>
        <w:tc>
          <w:tcPr>
            <w:tcW w:w="893" w:type="dxa"/>
            <w:vAlign w:val="center"/>
          </w:tcPr>
          <w:p w14:paraId="5A66459A" w14:textId="6E902E6F"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5</w:t>
            </w:r>
          </w:p>
        </w:tc>
        <w:tc>
          <w:tcPr>
            <w:tcW w:w="893" w:type="dxa"/>
            <w:vAlign w:val="center"/>
          </w:tcPr>
          <w:p w14:paraId="2088F9D7" w14:textId="4762A1CE"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6</w:t>
            </w:r>
          </w:p>
        </w:tc>
        <w:tc>
          <w:tcPr>
            <w:tcW w:w="893" w:type="dxa"/>
            <w:vAlign w:val="center"/>
          </w:tcPr>
          <w:p w14:paraId="41E57F3A" w14:textId="02E3458C"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893" w:type="dxa"/>
            <w:vAlign w:val="center"/>
          </w:tcPr>
          <w:p w14:paraId="767DB072" w14:textId="73A609A1"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8</w:t>
            </w:r>
          </w:p>
        </w:tc>
      </w:tr>
      <w:tr w:rsidR="005B2032" w:rsidRPr="005B2032" w14:paraId="74081D2F" w14:textId="4EE70863" w:rsidTr="00C2491D">
        <w:trPr>
          <w:trHeight w:val="397"/>
          <w:jc w:val="center"/>
        </w:trPr>
        <w:tc>
          <w:tcPr>
            <w:tcW w:w="3883" w:type="dxa"/>
            <w:vAlign w:val="center"/>
            <w:hideMark/>
          </w:tcPr>
          <w:p w14:paraId="11E59025" w14:textId="77777777" w:rsidR="00DB590A" w:rsidRPr="005B2032" w:rsidRDefault="00DB590A" w:rsidP="00DB590A">
            <w:pPr>
              <w:pStyle w:val="tabletextleft"/>
              <w:rPr>
                <w:rFonts w:asciiTheme="minorHAnsi" w:hAnsiTheme="minorHAnsi" w:cstheme="minorHAnsi"/>
                <w:szCs w:val="18"/>
              </w:rPr>
            </w:pPr>
            <w:r w:rsidRPr="005B2032">
              <w:rPr>
                <w:rFonts w:asciiTheme="minorHAnsi" w:hAnsiTheme="minorHAnsi" w:cstheme="minorHAnsi"/>
                <w:szCs w:val="18"/>
              </w:rPr>
              <w:t>4. Еднократни и други временни мерки</w:t>
            </w:r>
          </w:p>
        </w:tc>
        <w:tc>
          <w:tcPr>
            <w:tcW w:w="856" w:type="dxa"/>
            <w:vAlign w:val="center"/>
          </w:tcPr>
          <w:p w14:paraId="2ED7A971" w14:textId="77777777" w:rsidR="00DB590A" w:rsidRPr="00974100" w:rsidRDefault="00DB590A" w:rsidP="00974100">
            <w:pPr>
              <w:pStyle w:val="tabletextleft"/>
              <w:rPr>
                <w:rFonts w:asciiTheme="minorHAnsi" w:hAnsiTheme="minorHAnsi" w:cstheme="minorHAnsi"/>
                <w:szCs w:val="18"/>
              </w:rPr>
            </w:pPr>
          </w:p>
        </w:tc>
        <w:tc>
          <w:tcPr>
            <w:tcW w:w="751" w:type="dxa"/>
            <w:vAlign w:val="center"/>
          </w:tcPr>
          <w:p w14:paraId="228C3144" w14:textId="26CA01E8"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-4</w:t>
            </w:r>
            <w:r w:rsidR="000B3666" w:rsidRPr="00974100">
              <w:rPr>
                <w:rFonts w:asciiTheme="minorHAnsi" w:hAnsiTheme="minorHAnsi" w:cstheme="minorHAnsi"/>
                <w:szCs w:val="18"/>
              </w:rPr>
              <w:t>.</w:t>
            </w:r>
            <w:r w:rsidRPr="00974100">
              <w:rPr>
                <w:rFonts w:asciiTheme="minorHAnsi" w:hAnsiTheme="minorHAnsi" w:cstheme="minorHAnsi"/>
                <w:szCs w:val="18"/>
              </w:rPr>
              <w:t>6</w:t>
            </w:r>
          </w:p>
        </w:tc>
        <w:tc>
          <w:tcPr>
            <w:tcW w:w="893" w:type="dxa"/>
            <w:vAlign w:val="center"/>
          </w:tcPr>
          <w:p w14:paraId="774AAFAD" w14:textId="09813824"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1</w:t>
            </w:r>
          </w:p>
        </w:tc>
        <w:tc>
          <w:tcPr>
            <w:tcW w:w="893" w:type="dxa"/>
            <w:vAlign w:val="center"/>
          </w:tcPr>
          <w:p w14:paraId="074285F9" w14:textId="34CEDB2B"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2</w:t>
            </w:r>
          </w:p>
        </w:tc>
        <w:tc>
          <w:tcPr>
            <w:tcW w:w="893" w:type="dxa"/>
            <w:vAlign w:val="center"/>
          </w:tcPr>
          <w:p w14:paraId="1E1A5A54" w14:textId="05C79835"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0</w:t>
            </w:r>
          </w:p>
        </w:tc>
        <w:tc>
          <w:tcPr>
            <w:tcW w:w="893" w:type="dxa"/>
            <w:vAlign w:val="center"/>
          </w:tcPr>
          <w:p w14:paraId="1039AB4A" w14:textId="52DF56E4" w:rsidR="00DB590A" w:rsidRPr="00974100" w:rsidRDefault="00DB590A" w:rsidP="00974100">
            <w:pPr>
              <w:pStyle w:val="tabletextleft"/>
              <w:jc w:val="right"/>
              <w:rPr>
                <w:rFonts w:asciiTheme="minorHAnsi" w:hAnsiTheme="minorHAnsi" w:cstheme="minorHAnsi"/>
                <w:szCs w:val="18"/>
              </w:rPr>
            </w:pPr>
            <w:r w:rsidRPr="00974100">
              <w:rPr>
                <w:rFonts w:asciiTheme="minorHAnsi" w:hAnsiTheme="minorHAnsi" w:cstheme="minorHAnsi"/>
                <w:szCs w:val="18"/>
              </w:rPr>
              <w:t>0</w:t>
            </w:r>
            <w:r w:rsidR="000B3666" w:rsidRPr="00974100">
              <w:rPr>
                <w:rFonts w:asciiTheme="minorHAnsi" w:hAnsiTheme="minorHAnsi" w:cstheme="minorHAnsi"/>
                <w:szCs w:val="18"/>
              </w:rPr>
              <w:t>.</w:t>
            </w:r>
            <w:r w:rsidRPr="00974100">
              <w:rPr>
                <w:rFonts w:asciiTheme="minorHAnsi" w:hAnsiTheme="minorHAnsi" w:cstheme="minorHAnsi"/>
                <w:szCs w:val="18"/>
              </w:rPr>
              <w:t>0</w:t>
            </w:r>
          </w:p>
        </w:tc>
      </w:tr>
      <w:tr w:rsidR="005B2032" w:rsidRPr="005B2032" w14:paraId="35829274" w14:textId="0F6CE9E3" w:rsidTr="00C2491D">
        <w:trPr>
          <w:trHeight w:val="397"/>
          <w:jc w:val="center"/>
        </w:trPr>
        <w:tc>
          <w:tcPr>
            <w:tcW w:w="3883" w:type="dxa"/>
            <w:vAlign w:val="center"/>
            <w:hideMark/>
          </w:tcPr>
          <w:p w14:paraId="765477A7" w14:textId="77777777" w:rsidR="007C6657" w:rsidRPr="005B2032" w:rsidRDefault="007C6657" w:rsidP="007C6657">
            <w:pPr>
              <w:pStyle w:val="tabletextleft"/>
              <w:rPr>
                <w:rFonts w:asciiTheme="minorHAnsi" w:hAnsiTheme="minorHAnsi" w:cstheme="minorHAnsi"/>
                <w:szCs w:val="18"/>
              </w:rPr>
            </w:pPr>
            <w:r w:rsidRPr="005B2032">
              <w:rPr>
                <w:rFonts w:asciiTheme="minorHAnsi" w:hAnsiTheme="minorHAnsi" w:cstheme="minorHAnsi"/>
                <w:szCs w:val="18"/>
              </w:rPr>
              <w:t>5. Растеж на потенциалния БВП (%)</w:t>
            </w:r>
          </w:p>
        </w:tc>
        <w:tc>
          <w:tcPr>
            <w:tcW w:w="856" w:type="dxa"/>
            <w:vAlign w:val="center"/>
          </w:tcPr>
          <w:p w14:paraId="217F2AF2" w14:textId="77777777" w:rsidR="007C6657" w:rsidRPr="00974100" w:rsidRDefault="007C6657" w:rsidP="00974100">
            <w:pPr>
              <w:pStyle w:val="tabletextleft"/>
              <w:rPr>
                <w:rFonts w:asciiTheme="minorHAnsi" w:hAnsiTheme="minorHAnsi" w:cstheme="minorHAnsi"/>
                <w:szCs w:val="18"/>
              </w:rPr>
            </w:pPr>
          </w:p>
        </w:tc>
        <w:tc>
          <w:tcPr>
            <w:tcW w:w="751" w:type="dxa"/>
            <w:vAlign w:val="center"/>
          </w:tcPr>
          <w:p w14:paraId="269F4156" w14:textId="3828A285"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1</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893" w:type="dxa"/>
            <w:vAlign w:val="center"/>
          </w:tcPr>
          <w:p w14:paraId="469A354B" w14:textId="1901E5E3"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0</w:t>
            </w:r>
          </w:p>
        </w:tc>
        <w:tc>
          <w:tcPr>
            <w:tcW w:w="893" w:type="dxa"/>
            <w:vAlign w:val="center"/>
          </w:tcPr>
          <w:p w14:paraId="24FB48CD" w14:textId="3615216E"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6</w:t>
            </w:r>
          </w:p>
        </w:tc>
        <w:tc>
          <w:tcPr>
            <w:tcW w:w="893" w:type="dxa"/>
            <w:vAlign w:val="center"/>
          </w:tcPr>
          <w:p w14:paraId="5724B00C" w14:textId="5163585F"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8</w:t>
            </w:r>
          </w:p>
        </w:tc>
        <w:tc>
          <w:tcPr>
            <w:tcW w:w="893" w:type="dxa"/>
            <w:vAlign w:val="center"/>
          </w:tcPr>
          <w:p w14:paraId="60555F30" w14:textId="3A21C8D5" w:rsidR="007C6657" w:rsidRPr="00974100" w:rsidRDefault="007C6657" w:rsidP="00974100">
            <w:pPr>
              <w:pStyle w:val="tabletextleft"/>
              <w:jc w:val="right"/>
              <w:rPr>
                <w:rFonts w:asciiTheme="minorHAnsi" w:hAnsiTheme="minorHAnsi" w:cstheme="minorHAnsi"/>
                <w:szCs w:val="18"/>
              </w:rPr>
            </w:pPr>
            <w:r w:rsidRPr="00974100">
              <w:rPr>
                <w:rFonts w:asciiTheme="minorHAnsi" w:hAnsiTheme="minorHAnsi" w:cstheme="minorHAnsi"/>
                <w:szCs w:val="18"/>
              </w:rPr>
              <w:t>2</w:t>
            </w:r>
            <w:r w:rsidR="000B3666" w:rsidRPr="00974100">
              <w:rPr>
                <w:rFonts w:asciiTheme="minorHAnsi" w:hAnsiTheme="minorHAnsi" w:cstheme="minorHAnsi"/>
                <w:szCs w:val="18"/>
              </w:rPr>
              <w:t>.</w:t>
            </w:r>
            <w:r w:rsidRPr="00974100">
              <w:rPr>
                <w:rFonts w:asciiTheme="minorHAnsi" w:hAnsiTheme="minorHAnsi" w:cstheme="minorHAnsi"/>
                <w:szCs w:val="18"/>
              </w:rPr>
              <w:t>8</w:t>
            </w:r>
          </w:p>
        </w:tc>
      </w:tr>
      <w:tr w:rsidR="005B2032" w:rsidRPr="005B2032" w14:paraId="089E2197" w14:textId="46319758" w:rsidTr="00C2491D">
        <w:trPr>
          <w:trHeight w:val="397"/>
          <w:jc w:val="center"/>
        </w:trPr>
        <w:tc>
          <w:tcPr>
            <w:tcW w:w="3883" w:type="dxa"/>
            <w:vAlign w:val="center"/>
            <w:hideMark/>
          </w:tcPr>
          <w:p w14:paraId="6D393AAA" w14:textId="77777777" w:rsidR="00760E26" w:rsidRPr="005B2032" w:rsidRDefault="00760E26" w:rsidP="00C1337B">
            <w:pPr>
              <w:pStyle w:val="tabletextleft"/>
              <w:rPr>
                <w:rFonts w:asciiTheme="minorHAnsi" w:hAnsiTheme="minorHAnsi" w:cstheme="minorHAnsi"/>
                <w:szCs w:val="18"/>
              </w:rPr>
            </w:pPr>
            <w:r w:rsidRPr="005B2032">
              <w:rPr>
                <w:rFonts w:asciiTheme="minorHAnsi" w:hAnsiTheme="minorHAnsi" w:cstheme="minorHAnsi"/>
                <w:szCs w:val="18"/>
              </w:rPr>
              <w:t>Приноси:</w:t>
            </w:r>
          </w:p>
        </w:tc>
        <w:tc>
          <w:tcPr>
            <w:tcW w:w="856" w:type="dxa"/>
            <w:vAlign w:val="center"/>
          </w:tcPr>
          <w:p w14:paraId="478C7362" w14:textId="77777777" w:rsidR="00760E26" w:rsidRPr="00974100" w:rsidRDefault="00760E26" w:rsidP="00974100">
            <w:pPr>
              <w:pStyle w:val="tabletextleft"/>
              <w:rPr>
                <w:rFonts w:asciiTheme="minorHAnsi" w:hAnsiTheme="minorHAnsi" w:cstheme="minorHAnsi"/>
                <w:szCs w:val="18"/>
              </w:rPr>
            </w:pPr>
          </w:p>
        </w:tc>
        <w:tc>
          <w:tcPr>
            <w:tcW w:w="751" w:type="dxa"/>
            <w:vAlign w:val="center"/>
          </w:tcPr>
          <w:p w14:paraId="72335888" w14:textId="77777777" w:rsidR="00760E26" w:rsidRPr="00974100" w:rsidRDefault="00760E26" w:rsidP="00974100">
            <w:pPr>
              <w:pStyle w:val="tabletextleft"/>
              <w:jc w:val="right"/>
              <w:rPr>
                <w:rFonts w:asciiTheme="minorHAnsi" w:hAnsiTheme="minorHAnsi" w:cstheme="minorHAnsi"/>
                <w:szCs w:val="18"/>
              </w:rPr>
            </w:pPr>
          </w:p>
        </w:tc>
        <w:tc>
          <w:tcPr>
            <w:tcW w:w="893" w:type="dxa"/>
            <w:vAlign w:val="center"/>
          </w:tcPr>
          <w:p w14:paraId="36D842C2" w14:textId="77777777" w:rsidR="00760E26" w:rsidRPr="00974100" w:rsidRDefault="00760E26" w:rsidP="00974100">
            <w:pPr>
              <w:pStyle w:val="tabletextleft"/>
              <w:jc w:val="right"/>
              <w:rPr>
                <w:rFonts w:asciiTheme="minorHAnsi" w:hAnsiTheme="minorHAnsi" w:cstheme="minorHAnsi"/>
                <w:szCs w:val="18"/>
              </w:rPr>
            </w:pPr>
          </w:p>
        </w:tc>
        <w:tc>
          <w:tcPr>
            <w:tcW w:w="893" w:type="dxa"/>
            <w:vAlign w:val="center"/>
          </w:tcPr>
          <w:p w14:paraId="2185CEF1" w14:textId="77777777" w:rsidR="00760E26" w:rsidRPr="00974100" w:rsidRDefault="00760E26" w:rsidP="00974100">
            <w:pPr>
              <w:pStyle w:val="tabletextleft"/>
              <w:jc w:val="right"/>
              <w:rPr>
                <w:rFonts w:asciiTheme="minorHAnsi" w:hAnsiTheme="minorHAnsi" w:cstheme="minorHAnsi"/>
                <w:szCs w:val="18"/>
              </w:rPr>
            </w:pPr>
          </w:p>
        </w:tc>
        <w:tc>
          <w:tcPr>
            <w:tcW w:w="893" w:type="dxa"/>
            <w:vAlign w:val="center"/>
          </w:tcPr>
          <w:p w14:paraId="2560AB73" w14:textId="77777777" w:rsidR="00760E26" w:rsidRPr="00974100" w:rsidRDefault="00760E26" w:rsidP="00974100">
            <w:pPr>
              <w:pStyle w:val="tabletextleft"/>
              <w:jc w:val="right"/>
              <w:rPr>
                <w:rFonts w:asciiTheme="minorHAnsi" w:hAnsiTheme="minorHAnsi" w:cstheme="minorHAnsi"/>
                <w:szCs w:val="18"/>
              </w:rPr>
            </w:pPr>
          </w:p>
        </w:tc>
        <w:tc>
          <w:tcPr>
            <w:tcW w:w="893" w:type="dxa"/>
            <w:vAlign w:val="center"/>
          </w:tcPr>
          <w:p w14:paraId="7787DBD0" w14:textId="77777777" w:rsidR="00760E26" w:rsidRPr="00974100" w:rsidRDefault="00760E26" w:rsidP="00974100">
            <w:pPr>
              <w:pStyle w:val="tabletextleft"/>
              <w:jc w:val="right"/>
              <w:rPr>
                <w:rFonts w:asciiTheme="minorHAnsi" w:hAnsiTheme="minorHAnsi" w:cstheme="minorHAnsi"/>
                <w:szCs w:val="18"/>
              </w:rPr>
            </w:pPr>
          </w:p>
        </w:tc>
      </w:tr>
      <w:tr w:rsidR="00B040FF" w:rsidRPr="005B2032" w14:paraId="0499ADE7" w14:textId="3208BA64" w:rsidTr="00C2491D">
        <w:trPr>
          <w:trHeight w:val="397"/>
          <w:jc w:val="center"/>
        </w:trPr>
        <w:tc>
          <w:tcPr>
            <w:tcW w:w="3883" w:type="dxa"/>
            <w:vAlign w:val="center"/>
            <w:hideMark/>
          </w:tcPr>
          <w:p w14:paraId="357B43EC" w14:textId="77777777" w:rsidR="00B040FF" w:rsidRPr="005B2032" w:rsidRDefault="00B040FF" w:rsidP="00B040FF">
            <w:pPr>
              <w:pStyle w:val="tabletextleft"/>
              <w:ind w:left="170"/>
              <w:rPr>
                <w:rFonts w:asciiTheme="minorHAnsi" w:hAnsiTheme="minorHAnsi" w:cstheme="minorHAnsi"/>
                <w:szCs w:val="18"/>
              </w:rPr>
            </w:pPr>
            <w:r w:rsidRPr="005B2032">
              <w:rPr>
                <w:rFonts w:asciiTheme="minorHAnsi" w:hAnsiTheme="minorHAnsi" w:cstheme="minorHAnsi"/>
                <w:szCs w:val="18"/>
              </w:rPr>
              <w:t>труд</w:t>
            </w:r>
          </w:p>
        </w:tc>
        <w:tc>
          <w:tcPr>
            <w:tcW w:w="856" w:type="dxa"/>
            <w:vAlign w:val="center"/>
          </w:tcPr>
          <w:p w14:paraId="54E972B3" w14:textId="4CD38A21" w:rsidR="00B040FF" w:rsidRPr="00974100" w:rsidRDefault="00B040FF" w:rsidP="00B040FF">
            <w:pPr>
              <w:pStyle w:val="tabletextleft"/>
              <w:rPr>
                <w:rFonts w:asciiTheme="minorHAnsi" w:hAnsiTheme="minorHAnsi" w:cstheme="minorHAnsi"/>
                <w:szCs w:val="18"/>
              </w:rPr>
            </w:pPr>
          </w:p>
        </w:tc>
        <w:tc>
          <w:tcPr>
            <w:tcW w:w="751" w:type="dxa"/>
            <w:vAlign w:val="center"/>
          </w:tcPr>
          <w:p w14:paraId="1AE21F30" w14:textId="16435758"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0.0</w:t>
            </w:r>
          </w:p>
        </w:tc>
        <w:tc>
          <w:tcPr>
            <w:tcW w:w="893" w:type="dxa"/>
            <w:vAlign w:val="center"/>
          </w:tcPr>
          <w:p w14:paraId="6FD325F6" w14:textId="307A7CB9"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0.2</w:t>
            </w:r>
          </w:p>
        </w:tc>
        <w:tc>
          <w:tcPr>
            <w:tcW w:w="893" w:type="dxa"/>
            <w:vAlign w:val="center"/>
          </w:tcPr>
          <w:p w14:paraId="1264510C" w14:textId="660F900F"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0.5</w:t>
            </w:r>
          </w:p>
        </w:tc>
        <w:tc>
          <w:tcPr>
            <w:tcW w:w="893" w:type="dxa"/>
            <w:vAlign w:val="center"/>
          </w:tcPr>
          <w:p w14:paraId="2D85E472" w14:textId="7E167AE5"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0.5</w:t>
            </w:r>
          </w:p>
        </w:tc>
        <w:tc>
          <w:tcPr>
            <w:tcW w:w="893" w:type="dxa"/>
            <w:vAlign w:val="center"/>
          </w:tcPr>
          <w:p w14:paraId="13E363AD" w14:textId="3F758F2A"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0.3</w:t>
            </w:r>
          </w:p>
        </w:tc>
      </w:tr>
      <w:tr w:rsidR="00B040FF" w:rsidRPr="005B2032" w14:paraId="26DD9D87" w14:textId="1573930E" w:rsidTr="00C2491D">
        <w:trPr>
          <w:trHeight w:val="397"/>
          <w:jc w:val="center"/>
        </w:trPr>
        <w:tc>
          <w:tcPr>
            <w:tcW w:w="3883" w:type="dxa"/>
            <w:vAlign w:val="center"/>
            <w:hideMark/>
          </w:tcPr>
          <w:p w14:paraId="16B12B25" w14:textId="77777777" w:rsidR="00B040FF" w:rsidRPr="005B2032" w:rsidRDefault="00B040FF" w:rsidP="00B040FF">
            <w:pPr>
              <w:pStyle w:val="tabletextleft"/>
              <w:ind w:left="170"/>
              <w:rPr>
                <w:rFonts w:asciiTheme="minorHAnsi" w:hAnsiTheme="minorHAnsi" w:cstheme="minorHAnsi"/>
                <w:szCs w:val="18"/>
              </w:rPr>
            </w:pPr>
            <w:r w:rsidRPr="005B2032">
              <w:rPr>
                <w:rFonts w:asciiTheme="minorHAnsi" w:hAnsiTheme="minorHAnsi" w:cstheme="minorHAnsi"/>
                <w:szCs w:val="18"/>
              </w:rPr>
              <w:t>капитал</w:t>
            </w:r>
          </w:p>
        </w:tc>
        <w:tc>
          <w:tcPr>
            <w:tcW w:w="856" w:type="dxa"/>
            <w:vAlign w:val="center"/>
          </w:tcPr>
          <w:p w14:paraId="25D0F512" w14:textId="2FB12D72" w:rsidR="00B040FF" w:rsidRPr="00974100" w:rsidRDefault="00B040FF" w:rsidP="00B040FF">
            <w:pPr>
              <w:pStyle w:val="tabletextleft"/>
              <w:rPr>
                <w:rFonts w:asciiTheme="minorHAnsi" w:hAnsiTheme="minorHAnsi" w:cstheme="minorHAnsi"/>
                <w:szCs w:val="18"/>
              </w:rPr>
            </w:pPr>
          </w:p>
        </w:tc>
        <w:tc>
          <w:tcPr>
            <w:tcW w:w="751" w:type="dxa"/>
            <w:vAlign w:val="center"/>
          </w:tcPr>
          <w:p w14:paraId="5C568A14" w14:textId="1C020E5C"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0.5</w:t>
            </w:r>
          </w:p>
        </w:tc>
        <w:tc>
          <w:tcPr>
            <w:tcW w:w="893" w:type="dxa"/>
            <w:vAlign w:val="center"/>
          </w:tcPr>
          <w:p w14:paraId="7EFC1999" w14:textId="15ED9992"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0.7</w:t>
            </w:r>
          </w:p>
        </w:tc>
        <w:tc>
          <w:tcPr>
            <w:tcW w:w="893" w:type="dxa"/>
            <w:vAlign w:val="center"/>
          </w:tcPr>
          <w:p w14:paraId="286EF7D9" w14:textId="572927B7"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0.9</w:t>
            </w:r>
          </w:p>
        </w:tc>
        <w:tc>
          <w:tcPr>
            <w:tcW w:w="893" w:type="dxa"/>
            <w:vAlign w:val="center"/>
          </w:tcPr>
          <w:p w14:paraId="4426FDA6" w14:textId="60E581BA"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1.0</w:t>
            </w:r>
          </w:p>
        </w:tc>
        <w:tc>
          <w:tcPr>
            <w:tcW w:w="893" w:type="dxa"/>
            <w:vAlign w:val="center"/>
          </w:tcPr>
          <w:p w14:paraId="0DDD4433" w14:textId="5FAEAC23"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1.2</w:t>
            </w:r>
          </w:p>
        </w:tc>
      </w:tr>
      <w:tr w:rsidR="00B040FF" w:rsidRPr="005B2032" w14:paraId="715F5135" w14:textId="7C8E1045" w:rsidTr="00C2491D">
        <w:trPr>
          <w:trHeight w:val="397"/>
          <w:jc w:val="center"/>
        </w:trPr>
        <w:tc>
          <w:tcPr>
            <w:tcW w:w="3883" w:type="dxa"/>
            <w:vAlign w:val="center"/>
            <w:hideMark/>
          </w:tcPr>
          <w:p w14:paraId="1EF0FDD1" w14:textId="77777777" w:rsidR="00B040FF" w:rsidRPr="005B2032" w:rsidRDefault="00B040FF" w:rsidP="00B040FF">
            <w:pPr>
              <w:pStyle w:val="tabletextleft"/>
              <w:ind w:left="170"/>
              <w:rPr>
                <w:rFonts w:asciiTheme="minorHAnsi" w:hAnsiTheme="minorHAnsi" w:cstheme="minorHAnsi"/>
                <w:szCs w:val="18"/>
              </w:rPr>
            </w:pPr>
            <w:r w:rsidRPr="005B2032">
              <w:rPr>
                <w:rFonts w:asciiTheme="minorHAnsi" w:hAnsiTheme="minorHAnsi" w:cstheme="minorHAnsi"/>
                <w:szCs w:val="18"/>
              </w:rPr>
              <w:t>обща факторна производителност</w:t>
            </w:r>
          </w:p>
        </w:tc>
        <w:tc>
          <w:tcPr>
            <w:tcW w:w="856" w:type="dxa"/>
            <w:vAlign w:val="center"/>
          </w:tcPr>
          <w:p w14:paraId="1E45F021" w14:textId="5B8CF508" w:rsidR="00B040FF" w:rsidRPr="00974100" w:rsidRDefault="00B040FF" w:rsidP="00B040FF">
            <w:pPr>
              <w:pStyle w:val="tabletextleft"/>
              <w:rPr>
                <w:rFonts w:asciiTheme="minorHAnsi" w:hAnsiTheme="minorHAnsi" w:cstheme="minorHAnsi"/>
                <w:szCs w:val="18"/>
              </w:rPr>
            </w:pPr>
          </w:p>
        </w:tc>
        <w:tc>
          <w:tcPr>
            <w:tcW w:w="751" w:type="dxa"/>
            <w:vAlign w:val="center"/>
          </w:tcPr>
          <w:p w14:paraId="7C19D41D" w14:textId="4B0EA650"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1.2</w:t>
            </w:r>
          </w:p>
        </w:tc>
        <w:tc>
          <w:tcPr>
            <w:tcW w:w="893" w:type="dxa"/>
            <w:vAlign w:val="center"/>
          </w:tcPr>
          <w:p w14:paraId="05EB4A3C" w14:textId="0C0F1E9C"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1.2</w:t>
            </w:r>
          </w:p>
        </w:tc>
        <w:tc>
          <w:tcPr>
            <w:tcW w:w="893" w:type="dxa"/>
            <w:vAlign w:val="center"/>
          </w:tcPr>
          <w:p w14:paraId="2E8B9047" w14:textId="3B160E74"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1.3</w:t>
            </w:r>
          </w:p>
        </w:tc>
        <w:tc>
          <w:tcPr>
            <w:tcW w:w="893" w:type="dxa"/>
            <w:vAlign w:val="center"/>
          </w:tcPr>
          <w:p w14:paraId="3B2ABB46" w14:textId="5835526E"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1.3</w:t>
            </w:r>
          </w:p>
        </w:tc>
        <w:tc>
          <w:tcPr>
            <w:tcW w:w="893" w:type="dxa"/>
            <w:vAlign w:val="center"/>
          </w:tcPr>
          <w:p w14:paraId="71132CA9" w14:textId="10A81B15"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1.3</w:t>
            </w:r>
          </w:p>
        </w:tc>
      </w:tr>
      <w:tr w:rsidR="00B040FF" w:rsidRPr="005B2032" w14:paraId="1281B236" w14:textId="07A54A81" w:rsidTr="00C2491D">
        <w:trPr>
          <w:trHeight w:val="397"/>
          <w:jc w:val="center"/>
        </w:trPr>
        <w:tc>
          <w:tcPr>
            <w:tcW w:w="3883" w:type="dxa"/>
            <w:vAlign w:val="center"/>
            <w:hideMark/>
          </w:tcPr>
          <w:p w14:paraId="70BB43DB" w14:textId="77777777" w:rsidR="00B040FF" w:rsidRPr="005B2032" w:rsidRDefault="00B040FF" w:rsidP="00B040FF">
            <w:pPr>
              <w:pStyle w:val="tabletextleft"/>
              <w:rPr>
                <w:rFonts w:asciiTheme="minorHAnsi" w:hAnsiTheme="minorHAnsi" w:cstheme="minorHAnsi"/>
                <w:szCs w:val="18"/>
              </w:rPr>
            </w:pPr>
            <w:r w:rsidRPr="005B2032">
              <w:rPr>
                <w:rFonts w:asciiTheme="minorHAnsi" w:hAnsiTheme="minorHAnsi" w:cstheme="minorHAnsi"/>
                <w:szCs w:val="18"/>
              </w:rPr>
              <w:t>6. Отклонение от потенциалния БВП</w:t>
            </w:r>
          </w:p>
        </w:tc>
        <w:tc>
          <w:tcPr>
            <w:tcW w:w="856" w:type="dxa"/>
            <w:vAlign w:val="center"/>
          </w:tcPr>
          <w:p w14:paraId="5B270E16" w14:textId="7E684CC2" w:rsidR="00B040FF" w:rsidRPr="00974100" w:rsidRDefault="00B040FF" w:rsidP="00B040FF">
            <w:pPr>
              <w:pStyle w:val="tabletextleft"/>
              <w:rPr>
                <w:rFonts w:asciiTheme="minorHAnsi" w:hAnsiTheme="minorHAnsi" w:cstheme="minorHAnsi"/>
                <w:szCs w:val="18"/>
              </w:rPr>
            </w:pPr>
          </w:p>
        </w:tc>
        <w:tc>
          <w:tcPr>
            <w:tcW w:w="751" w:type="dxa"/>
            <w:vAlign w:val="center"/>
          </w:tcPr>
          <w:p w14:paraId="045440A1" w14:textId="1C23B54B"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-1.0</w:t>
            </w:r>
          </w:p>
        </w:tc>
        <w:tc>
          <w:tcPr>
            <w:tcW w:w="893" w:type="dxa"/>
            <w:vAlign w:val="center"/>
          </w:tcPr>
          <w:p w14:paraId="2F4023C6" w14:textId="20EECEB9"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-0.5</w:t>
            </w:r>
          </w:p>
        </w:tc>
        <w:tc>
          <w:tcPr>
            <w:tcW w:w="893" w:type="dxa"/>
            <w:vAlign w:val="center"/>
          </w:tcPr>
          <w:p w14:paraId="4AA9411D" w14:textId="047D45D5"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-0.3</w:t>
            </w:r>
          </w:p>
        </w:tc>
        <w:tc>
          <w:tcPr>
            <w:tcW w:w="893" w:type="dxa"/>
            <w:vAlign w:val="center"/>
          </w:tcPr>
          <w:p w14:paraId="5A33DBBC" w14:textId="54ECBFD0"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0.5</w:t>
            </w:r>
          </w:p>
        </w:tc>
        <w:tc>
          <w:tcPr>
            <w:tcW w:w="893" w:type="dxa"/>
            <w:vAlign w:val="center"/>
          </w:tcPr>
          <w:p w14:paraId="6B27FB1F" w14:textId="19877AB0"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1.1</w:t>
            </w:r>
          </w:p>
        </w:tc>
      </w:tr>
      <w:tr w:rsidR="00B040FF" w:rsidRPr="005B2032" w14:paraId="3A1FB655" w14:textId="77D9C04E" w:rsidTr="00C2491D">
        <w:trPr>
          <w:trHeight w:val="397"/>
          <w:jc w:val="center"/>
        </w:trPr>
        <w:tc>
          <w:tcPr>
            <w:tcW w:w="3883" w:type="dxa"/>
            <w:vAlign w:val="center"/>
            <w:hideMark/>
          </w:tcPr>
          <w:p w14:paraId="149E7F36" w14:textId="77777777" w:rsidR="00B040FF" w:rsidRPr="005B2032" w:rsidRDefault="00B040FF" w:rsidP="00B040FF">
            <w:pPr>
              <w:pStyle w:val="tabletextleft"/>
              <w:rPr>
                <w:rFonts w:asciiTheme="minorHAnsi" w:hAnsiTheme="minorHAnsi" w:cstheme="minorHAnsi"/>
                <w:szCs w:val="18"/>
              </w:rPr>
            </w:pPr>
            <w:r w:rsidRPr="005B2032">
              <w:rPr>
                <w:rFonts w:asciiTheme="minorHAnsi" w:hAnsiTheme="minorHAnsi" w:cstheme="minorHAnsi"/>
                <w:szCs w:val="18"/>
              </w:rPr>
              <w:t>7. Циклична компонента на бюджета</w:t>
            </w:r>
          </w:p>
        </w:tc>
        <w:tc>
          <w:tcPr>
            <w:tcW w:w="856" w:type="dxa"/>
            <w:vAlign w:val="center"/>
          </w:tcPr>
          <w:p w14:paraId="1F82F9EF" w14:textId="5062AFB6" w:rsidR="00B040FF" w:rsidRPr="00974100" w:rsidRDefault="00B040FF" w:rsidP="00B040FF">
            <w:pPr>
              <w:pStyle w:val="tabletextleft"/>
              <w:rPr>
                <w:rFonts w:asciiTheme="minorHAnsi" w:hAnsiTheme="minorHAnsi" w:cstheme="minorHAnsi"/>
                <w:szCs w:val="18"/>
                <w:highlight w:val="yellow"/>
              </w:rPr>
            </w:pPr>
          </w:p>
        </w:tc>
        <w:tc>
          <w:tcPr>
            <w:tcW w:w="751" w:type="dxa"/>
            <w:vAlign w:val="center"/>
          </w:tcPr>
          <w:p w14:paraId="7EBB0BF4" w14:textId="7D7A6988"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-0.3</w:t>
            </w:r>
          </w:p>
        </w:tc>
        <w:tc>
          <w:tcPr>
            <w:tcW w:w="893" w:type="dxa"/>
            <w:vAlign w:val="center"/>
          </w:tcPr>
          <w:p w14:paraId="68C69071" w14:textId="5C2F7E11"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-0.1</w:t>
            </w:r>
          </w:p>
        </w:tc>
        <w:tc>
          <w:tcPr>
            <w:tcW w:w="893" w:type="dxa"/>
            <w:vAlign w:val="center"/>
          </w:tcPr>
          <w:p w14:paraId="24A0222F" w14:textId="25042F2A"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-0.1</w:t>
            </w:r>
          </w:p>
        </w:tc>
        <w:tc>
          <w:tcPr>
            <w:tcW w:w="893" w:type="dxa"/>
            <w:vAlign w:val="center"/>
          </w:tcPr>
          <w:p w14:paraId="2E4C2477" w14:textId="2C9221B2"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0.2</w:t>
            </w:r>
          </w:p>
        </w:tc>
        <w:tc>
          <w:tcPr>
            <w:tcW w:w="893" w:type="dxa"/>
            <w:vAlign w:val="center"/>
          </w:tcPr>
          <w:p w14:paraId="77B36DD6" w14:textId="7D236F6B"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0.3</w:t>
            </w:r>
          </w:p>
        </w:tc>
      </w:tr>
      <w:tr w:rsidR="00B040FF" w:rsidRPr="005B2032" w14:paraId="04F5BE55" w14:textId="3989B489" w:rsidTr="00C2491D">
        <w:trPr>
          <w:trHeight w:val="397"/>
          <w:jc w:val="center"/>
        </w:trPr>
        <w:tc>
          <w:tcPr>
            <w:tcW w:w="3883" w:type="dxa"/>
            <w:vAlign w:val="center"/>
            <w:hideMark/>
          </w:tcPr>
          <w:p w14:paraId="6DA2B132" w14:textId="77777777" w:rsidR="00B040FF" w:rsidRPr="005B2032" w:rsidRDefault="00B040FF" w:rsidP="00B040FF">
            <w:pPr>
              <w:pStyle w:val="tabletextleft"/>
              <w:rPr>
                <w:rFonts w:asciiTheme="minorHAnsi" w:hAnsiTheme="minorHAnsi" w:cstheme="minorHAnsi"/>
                <w:szCs w:val="18"/>
              </w:rPr>
            </w:pPr>
            <w:r w:rsidRPr="005B2032">
              <w:rPr>
                <w:rFonts w:asciiTheme="minorHAnsi" w:hAnsiTheme="minorHAnsi" w:cstheme="minorHAnsi"/>
                <w:szCs w:val="18"/>
              </w:rPr>
              <w:t>8. Циклично приспособен баланс (2-7)</w:t>
            </w:r>
          </w:p>
        </w:tc>
        <w:tc>
          <w:tcPr>
            <w:tcW w:w="856" w:type="dxa"/>
            <w:vAlign w:val="center"/>
          </w:tcPr>
          <w:p w14:paraId="1574AE99" w14:textId="6C4BD7C0" w:rsidR="00B040FF" w:rsidRPr="00974100" w:rsidRDefault="00B040FF" w:rsidP="00B040FF">
            <w:pPr>
              <w:pStyle w:val="tabletextleft"/>
              <w:rPr>
                <w:rFonts w:asciiTheme="minorHAnsi" w:hAnsiTheme="minorHAnsi" w:cstheme="minorHAnsi"/>
                <w:szCs w:val="18"/>
                <w:highlight w:val="yellow"/>
              </w:rPr>
            </w:pPr>
          </w:p>
        </w:tc>
        <w:tc>
          <w:tcPr>
            <w:tcW w:w="751" w:type="dxa"/>
            <w:vAlign w:val="center"/>
          </w:tcPr>
          <w:p w14:paraId="385AD88F" w14:textId="53766032"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-3.8</w:t>
            </w:r>
          </w:p>
        </w:tc>
        <w:tc>
          <w:tcPr>
            <w:tcW w:w="893" w:type="dxa"/>
            <w:vAlign w:val="center"/>
          </w:tcPr>
          <w:p w14:paraId="1032A98A" w14:textId="7F552F9C"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-5.2</w:t>
            </w:r>
          </w:p>
        </w:tc>
        <w:tc>
          <w:tcPr>
            <w:tcW w:w="893" w:type="dxa"/>
            <w:vAlign w:val="center"/>
          </w:tcPr>
          <w:p w14:paraId="029EC078" w14:textId="02105E86"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-2.8</w:t>
            </w:r>
          </w:p>
        </w:tc>
        <w:tc>
          <w:tcPr>
            <w:tcW w:w="893" w:type="dxa"/>
            <w:vAlign w:val="center"/>
          </w:tcPr>
          <w:p w14:paraId="1F4A6AF3" w14:textId="4906EF0E"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-2.9</w:t>
            </w:r>
          </w:p>
        </w:tc>
        <w:tc>
          <w:tcPr>
            <w:tcW w:w="893" w:type="dxa"/>
            <w:vAlign w:val="center"/>
          </w:tcPr>
          <w:p w14:paraId="72DFC71B" w14:textId="2A0DC4A8"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-2.7</w:t>
            </w:r>
          </w:p>
        </w:tc>
      </w:tr>
      <w:tr w:rsidR="00B040FF" w:rsidRPr="005B2032" w14:paraId="12C3BF28" w14:textId="0DE640C3" w:rsidTr="00C2491D">
        <w:trPr>
          <w:trHeight w:val="397"/>
          <w:jc w:val="center"/>
        </w:trPr>
        <w:tc>
          <w:tcPr>
            <w:tcW w:w="3883" w:type="dxa"/>
            <w:vAlign w:val="center"/>
            <w:hideMark/>
          </w:tcPr>
          <w:p w14:paraId="62936305" w14:textId="77777777" w:rsidR="00B040FF" w:rsidRPr="005B2032" w:rsidRDefault="00B040FF" w:rsidP="00B040FF">
            <w:pPr>
              <w:pStyle w:val="tabletextleft"/>
              <w:rPr>
                <w:rFonts w:asciiTheme="minorHAnsi" w:hAnsiTheme="minorHAnsi" w:cstheme="minorHAnsi"/>
                <w:szCs w:val="18"/>
              </w:rPr>
            </w:pPr>
            <w:r w:rsidRPr="005B2032">
              <w:rPr>
                <w:rFonts w:asciiTheme="minorHAnsi" w:hAnsiTheme="minorHAnsi" w:cstheme="minorHAnsi"/>
                <w:szCs w:val="18"/>
              </w:rPr>
              <w:t>9. Циклично приспособен първичен баланс (8+3)</w:t>
            </w:r>
          </w:p>
        </w:tc>
        <w:tc>
          <w:tcPr>
            <w:tcW w:w="856" w:type="dxa"/>
            <w:vAlign w:val="center"/>
          </w:tcPr>
          <w:p w14:paraId="4B4AB419" w14:textId="5F5C28D1" w:rsidR="00B040FF" w:rsidRPr="00974100" w:rsidRDefault="00B040FF" w:rsidP="00B040FF">
            <w:pPr>
              <w:pStyle w:val="tabletextleft"/>
              <w:rPr>
                <w:rFonts w:asciiTheme="minorHAnsi" w:hAnsiTheme="minorHAnsi" w:cstheme="minorHAnsi"/>
                <w:szCs w:val="18"/>
                <w:highlight w:val="yellow"/>
              </w:rPr>
            </w:pPr>
          </w:p>
        </w:tc>
        <w:tc>
          <w:tcPr>
            <w:tcW w:w="751" w:type="dxa"/>
            <w:vAlign w:val="center"/>
          </w:tcPr>
          <w:p w14:paraId="0BEBF189" w14:textId="6D3E1FF8"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-3.3</w:t>
            </w:r>
          </w:p>
        </w:tc>
        <w:tc>
          <w:tcPr>
            <w:tcW w:w="893" w:type="dxa"/>
            <w:vAlign w:val="center"/>
          </w:tcPr>
          <w:p w14:paraId="759DCF10" w14:textId="035D5D1E"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-4.6</w:t>
            </w:r>
          </w:p>
        </w:tc>
        <w:tc>
          <w:tcPr>
            <w:tcW w:w="893" w:type="dxa"/>
            <w:vAlign w:val="center"/>
          </w:tcPr>
          <w:p w14:paraId="421D7ECA" w14:textId="2FC9EA4B"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-2.2</w:t>
            </w:r>
          </w:p>
        </w:tc>
        <w:tc>
          <w:tcPr>
            <w:tcW w:w="893" w:type="dxa"/>
            <w:vAlign w:val="center"/>
          </w:tcPr>
          <w:p w14:paraId="0095ED78" w14:textId="702E0108"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-2.2</w:t>
            </w:r>
          </w:p>
        </w:tc>
        <w:tc>
          <w:tcPr>
            <w:tcW w:w="893" w:type="dxa"/>
            <w:vAlign w:val="center"/>
          </w:tcPr>
          <w:p w14:paraId="554F2652" w14:textId="2FEA7C2E"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-1.9</w:t>
            </w:r>
          </w:p>
        </w:tc>
      </w:tr>
      <w:tr w:rsidR="00B040FF" w:rsidRPr="005B2032" w14:paraId="45619D0F" w14:textId="587DFB71" w:rsidTr="00C2491D">
        <w:trPr>
          <w:trHeight w:val="397"/>
          <w:jc w:val="center"/>
        </w:trPr>
        <w:tc>
          <w:tcPr>
            <w:tcW w:w="3883" w:type="dxa"/>
            <w:vAlign w:val="center"/>
            <w:hideMark/>
          </w:tcPr>
          <w:p w14:paraId="7A891B99" w14:textId="77777777" w:rsidR="00B040FF" w:rsidRPr="005B2032" w:rsidRDefault="00B040FF" w:rsidP="00B040FF">
            <w:pPr>
              <w:pStyle w:val="tabletextleft"/>
              <w:rPr>
                <w:rFonts w:asciiTheme="minorHAnsi" w:hAnsiTheme="minorHAnsi" w:cstheme="minorHAnsi"/>
                <w:szCs w:val="18"/>
              </w:rPr>
            </w:pPr>
            <w:r w:rsidRPr="005B2032">
              <w:rPr>
                <w:rFonts w:asciiTheme="minorHAnsi" w:hAnsiTheme="minorHAnsi" w:cstheme="minorHAnsi"/>
                <w:szCs w:val="18"/>
              </w:rPr>
              <w:t>10. Структурен баланс (8-4)</w:t>
            </w:r>
          </w:p>
        </w:tc>
        <w:tc>
          <w:tcPr>
            <w:tcW w:w="856" w:type="dxa"/>
            <w:vAlign w:val="center"/>
          </w:tcPr>
          <w:p w14:paraId="78F4BF84" w14:textId="05BA0449" w:rsidR="00B040FF" w:rsidRPr="00974100" w:rsidRDefault="00B040FF" w:rsidP="00B040FF">
            <w:pPr>
              <w:pStyle w:val="tabletextleft"/>
              <w:rPr>
                <w:rFonts w:asciiTheme="minorHAnsi" w:hAnsiTheme="minorHAnsi" w:cstheme="minorHAnsi"/>
                <w:szCs w:val="18"/>
                <w:highlight w:val="yellow"/>
              </w:rPr>
            </w:pPr>
          </w:p>
        </w:tc>
        <w:tc>
          <w:tcPr>
            <w:tcW w:w="751" w:type="dxa"/>
            <w:vAlign w:val="center"/>
          </w:tcPr>
          <w:p w14:paraId="60642802" w14:textId="51AAB652"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0.8</w:t>
            </w:r>
          </w:p>
        </w:tc>
        <w:tc>
          <w:tcPr>
            <w:tcW w:w="893" w:type="dxa"/>
            <w:vAlign w:val="center"/>
          </w:tcPr>
          <w:p w14:paraId="7D5FB4B5" w14:textId="1D2137D1"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-3.1</w:t>
            </w:r>
          </w:p>
        </w:tc>
        <w:tc>
          <w:tcPr>
            <w:tcW w:w="893" w:type="dxa"/>
            <w:vAlign w:val="center"/>
          </w:tcPr>
          <w:p w14:paraId="5BA477BE" w14:textId="1E67001B"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-2.7</w:t>
            </w:r>
          </w:p>
        </w:tc>
        <w:tc>
          <w:tcPr>
            <w:tcW w:w="893" w:type="dxa"/>
            <w:vAlign w:val="center"/>
          </w:tcPr>
          <w:p w14:paraId="4F9294C1" w14:textId="707BC19B"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-2.9</w:t>
            </w:r>
          </w:p>
        </w:tc>
        <w:tc>
          <w:tcPr>
            <w:tcW w:w="893" w:type="dxa"/>
            <w:vAlign w:val="center"/>
          </w:tcPr>
          <w:p w14:paraId="74240E37" w14:textId="56BF412E" w:rsidR="00B040FF" w:rsidRPr="00974100" w:rsidRDefault="00B040FF" w:rsidP="00B040FF">
            <w:pPr>
              <w:pStyle w:val="tabletextleft"/>
              <w:jc w:val="right"/>
              <w:rPr>
                <w:rFonts w:asciiTheme="minorHAnsi" w:hAnsiTheme="minorHAnsi" w:cstheme="minorHAnsi"/>
                <w:szCs w:val="18"/>
              </w:rPr>
            </w:pPr>
            <w:r w:rsidRPr="00974100">
              <w:rPr>
                <w:rFonts w:asciiTheme="minorHAnsi" w:hAnsiTheme="minorHAnsi" w:cstheme="minorHAnsi"/>
                <w:szCs w:val="18"/>
              </w:rPr>
              <w:t>-2.7</w:t>
            </w:r>
          </w:p>
        </w:tc>
      </w:tr>
    </w:tbl>
    <w:p w14:paraId="4CD32655" w14:textId="77777777" w:rsidR="00A964EF" w:rsidRPr="005B2032" w:rsidRDefault="00A964EF" w:rsidP="00A964EF">
      <w:pPr>
        <w:rPr>
          <w:rFonts w:asciiTheme="minorHAnsi" w:hAnsiTheme="minorHAnsi" w:cstheme="minorHAnsi"/>
        </w:rPr>
      </w:pPr>
    </w:p>
    <w:p w14:paraId="5B727B92" w14:textId="77777777" w:rsidR="00102EAD" w:rsidRPr="002A19EC" w:rsidRDefault="00102EAD" w:rsidP="002A19EC">
      <w:pPr>
        <w:pStyle w:val="Heading2"/>
        <w:numPr>
          <w:ilvl w:val="0"/>
          <w:numId w:val="0"/>
        </w:numPr>
      </w:pPr>
      <w:bookmarkStart w:id="184" w:name="_Toc448227321"/>
      <w:bookmarkStart w:id="185" w:name="_Toc479332472"/>
      <w:bookmarkStart w:id="186" w:name="_Toc100906101"/>
      <w:r w:rsidRPr="002A19EC">
        <w:t>Табл. 6: Разлика спрямо предходната актуализация</w:t>
      </w:r>
      <w:bookmarkEnd w:id="184"/>
      <w:bookmarkEnd w:id="185"/>
      <w:bookmarkEnd w:id="186"/>
    </w:p>
    <w:tbl>
      <w:tblPr>
        <w:tblStyle w:val="Style19"/>
        <w:tblW w:w="4999"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85" w:type="dxa"/>
          <w:right w:w="85" w:type="dxa"/>
        </w:tblCellMar>
        <w:tblLook w:val="0620" w:firstRow="1" w:lastRow="0" w:firstColumn="0" w:lastColumn="0" w:noHBand="1" w:noVBand="1"/>
      </w:tblPr>
      <w:tblGrid>
        <w:gridCol w:w="3908"/>
        <w:gridCol w:w="852"/>
        <w:gridCol w:w="861"/>
        <w:gridCol w:w="860"/>
        <w:gridCol w:w="861"/>
        <w:gridCol w:w="860"/>
        <w:gridCol w:w="860"/>
      </w:tblGrid>
      <w:tr w:rsidR="005B2032" w:rsidRPr="005B2032" w14:paraId="69143E32" w14:textId="0C141DDE" w:rsidTr="00C2491D">
        <w:trPr>
          <w:trHeight w:val="397"/>
          <w:jc w:val="center"/>
        </w:trPr>
        <w:tc>
          <w:tcPr>
            <w:tcW w:w="3908" w:type="dxa"/>
            <w:shd w:val="clear" w:color="auto" w:fill="D7D4F1"/>
            <w:vAlign w:val="center"/>
            <w:hideMark/>
          </w:tcPr>
          <w:p w14:paraId="51FB7112" w14:textId="77777777" w:rsidR="00760E26" w:rsidRPr="005B2032" w:rsidRDefault="00760E26" w:rsidP="00760E26">
            <w:pPr>
              <w:pStyle w:val="tabletextleft"/>
              <w:rPr>
                <w:rFonts w:asciiTheme="minorHAnsi" w:hAnsiTheme="minorHAnsi" w:cstheme="minorHAnsi"/>
                <w:b/>
              </w:rPr>
            </w:pPr>
            <w:r w:rsidRPr="005B2032">
              <w:rPr>
                <w:rFonts w:asciiTheme="minorHAnsi" w:hAnsiTheme="minorHAnsi" w:cstheme="minorHAnsi"/>
                <w:b/>
              </w:rPr>
              <w:t> </w:t>
            </w:r>
          </w:p>
        </w:tc>
        <w:tc>
          <w:tcPr>
            <w:tcW w:w="852" w:type="dxa"/>
            <w:shd w:val="clear" w:color="auto" w:fill="D7D4F1"/>
            <w:vAlign w:val="center"/>
            <w:hideMark/>
          </w:tcPr>
          <w:p w14:paraId="362DA1FF" w14:textId="77777777" w:rsidR="00760E26" w:rsidRPr="005B2032" w:rsidRDefault="00760E26" w:rsidP="00760E26">
            <w:pPr>
              <w:pStyle w:val="tabletextleft"/>
              <w:rPr>
                <w:rFonts w:asciiTheme="minorHAnsi" w:hAnsiTheme="minorHAnsi" w:cstheme="minorHAnsi"/>
                <w:b/>
              </w:rPr>
            </w:pPr>
            <w:r w:rsidRPr="005B2032">
              <w:rPr>
                <w:rFonts w:asciiTheme="minorHAnsi" w:hAnsiTheme="minorHAnsi" w:cstheme="minorHAnsi"/>
                <w:b/>
              </w:rPr>
              <w:t>Код по ЕСС 2010</w:t>
            </w:r>
          </w:p>
        </w:tc>
        <w:tc>
          <w:tcPr>
            <w:tcW w:w="861" w:type="dxa"/>
            <w:shd w:val="clear" w:color="auto" w:fill="D7D4F1"/>
            <w:vAlign w:val="center"/>
          </w:tcPr>
          <w:p w14:paraId="0FAC810A" w14:textId="503BB6C2" w:rsidR="00760E26" w:rsidRPr="005B2032" w:rsidRDefault="00760E26" w:rsidP="00760E26">
            <w:pPr>
              <w:pStyle w:val="tabletextleft"/>
              <w:jc w:val="right"/>
              <w:rPr>
                <w:rFonts w:asciiTheme="minorHAnsi" w:hAnsiTheme="minorHAnsi" w:cstheme="minorHAnsi"/>
                <w:b/>
              </w:rPr>
            </w:pPr>
            <w:r w:rsidRPr="005B2032">
              <w:rPr>
                <w:rFonts w:asciiTheme="minorHAnsi" w:hAnsiTheme="minorHAnsi" w:cstheme="minorHAnsi"/>
                <w:b/>
              </w:rPr>
              <w:t>2021</w:t>
            </w:r>
          </w:p>
        </w:tc>
        <w:tc>
          <w:tcPr>
            <w:tcW w:w="860" w:type="dxa"/>
            <w:shd w:val="clear" w:color="auto" w:fill="D7D4F1"/>
            <w:vAlign w:val="center"/>
          </w:tcPr>
          <w:p w14:paraId="67DF2875" w14:textId="7E024BFE" w:rsidR="00760E26" w:rsidRPr="005B2032" w:rsidRDefault="00760E26" w:rsidP="00760E26">
            <w:pPr>
              <w:pStyle w:val="tabletextleft"/>
              <w:jc w:val="right"/>
              <w:rPr>
                <w:rFonts w:asciiTheme="minorHAnsi" w:hAnsiTheme="minorHAnsi" w:cstheme="minorHAnsi"/>
                <w:b/>
              </w:rPr>
            </w:pPr>
            <w:r w:rsidRPr="005B2032">
              <w:rPr>
                <w:rFonts w:asciiTheme="minorHAnsi" w:hAnsiTheme="minorHAnsi" w:cstheme="minorHAnsi"/>
                <w:b/>
              </w:rPr>
              <w:t>2022</w:t>
            </w:r>
          </w:p>
        </w:tc>
        <w:tc>
          <w:tcPr>
            <w:tcW w:w="861" w:type="dxa"/>
            <w:shd w:val="clear" w:color="auto" w:fill="D7D4F1"/>
            <w:vAlign w:val="center"/>
          </w:tcPr>
          <w:p w14:paraId="772009CF" w14:textId="200B4FC7" w:rsidR="00760E26" w:rsidRPr="005B2032" w:rsidRDefault="00760E26" w:rsidP="00760E26">
            <w:pPr>
              <w:pStyle w:val="tabletextleft"/>
              <w:jc w:val="right"/>
              <w:rPr>
                <w:rFonts w:asciiTheme="minorHAnsi" w:hAnsiTheme="minorHAnsi" w:cstheme="minorHAnsi"/>
                <w:b/>
              </w:rPr>
            </w:pPr>
            <w:r w:rsidRPr="005B2032">
              <w:rPr>
                <w:rFonts w:asciiTheme="minorHAnsi" w:hAnsiTheme="minorHAnsi" w:cstheme="minorHAnsi"/>
                <w:b/>
              </w:rPr>
              <w:t>2023</w:t>
            </w:r>
          </w:p>
        </w:tc>
        <w:tc>
          <w:tcPr>
            <w:tcW w:w="860" w:type="dxa"/>
            <w:shd w:val="clear" w:color="auto" w:fill="D7D4F1"/>
            <w:vAlign w:val="center"/>
          </w:tcPr>
          <w:p w14:paraId="23254D53" w14:textId="2F529827" w:rsidR="00760E26" w:rsidRPr="005B2032" w:rsidRDefault="00760E26" w:rsidP="00760E26">
            <w:pPr>
              <w:pStyle w:val="tabletextleft"/>
              <w:jc w:val="right"/>
              <w:rPr>
                <w:rFonts w:asciiTheme="minorHAnsi" w:hAnsiTheme="minorHAnsi" w:cstheme="minorHAnsi"/>
                <w:b/>
              </w:rPr>
            </w:pPr>
            <w:r w:rsidRPr="005B2032">
              <w:rPr>
                <w:rFonts w:asciiTheme="minorHAnsi" w:hAnsiTheme="minorHAnsi" w:cstheme="minorHAnsi"/>
                <w:b/>
              </w:rPr>
              <w:t>2024</w:t>
            </w:r>
          </w:p>
        </w:tc>
        <w:tc>
          <w:tcPr>
            <w:tcW w:w="860" w:type="dxa"/>
            <w:shd w:val="clear" w:color="auto" w:fill="D7D4F1"/>
            <w:vAlign w:val="center"/>
          </w:tcPr>
          <w:p w14:paraId="7ACA9700" w14:textId="00D2817E" w:rsidR="00760E26" w:rsidRPr="005B2032" w:rsidRDefault="00760E26" w:rsidP="00760E26">
            <w:pPr>
              <w:pStyle w:val="tabletextleft"/>
              <w:jc w:val="right"/>
              <w:rPr>
                <w:rFonts w:asciiTheme="minorHAnsi" w:hAnsiTheme="minorHAnsi" w:cstheme="minorHAnsi"/>
                <w:b/>
              </w:rPr>
            </w:pPr>
            <w:r w:rsidRPr="005B2032">
              <w:rPr>
                <w:rFonts w:asciiTheme="minorHAnsi" w:hAnsiTheme="minorHAnsi" w:cstheme="minorHAnsi"/>
                <w:b/>
              </w:rPr>
              <w:t>2025</w:t>
            </w:r>
          </w:p>
        </w:tc>
      </w:tr>
      <w:tr w:rsidR="005B2032" w:rsidRPr="005B2032" w14:paraId="225AD33D" w14:textId="490FD489" w:rsidTr="00C2491D">
        <w:trPr>
          <w:trHeight w:val="397"/>
          <w:jc w:val="center"/>
        </w:trPr>
        <w:tc>
          <w:tcPr>
            <w:tcW w:w="3908" w:type="dxa"/>
            <w:vAlign w:val="center"/>
            <w:hideMark/>
          </w:tcPr>
          <w:p w14:paraId="48A2E439" w14:textId="77777777" w:rsidR="00760E26" w:rsidRPr="005B2032" w:rsidRDefault="00760E26" w:rsidP="00760E26">
            <w:pPr>
              <w:pStyle w:val="tabletextleft"/>
              <w:rPr>
                <w:rFonts w:asciiTheme="minorHAnsi" w:hAnsiTheme="minorHAnsi" w:cstheme="minorHAnsi"/>
              </w:rPr>
            </w:pPr>
            <w:r w:rsidRPr="005B2032">
              <w:rPr>
                <w:rFonts w:asciiTheme="minorHAnsi" w:hAnsiTheme="minorHAnsi" w:cstheme="minorHAnsi"/>
              </w:rPr>
              <w:t>Растеж на реалния БВП (%)</w:t>
            </w:r>
          </w:p>
        </w:tc>
        <w:tc>
          <w:tcPr>
            <w:tcW w:w="852" w:type="dxa"/>
            <w:vAlign w:val="center"/>
          </w:tcPr>
          <w:p w14:paraId="2C1A334D" w14:textId="77777777" w:rsidR="00760E26" w:rsidRPr="005B2032" w:rsidRDefault="00760E26" w:rsidP="00760E26">
            <w:pPr>
              <w:pStyle w:val="tabletextleft"/>
              <w:rPr>
                <w:rFonts w:asciiTheme="minorHAnsi" w:hAnsiTheme="minorHAnsi" w:cstheme="minorHAnsi"/>
              </w:rPr>
            </w:pPr>
          </w:p>
        </w:tc>
        <w:tc>
          <w:tcPr>
            <w:tcW w:w="861" w:type="dxa"/>
            <w:vAlign w:val="center"/>
          </w:tcPr>
          <w:p w14:paraId="042EED97" w14:textId="1E0CE0E3" w:rsidR="00760E26" w:rsidRPr="00D50A65" w:rsidRDefault="00760E26" w:rsidP="00760E26">
            <w:pPr>
              <w:pStyle w:val="tabletextleft"/>
              <w:jc w:val="right"/>
              <w:rPr>
                <w:rFonts w:asciiTheme="minorHAnsi" w:hAnsiTheme="minorHAnsi" w:cstheme="minorHAnsi"/>
                <w:szCs w:val="18"/>
              </w:rPr>
            </w:pPr>
          </w:p>
        </w:tc>
        <w:tc>
          <w:tcPr>
            <w:tcW w:w="860" w:type="dxa"/>
            <w:vAlign w:val="center"/>
          </w:tcPr>
          <w:p w14:paraId="175D5A74" w14:textId="1F8A773B" w:rsidR="00760E26" w:rsidRPr="00D50A65" w:rsidRDefault="00760E26" w:rsidP="00760E26">
            <w:pPr>
              <w:pStyle w:val="tabletextleft"/>
              <w:jc w:val="right"/>
              <w:rPr>
                <w:rFonts w:asciiTheme="minorHAnsi" w:hAnsiTheme="minorHAnsi" w:cstheme="minorHAnsi"/>
                <w:szCs w:val="18"/>
              </w:rPr>
            </w:pPr>
          </w:p>
        </w:tc>
        <w:tc>
          <w:tcPr>
            <w:tcW w:w="861" w:type="dxa"/>
            <w:vAlign w:val="center"/>
          </w:tcPr>
          <w:p w14:paraId="7363C823" w14:textId="72C58BA0" w:rsidR="00760E26" w:rsidRPr="00D50A65" w:rsidRDefault="00760E26" w:rsidP="00760E26">
            <w:pPr>
              <w:pStyle w:val="tabletextleft"/>
              <w:jc w:val="right"/>
              <w:rPr>
                <w:rFonts w:asciiTheme="minorHAnsi" w:hAnsiTheme="minorHAnsi" w:cstheme="minorHAnsi"/>
                <w:szCs w:val="18"/>
              </w:rPr>
            </w:pPr>
          </w:p>
        </w:tc>
        <w:tc>
          <w:tcPr>
            <w:tcW w:w="860" w:type="dxa"/>
            <w:vAlign w:val="center"/>
          </w:tcPr>
          <w:p w14:paraId="5601E92A" w14:textId="460CC3EF" w:rsidR="00760E26" w:rsidRPr="00D50A65" w:rsidRDefault="00760E26" w:rsidP="00760E26">
            <w:pPr>
              <w:pStyle w:val="tabletextleft"/>
              <w:jc w:val="right"/>
              <w:rPr>
                <w:rFonts w:asciiTheme="minorHAnsi" w:hAnsiTheme="minorHAnsi" w:cstheme="minorHAnsi"/>
                <w:szCs w:val="18"/>
              </w:rPr>
            </w:pPr>
          </w:p>
        </w:tc>
        <w:tc>
          <w:tcPr>
            <w:tcW w:w="860" w:type="dxa"/>
            <w:vAlign w:val="center"/>
          </w:tcPr>
          <w:p w14:paraId="7F595738" w14:textId="58BF82E1" w:rsidR="00760E26" w:rsidRPr="00D50A65" w:rsidRDefault="00760E26" w:rsidP="00760E26">
            <w:pPr>
              <w:pStyle w:val="tabletextleft"/>
              <w:jc w:val="right"/>
              <w:rPr>
                <w:rFonts w:asciiTheme="minorHAnsi" w:hAnsiTheme="minorHAnsi" w:cstheme="minorHAnsi"/>
                <w:szCs w:val="18"/>
              </w:rPr>
            </w:pPr>
          </w:p>
        </w:tc>
      </w:tr>
      <w:tr w:rsidR="005B2032" w:rsidRPr="005B2032" w14:paraId="02B8E114" w14:textId="2173FC2D" w:rsidTr="00C2491D">
        <w:trPr>
          <w:trHeight w:val="397"/>
          <w:jc w:val="center"/>
        </w:trPr>
        <w:tc>
          <w:tcPr>
            <w:tcW w:w="3908" w:type="dxa"/>
            <w:vAlign w:val="center"/>
            <w:hideMark/>
          </w:tcPr>
          <w:p w14:paraId="1166A2FB"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Предходна актуализация</w:t>
            </w:r>
          </w:p>
        </w:tc>
        <w:tc>
          <w:tcPr>
            <w:tcW w:w="852" w:type="dxa"/>
            <w:vAlign w:val="center"/>
          </w:tcPr>
          <w:p w14:paraId="2987262A" w14:textId="77777777" w:rsidR="007C6657" w:rsidRPr="005B2032" w:rsidRDefault="007C6657" w:rsidP="007C6657">
            <w:pPr>
              <w:pStyle w:val="tabletextleft"/>
              <w:rPr>
                <w:rFonts w:asciiTheme="minorHAnsi" w:hAnsiTheme="minorHAnsi" w:cstheme="minorHAnsi"/>
              </w:rPr>
            </w:pPr>
          </w:p>
        </w:tc>
        <w:tc>
          <w:tcPr>
            <w:tcW w:w="861" w:type="dxa"/>
            <w:vAlign w:val="bottom"/>
          </w:tcPr>
          <w:p w14:paraId="40CFEED4" w14:textId="107BD619"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860" w:type="dxa"/>
            <w:vAlign w:val="bottom"/>
          </w:tcPr>
          <w:p w14:paraId="0409FF21" w14:textId="067D2EFC"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861" w:type="dxa"/>
            <w:vAlign w:val="bottom"/>
          </w:tcPr>
          <w:p w14:paraId="0E8D4CBD" w14:textId="31454260"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860" w:type="dxa"/>
            <w:vAlign w:val="bottom"/>
          </w:tcPr>
          <w:p w14:paraId="5DC5A787" w14:textId="1D6F9B1C"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860" w:type="dxa"/>
            <w:vAlign w:val="bottom"/>
          </w:tcPr>
          <w:p w14:paraId="799E157F" w14:textId="77777777" w:rsidR="007C6657" w:rsidRPr="00D50A65" w:rsidRDefault="007C6657" w:rsidP="007C6657">
            <w:pPr>
              <w:pStyle w:val="tabletextleft"/>
              <w:jc w:val="right"/>
              <w:rPr>
                <w:rFonts w:asciiTheme="minorHAnsi" w:hAnsiTheme="minorHAnsi" w:cstheme="minorHAnsi"/>
                <w:szCs w:val="18"/>
              </w:rPr>
            </w:pPr>
          </w:p>
        </w:tc>
      </w:tr>
      <w:tr w:rsidR="005B2032" w:rsidRPr="005B2032" w14:paraId="3E40732A" w14:textId="40ABB075" w:rsidTr="00C2491D">
        <w:trPr>
          <w:trHeight w:val="397"/>
          <w:jc w:val="center"/>
        </w:trPr>
        <w:tc>
          <w:tcPr>
            <w:tcW w:w="3908" w:type="dxa"/>
            <w:vAlign w:val="center"/>
            <w:hideMark/>
          </w:tcPr>
          <w:p w14:paraId="099F797C"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Текуща актуализация</w:t>
            </w:r>
          </w:p>
        </w:tc>
        <w:tc>
          <w:tcPr>
            <w:tcW w:w="852" w:type="dxa"/>
            <w:vAlign w:val="center"/>
          </w:tcPr>
          <w:p w14:paraId="46044CE3" w14:textId="77777777" w:rsidR="007C6657" w:rsidRPr="005B2032" w:rsidRDefault="007C6657" w:rsidP="007C6657">
            <w:pPr>
              <w:pStyle w:val="tabletextleft"/>
              <w:rPr>
                <w:rFonts w:asciiTheme="minorHAnsi" w:hAnsiTheme="minorHAnsi" w:cstheme="minorHAnsi"/>
                <w:highlight w:val="yellow"/>
              </w:rPr>
            </w:pPr>
          </w:p>
        </w:tc>
        <w:tc>
          <w:tcPr>
            <w:tcW w:w="861" w:type="dxa"/>
            <w:vAlign w:val="bottom"/>
          </w:tcPr>
          <w:p w14:paraId="2E066BD6" w14:textId="252097D7"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860" w:type="dxa"/>
            <w:vAlign w:val="bottom"/>
          </w:tcPr>
          <w:p w14:paraId="4763B0F5" w14:textId="4CC6BA40"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861" w:type="dxa"/>
            <w:vAlign w:val="bottom"/>
          </w:tcPr>
          <w:p w14:paraId="56887407" w14:textId="302B2A90"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860" w:type="dxa"/>
            <w:vAlign w:val="bottom"/>
          </w:tcPr>
          <w:p w14:paraId="4BD82641" w14:textId="2D1932AC"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860" w:type="dxa"/>
            <w:vAlign w:val="bottom"/>
          </w:tcPr>
          <w:p w14:paraId="159D5425" w14:textId="0C3B5AC2" w:rsidR="007C6657" w:rsidRPr="00D50A65" w:rsidRDefault="007C6657" w:rsidP="007C6657">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4</w:t>
            </w:r>
          </w:p>
        </w:tc>
      </w:tr>
      <w:tr w:rsidR="000B3666" w:rsidRPr="005B2032" w14:paraId="4ABBE8D9" w14:textId="4FB1C889" w:rsidTr="00C2491D">
        <w:trPr>
          <w:trHeight w:val="397"/>
          <w:jc w:val="center"/>
        </w:trPr>
        <w:tc>
          <w:tcPr>
            <w:tcW w:w="3908" w:type="dxa"/>
            <w:vAlign w:val="center"/>
            <w:hideMark/>
          </w:tcPr>
          <w:p w14:paraId="498EED25"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Разлика (пр.п.)</w:t>
            </w:r>
          </w:p>
        </w:tc>
        <w:tc>
          <w:tcPr>
            <w:tcW w:w="852" w:type="dxa"/>
            <w:vAlign w:val="center"/>
          </w:tcPr>
          <w:p w14:paraId="0B2C8AF2" w14:textId="77777777" w:rsidR="000B3666" w:rsidRPr="005B2032" w:rsidRDefault="000B3666" w:rsidP="000B3666">
            <w:pPr>
              <w:pStyle w:val="tabletextleft"/>
              <w:rPr>
                <w:rFonts w:asciiTheme="minorHAnsi" w:hAnsiTheme="minorHAnsi" w:cstheme="minorHAnsi"/>
                <w:highlight w:val="yellow"/>
              </w:rPr>
            </w:pPr>
          </w:p>
        </w:tc>
        <w:tc>
          <w:tcPr>
            <w:tcW w:w="861" w:type="dxa"/>
            <w:vAlign w:val="bottom"/>
          </w:tcPr>
          <w:p w14:paraId="46DB2BF9" w14:textId="72B7C32C"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1.5</w:t>
            </w:r>
          </w:p>
        </w:tc>
        <w:tc>
          <w:tcPr>
            <w:tcW w:w="860" w:type="dxa"/>
            <w:vAlign w:val="bottom"/>
          </w:tcPr>
          <w:p w14:paraId="6132C2ED" w14:textId="43152198"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-1.0</w:t>
            </w:r>
          </w:p>
        </w:tc>
        <w:tc>
          <w:tcPr>
            <w:tcW w:w="861" w:type="dxa"/>
            <w:vAlign w:val="bottom"/>
          </w:tcPr>
          <w:p w14:paraId="736CE545" w14:textId="10136725"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-0.6</w:t>
            </w:r>
          </w:p>
        </w:tc>
        <w:tc>
          <w:tcPr>
            <w:tcW w:w="860" w:type="dxa"/>
            <w:vAlign w:val="bottom"/>
          </w:tcPr>
          <w:p w14:paraId="33A48CD7" w14:textId="5F25F1A9"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0.9</w:t>
            </w:r>
          </w:p>
        </w:tc>
        <w:tc>
          <w:tcPr>
            <w:tcW w:w="860" w:type="dxa"/>
            <w:vAlign w:val="bottom"/>
          </w:tcPr>
          <w:p w14:paraId="72671957" w14:textId="0500FB4A"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r>
      <w:tr w:rsidR="000B3666" w:rsidRPr="005B2032" w14:paraId="449E717D" w14:textId="78441C2F" w:rsidTr="00C2491D">
        <w:trPr>
          <w:trHeight w:val="397"/>
          <w:jc w:val="center"/>
        </w:trPr>
        <w:tc>
          <w:tcPr>
            <w:tcW w:w="3908" w:type="dxa"/>
            <w:vAlign w:val="center"/>
            <w:hideMark/>
          </w:tcPr>
          <w:p w14:paraId="25E0B762"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 xml:space="preserve">Нето отпуснати заеми на консолидираното </w:t>
            </w:r>
            <w:r w:rsidRPr="005B2032">
              <w:rPr>
                <w:rFonts w:asciiTheme="minorHAnsi" w:hAnsiTheme="minorHAnsi" w:cstheme="minorHAnsi"/>
              </w:rPr>
              <w:br/>
              <w:t>правителство (% от БВП)</w:t>
            </w:r>
          </w:p>
        </w:tc>
        <w:tc>
          <w:tcPr>
            <w:tcW w:w="852" w:type="dxa"/>
            <w:vAlign w:val="center"/>
            <w:hideMark/>
          </w:tcPr>
          <w:p w14:paraId="38E7E951"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EDP B.9</w:t>
            </w:r>
          </w:p>
        </w:tc>
        <w:tc>
          <w:tcPr>
            <w:tcW w:w="861" w:type="dxa"/>
            <w:vAlign w:val="center"/>
          </w:tcPr>
          <w:p w14:paraId="33EEA38A" w14:textId="77777777" w:rsidR="000B3666" w:rsidRPr="00D50A65" w:rsidRDefault="000B3666" w:rsidP="000B3666">
            <w:pPr>
              <w:pStyle w:val="tabletextleft"/>
              <w:jc w:val="right"/>
              <w:rPr>
                <w:rFonts w:asciiTheme="minorHAnsi" w:hAnsiTheme="minorHAnsi" w:cstheme="minorHAnsi"/>
                <w:szCs w:val="18"/>
                <w:highlight w:val="yellow"/>
              </w:rPr>
            </w:pPr>
          </w:p>
        </w:tc>
        <w:tc>
          <w:tcPr>
            <w:tcW w:w="860" w:type="dxa"/>
            <w:vAlign w:val="center"/>
          </w:tcPr>
          <w:p w14:paraId="6504BA2D" w14:textId="77777777" w:rsidR="000B3666" w:rsidRPr="00D50A65" w:rsidRDefault="000B3666" w:rsidP="000B3666">
            <w:pPr>
              <w:pStyle w:val="tabletextleft"/>
              <w:jc w:val="right"/>
              <w:rPr>
                <w:rFonts w:asciiTheme="minorHAnsi" w:hAnsiTheme="minorHAnsi" w:cstheme="minorHAnsi"/>
                <w:szCs w:val="18"/>
                <w:highlight w:val="yellow"/>
              </w:rPr>
            </w:pPr>
          </w:p>
        </w:tc>
        <w:tc>
          <w:tcPr>
            <w:tcW w:w="861" w:type="dxa"/>
            <w:vAlign w:val="center"/>
          </w:tcPr>
          <w:p w14:paraId="01673069" w14:textId="77777777" w:rsidR="000B3666" w:rsidRPr="00D50A65" w:rsidRDefault="000B3666" w:rsidP="000B3666">
            <w:pPr>
              <w:pStyle w:val="tabletextleft"/>
              <w:jc w:val="right"/>
              <w:rPr>
                <w:rFonts w:asciiTheme="minorHAnsi" w:hAnsiTheme="minorHAnsi" w:cstheme="minorHAnsi"/>
                <w:szCs w:val="18"/>
                <w:highlight w:val="yellow"/>
              </w:rPr>
            </w:pPr>
          </w:p>
        </w:tc>
        <w:tc>
          <w:tcPr>
            <w:tcW w:w="860" w:type="dxa"/>
            <w:vAlign w:val="center"/>
          </w:tcPr>
          <w:p w14:paraId="6EB8DA5F" w14:textId="77777777" w:rsidR="000B3666" w:rsidRPr="00D50A65" w:rsidRDefault="000B3666" w:rsidP="000B3666">
            <w:pPr>
              <w:pStyle w:val="tabletextleft"/>
              <w:jc w:val="right"/>
              <w:rPr>
                <w:rFonts w:asciiTheme="minorHAnsi" w:hAnsiTheme="minorHAnsi" w:cstheme="minorHAnsi"/>
                <w:szCs w:val="18"/>
                <w:highlight w:val="yellow"/>
              </w:rPr>
            </w:pPr>
          </w:p>
        </w:tc>
        <w:tc>
          <w:tcPr>
            <w:tcW w:w="860" w:type="dxa"/>
          </w:tcPr>
          <w:p w14:paraId="67FA2165" w14:textId="77777777" w:rsidR="000B3666" w:rsidRPr="00D50A65" w:rsidRDefault="000B3666" w:rsidP="000B3666">
            <w:pPr>
              <w:pStyle w:val="tabletextleft"/>
              <w:jc w:val="right"/>
              <w:rPr>
                <w:rFonts w:asciiTheme="minorHAnsi" w:hAnsiTheme="minorHAnsi" w:cstheme="minorHAnsi"/>
                <w:szCs w:val="18"/>
                <w:highlight w:val="yellow"/>
              </w:rPr>
            </w:pPr>
          </w:p>
        </w:tc>
      </w:tr>
      <w:tr w:rsidR="000B3666" w:rsidRPr="005B2032" w14:paraId="6D59515B" w14:textId="01E0164F" w:rsidTr="00C2491D">
        <w:trPr>
          <w:trHeight w:val="397"/>
          <w:jc w:val="center"/>
        </w:trPr>
        <w:tc>
          <w:tcPr>
            <w:tcW w:w="3908" w:type="dxa"/>
            <w:vAlign w:val="center"/>
            <w:hideMark/>
          </w:tcPr>
          <w:p w14:paraId="0D749AE9"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Предходна актуализация</w:t>
            </w:r>
          </w:p>
        </w:tc>
        <w:tc>
          <w:tcPr>
            <w:tcW w:w="852" w:type="dxa"/>
            <w:vAlign w:val="center"/>
          </w:tcPr>
          <w:p w14:paraId="4D678F98" w14:textId="77777777" w:rsidR="000B3666" w:rsidRPr="005B2032" w:rsidRDefault="000B3666" w:rsidP="000B3666">
            <w:pPr>
              <w:pStyle w:val="tabletextleft"/>
              <w:rPr>
                <w:rFonts w:asciiTheme="minorHAnsi" w:hAnsiTheme="minorHAnsi" w:cstheme="minorHAnsi"/>
              </w:rPr>
            </w:pPr>
          </w:p>
        </w:tc>
        <w:tc>
          <w:tcPr>
            <w:tcW w:w="861" w:type="dxa"/>
            <w:vAlign w:val="center"/>
          </w:tcPr>
          <w:p w14:paraId="18FCA7D7" w14:textId="21B7D321"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-5.6</w:t>
            </w:r>
          </w:p>
        </w:tc>
        <w:tc>
          <w:tcPr>
            <w:tcW w:w="860" w:type="dxa"/>
            <w:vAlign w:val="center"/>
          </w:tcPr>
          <w:p w14:paraId="2FBFB2FB" w14:textId="242B5F7F"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-2.7</w:t>
            </w:r>
          </w:p>
        </w:tc>
        <w:tc>
          <w:tcPr>
            <w:tcW w:w="861" w:type="dxa"/>
            <w:vAlign w:val="center"/>
          </w:tcPr>
          <w:p w14:paraId="684212C9" w14:textId="2EFB620E"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-3.1</w:t>
            </w:r>
          </w:p>
        </w:tc>
        <w:tc>
          <w:tcPr>
            <w:tcW w:w="860" w:type="dxa"/>
            <w:vAlign w:val="center"/>
          </w:tcPr>
          <w:p w14:paraId="49D78D6C" w14:textId="7CED8188"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c>
          <w:tcPr>
            <w:tcW w:w="860" w:type="dxa"/>
          </w:tcPr>
          <w:p w14:paraId="0CC4766C" w14:textId="77777777" w:rsidR="000B3666" w:rsidRPr="00D50A65" w:rsidRDefault="000B3666" w:rsidP="000B3666">
            <w:pPr>
              <w:pStyle w:val="tabletextleft"/>
              <w:jc w:val="right"/>
              <w:rPr>
                <w:rFonts w:asciiTheme="minorHAnsi" w:hAnsiTheme="minorHAnsi" w:cstheme="minorHAnsi"/>
                <w:szCs w:val="18"/>
              </w:rPr>
            </w:pPr>
          </w:p>
        </w:tc>
      </w:tr>
      <w:tr w:rsidR="000B3666" w:rsidRPr="005B2032" w14:paraId="5370C817" w14:textId="67FFB6AC" w:rsidTr="00C2491D">
        <w:trPr>
          <w:trHeight w:val="397"/>
          <w:jc w:val="center"/>
        </w:trPr>
        <w:tc>
          <w:tcPr>
            <w:tcW w:w="3908" w:type="dxa"/>
            <w:vAlign w:val="center"/>
            <w:hideMark/>
          </w:tcPr>
          <w:p w14:paraId="16930A32"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Текуща актуализация</w:t>
            </w:r>
          </w:p>
        </w:tc>
        <w:tc>
          <w:tcPr>
            <w:tcW w:w="852" w:type="dxa"/>
            <w:vAlign w:val="center"/>
          </w:tcPr>
          <w:p w14:paraId="21FAD6A4" w14:textId="77777777" w:rsidR="000B3666" w:rsidRPr="005B2032" w:rsidRDefault="000B3666" w:rsidP="000B3666">
            <w:pPr>
              <w:pStyle w:val="tabletextleft"/>
              <w:rPr>
                <w:rFonts w:asciiTheme="minorHAnsi" w:hAnsiTheme="minorHAnsi" w:cstheme="minorHAnsi"/>
                <w:highlight w:val="yellow"/>
              </w:rPr>
            </w:pPr>
          </w:p>
        </w:tc>
        <w:tc>
          <w:tcPr>
            <w:tcW w:w="861" w:type="dxa"/>
            <w:vAlign w:val="bottom"/>
          </w:tcPr>
          <w:p w14:paraId="2F090714" w14:textId="4DD3BC26"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-4.1</w:t>
            </w:r>
          </w:p>
        </w:tc>
        <w:tc>
          <w:tcPr>
            <w:tcW w:w="860" w:type="dxa"/>
            <w:vAlign w:val="bottom"/>
          </w:tcPr>
          <w:p w14:paraId="08615845" w14:textId="2FBEF39A"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-5.3</w:t>
            </w:r>
          </w:p>
        </w:tc>
        <w:tc>
          <w:tcPr>
            <w:tcW w:w="861" w:type="dxa"/>
            <w:vAlign w:val="bottom"/>
          </w:tcPr>
          <w:p w14:paraId="198405EB" w14:textId="48C8E388"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-2.9</w:t>
            </w:r>
          </w:p>
        </w:tc>
        <w:tc>
          <w:tcPr>
            <w:tcW w:w="860" w:type="dxa"/>
            <w:vAlign w:val="bottom"/>
          </w:tcPr>
          <w:p w14:paraId="78E3BA58" w14:textId="0404A94C"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-2.8</w:t>
            </w:r>
          </w:p>
        </w:tc>
        <w:tc>
          <w:tcPr>
            <w:tcW w:w="860" w:type="dxa"/>
            <w:vAlign w:val="bottom"/>
          </w:tcPr>
          <w:p w14:paraId="580FC01C" w14:textId="188D2C4D"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-2.4</w:t>
            </w:r>
          </w:p>
        </w:tc>
      </w:tr>
      <w:tr w:rsidR="000B3666" w:rsidRPr="005B2032" w14:paraId="401B8C66" w14:textId="6F49E8B5" w:rsidTr="00C2491D">
        <w:trPr>
          <w:trHeight w:val="397"/>
          <w:jc w:val="center"/>
        </w:trPr>
        <w:tc>
          <w:tcPr>
            <w:tcW w:w="3908" w:type="dxa"/>
            <w:vAlign w:val="center"/>
            <w:hideMark/>
          </w:tcPr>
          <w:p w14:paraId="28B8F997"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Разлика (пр.п.)</w:t>
            </w:r>
          </w:p>
        </w:tc>
        <w:tc>
          <w:tcPr>
            <w:tcW w:w="852" w:type="dxa"/>
            <w:vAlign w:val="center"/>
          </w:tcPr>
          <w:p w14:paraId="5B4BEA86" w14:textId="77777777" w:rsidR="000B3666" w:rsidRPr="005B2032" w:rsidRDefault="000B3666" w:rsidP="000B3666">
            <w:pPr>
              <w:pStyle w:val="tabletextleft"/>
              <w:rPr>
                <w:rFonts w:asciiTheme="minorHAnsi" w:hAnsiTheme="minorHAnsi" w:cstheme="minorHAnsi"/>
                <w:highlight w:val="yellow"/>
              </w:rPr>
            </w:pPr>
          </w:p>
        </w:tc>
        <w:tc>
          <w:tcPr>
            <w:tcW w:w="861" w:type="dxa"/>
            <w:vAlign w:val="center"/>
          </w:tcPr>
          <w:p w14:paraId="0A70FA43" w14:textId="78BC5F0A"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1.5</w:t>
            </w:r>
          </w:p>
        </w:tc>
        <w:tc>
          <w:tcPr>
            <w:tcW w:w="860" w:type="dxa"/>
            <w:vAlign w:val="center"/>
          </w:tcPr>
          <w:p w14:paraId="2B3D9F2D" w14:textId="6D96F2A6"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-2.6</w:t>
            </w:r>
          </w:p>
        </w:tc>
        <w:tc>
          <w:tcPr>
            <w:tcW w:w="861" w:type="dxa"/>
            <w:vAlign w:val="center"/>
          </w:tcPr>
          <w:p w14:paraId="76105C15" w14:textId="52E7B96C"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0.2</w:t>
            </w:r>
          </w:p>
        </w:tc>
        <w:tc>
          <w:tcPr>
            <w:tcW w:w="860" w:type="dxa"/>
            <w:vAlign w:val="center"/>
          </w:tcPr>
          <w:p w14:paraId="6CA9908E" w14:textId="1EC14C76"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c>
          <w:tcPr>
            <w:tcW w:w="860" w:type="dxa"/>
          </w:tcPr>
          <w:p w14:paraId="01714F3C" w14:textId="68FF96DF"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r>
      <w:tr w:rsidR="000B3666" w:rsidRPr="005B2032" w14:paraId="5615996D" w14:textId="72F95E6D" w:rsidTr="00C2491D">
        <w:trPr>
          <w:trHeight w:val="397"/>
          <w:jc w:val="center"/>
        </w:trPr>
        <w:tc>
          <w:tcPr>
            <w:tcW w:w="3908" w:type="dxa"/>
            <w:vAlign w:val="center"/>
            <w:hideMark/>
          </w:tcPr>
          <w:p w14:paraId="7BE605C9"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 xml:space="preserve">Брутен дълг на консолидираното </w:t>
            </w:r>
            <w:r w:rsidRPr="005B2032">
              <w:rPr>
                <w:rFonts w:asciiTheme="minorHAnsi" w:hAnsiTheme="minorHAnsi" w:cstheme="minorHAnsi"/>
              </w:rPr>
              <w:br/>
              <w:t>правителство (% от БВП)</w:t>
            </w:r>
          </w:p>
        </w:tc>
        <w:tc>
          <w:tcPr>
            <w:tcW w:w="852" w:type="dxa"/>
            <w:vAlign w:val="center"/>
          </w:tcPr>
          <w:p w14:paraId="4278DCF7" w14:textId="77777777" w:rsidR="000B3666" w:rsidRPr="005B2032" w:rsidRDefault="000B3666" w:rsidP="000B3666">
            <w:pPr>
              <w:pStyle w:val="tabletextleft"/>
              <w:rPr>
                <w:rFonts w:asciiTheme="minorHAnsi" w:hAnsiTheme="minorHAnsi" w:cstheme="minorHAnsi"/>
              </w:rPr>
            </w:pPr>
          </w:p>
        </w:tc>
        <w:tc>
          <w:tcPr>
            <w:tcW w:w="861" w:type="dxa"/>
            <w:vAlign w:val="center"/>
          </w:tcPr>
          <w:p w14:paraId="31C1CDC4" w14:textId="77777777" w:rsidR="000B3666" w:rsidRPr="00D50A65" w:rsidRDefault="000B3666" w:rsidP="000B3666">
            <w:pPr>
              <w:pStyle w:val="tabletextleft"/>
              <w:jc w:val="right"/>
              <w:rPr>
                <w:rFonts w:asciiTheme="minorHAnsi" w:hAnsiTheme="minorHAnsi" w:cstheme="minorHAnsi"/>
                <w:szCs w:val="18"/>
              </w:rPr>
            </w:pPr>
          </w:p>
        </w:tc>
        <w:tc>
          <w:tcPr>
            <w:tcW w:w="860" w:type="dxa"/>
            <w:vAlign w:val="center"/>
          </w:tcPr>
          <w:p w14:paraId="72FFB077" w14:textId="77777777" w:rsidR="000B3666" w:rsidRPr="00D50A65" w:rsidRDefault="000B3666" w:rsidP="000B3666">
            <w:pPr>
              <w:pStyle w:val="tabletextleft"/>
              <w:jc w:val="right"/>
              <w:rPr>
                <w:rFonts w:asciiTheme="minorHAnsi" w:hAnsiTheme="minorHAnsi" w:cstheme="minorHAnsi"/>
                <w:szCs w:val="18"/>
              </w:rPr>
            </w:pPr>
          </w:p>
        </w:tc>
        <w:tc>
          <w:tcPr>
            <w:tcW w:w="861" w:type="dxa"/>
            <w:vAlign w:val="center"/>
          </w:tcPr>
          <w:p w14:paraId="5621C462" w14:textId="77777777" w:rsidR="000B3666" w:rsidRPr="00D50A65" w:rsidRDefault="000B3666" w:rsidP="000B3666">
            <w:pPr>
              <w:pStyle w:val="tabletextleft"/>
              <w:jc w:val="right"/>
              <w:rPr>
                <w:rFonts w:asciiTheme="minorHAnsi" w:hAnsiTheme="minorHAnsi" w:cstheme="minorHAnsi"/>
                <w:szCs w:val="18"/>
              </w:rPr>
            </w:pPr>
          </w:p>
        </w:tc>
        <w:tc>
          <w:tcPr>
            <w:tcW w:w="860" w:type="dxa"/>
            <w:vAlign w:val="center"/>
          </w:tcPr>
          <w:p w14:paraId="6877C6E1" w14:textId="77777777" w:rsidR="000B3666" w:rsidRPr="00D50A65" w:rsidRDefault="000B3666" w:rsidP="000B3666">
            <w:pPr>
              <w:pStyle w:val="tabletextleft"/>
              <w:jc w:val="right"/>
              <w:rPr>
                <w:rFonts w:asciiTheme="minorHAnsi" w:hAnsiTheme="minorHAnsi" w:cstheme="minorHAnsi"/>
                <w:szCs w:val="18"/>
              </w:rPr>
            </w:pPr>
          </w:p>
        </w:tc>
        <w:tc>
          <w:tcPr>
            <w:tcW w:w="860" w:type="dxa"/>
          </w:tcPr>
          <w:p w14:paraId="63A86D30" w14:textId="77777777" w:rsidR="000B3666" w:rsidRPr="00D50A65" w:rsidRDefault="000B3666" w:rsidP="000B3666">
            <w:pPr>
              <w:pStyle w:val="tabletextleft"/>
              <w:jc w:val="right"/>
              <w:rPr>
                <w:rFonts w:asciiTheme="minorHAnsi" w:hAnsiTheme="minorHAnsi" w:cstheme="minorHAnsi"/>
                <w:szCs w:val="18"/>
              </w:rPr>
            </w:pPr>
          </w:p>
        </w:tc>
      </w:tr>
      <w:tr w:rsidR="000B3666" w:rsidRPr="005B2032" w14:paraId="357EAB39" w14:textId="4F71BDE7" w:rsidTr="00C2491D">
        <w:trPr>
          <w:trHeight w:val="397"/>
          <w:jc w:val="center"/>
        </w:trPr>
        <w:tc>
          <w:tcPr>
            <w:tcW w:w="3908" w:type="dxa"/>
            <w:vAlign w:val="center"/>
            <w:hideMark/>
          </w:tcPr>
          <w:p w14:paraId="15ABD5D3"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Предходна актуализация</w:t>
            </w:r>
          </w:p>
        </w:tc>
        <w:tc>
          <w:tcPr>
            <w:tcW w:w="852" w:type="dxa"/>
            <w:vAlign w:val="center"/>
          </w:tcPr>
          <w:p w14:paraId="7C36B05A" w14:textId="77777777" w:rsidR="000B3666" w:rsidRPr="005B2032" w:rsidRDefault="000B3666" w:rsidP="000B3666">
            <w:pPr>
              <w:pStyle w:val="tabletextleft"/>
              <w:rPr>
                <w:rFonts w:asciiTheme="minorHAnsi" w:hAnsiTheme="minorHAnsi" w:cstheme="minorHAnsi"/>
              </w:rPr>
            </w:pPr>
          </w:p>
        </w:tc>
        <w:tc>
          <w:tcPr>
            <w:tcW w:w="861" w:type="dxa"/>
            <w:vAlign w:val="center"/>
          </w:tcPr>
          <w:p w14:paraId="59186F72" w14:textId="789F17BE"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27.4</w:t>
            </w:r>
          </w:p>
        </w:tc>
        <w:tc>
          <w:tcPr>
            <w:tcW w:w="860" w:type="dxa"/>
            <w:vAlign w:val="center"/>
          </w:tcPr>
          <w:p w14:paraId="197840E8" w14:textId="0A5EBBCD"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28.6</w:t>
            </w:r>
          </w:p>
        </w:tc>
        <w:tc>
          <w:tcPr>
            <w:tcW w:w="861" w:type="dxa"/>
            <w:vAlign w:val="center"/>
          </w:tcPr>
          <w:p w14:paraId="355ECB9D" w14:textId="6F5770FA"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29.3</w:t>
            </w:r>
          </w:p>
        </w:tc>
        <w:tc>
          <w:tcPr>
            <w:tcW w:w="860" w:type="dxa"/>
            <w:vAlign w:val="center"/>
          </w:tcPr>
          <w:p w14:paraId="10B61CE1" w14:textId="089607EE"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c>
          <w:tcPr>
            <w:tcW w:w="860" w:type="dxa"/>
          </w:tcPr>
          <w:p w14:paraId="598F1D3C" w14:textId="77777777" w:rsidR="000B3666" w:rsidRPr="00D50A65" w:rsidRDefault="000B3666" w:rsidP="000B3666">
            <w:pPr>
              <w:pStyle w:val="tabletextleft"/>
              <w:jc w:val="right"/>
              <w:rPr>
                <w:rFonts w:asciiTheme="minorHAnsi" w:hAnsiTheme="minorHAnsi" w:cstheme="minorHAnsi"/>
                <w:szCs w:val="18"/>
              </w:rPr>
            </w:pPr>
          </w:p>
        </w:tc>
      </w:tr>
      <w:tr w:rsidR="000B3666" w:rsidRPr="005B2032" w14:paraId="5E62BC2A" w14:textId="62616A3A" w:rsidTr="00C2491D">
        <w:trPr>
          <w:trHeight w:val="397"/>
          <w:jc w:val="center"/>
        </w:trPr>
        <w:tc>
          <w:tcPr>
            <w:tcW w:w="3908" w:type="dxa"/>
            <w:vAlign w:val="center"/>
            <w:hideMark/>
          </w:tcPr>
          <w:p w14:paraId="577B681F"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Текуща актуализация</w:t>
            </w:r>
          </w:p>
        </w:tc>
        <w:tc>
          <w:tcPr>
            <w:tcW w:w="852" w:type="dxa"/>
            <w:vAlign w:val="center"/>
          </w:tcPr>
          <w:p w14:paraId="345652DE" w14:textId="77777777" w:rsidR="000B3666" w:rsidRPr="005B2032" w:rsidRDefault="000B3666" w:rsidP="000B3666">
            <w:pPr>
              <w:pStyle w:val="tabletextleft"/>
              <w:rPr>
                <w:rFonts w:asciiTheme="minorHAnsi" w:hAnsiTheme="minorHAnsi" w:cstheme="minorHAnsi"/>
              </w:rPr>
            </w:pPr>
          </w:p>
        </w:tc>
        <w:tc>
          <w:tcPr>
            <w:tcW w:w="861" w:type="dxa"/>
          </w:tcPr>
          <w:p w14:paraId="6EB5CDCF" w14:textId="5A9277B3"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25.1</w:t>
            </w:r>
          </w:p>
        </w:tc>
        <w:tc>
          <w:tcPr>
            <w:tcW w:w="860" w:type="dxa"/>
          </w:tcPr>
          <w:p w14:paraId="4FA5831F" w14:textId="5CF775E5"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25.5</w:t>
            </w:r>
          </w:p>
        </w:tc>
        <w:tc>
          <w:tcPr>
            <w:tcW w:w="861" w:type="dxa"/>
          </w:tcPr>
          <w:p w14:paraId="1BA41F18" w14:textId="7B867A4F"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27.7</w:t>
            </w:r>
          </w:p>
        </w:tc>
        <w:tc>
          <w:tcPr>
            <w:tcW w:w="860" w:type="dxa"/>
          </w:tcPr>
          <w:p w14:paraId="0249A59A" w14:textId="175FEAE9"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29.1</w:t>
            </w:r>
          </w:p>
        </w:tc>
        <w:tc>
          <w:tcPr>
            <w:tcW w:w="860" w:type="dxa"/>
          </w:tcPr>
          <w:p w14:paraId="4E350E55" w14:textId="23C7BDBA"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30.4</w:t>
            </w:r>
          </w:p>
        </w:tc>
      </w:tr>
      <w:tr w:rsidR="000B3666" w:rsidRPr="005B2032" w14:paraId="0CA4A4B3" w14:textId="6473B5DB" w:rsidTr="00C2491D">
        <w:trPr>
          <w:trHeight w:val="397"/>
          <w:jc w:val="center"/>
        </w:trPr>
        <w:tc>
          <w:tcPr>
            <w:tcW w:w="3908" w:type="dxa"/>
            <w:vAlign w:val="center"/>
            <w:hideMark/>
          </w:tcPr>
          <w:p w14:paraId="0CD99272" w14:textId="77777777" w:rsidR="000B3666" w:rsidRPr="005B2032" w:rsidRDefault="000B3666" w:rsidP="000B3666">
            <w:pPr>
              <w:pStyle w:val="tabletextleft"/>
              <w:rPr>
                <w:rFonts w:asciiTheme="minorHAnsi" w:hAnsiTheme="minorHAnsi" w:cstheme="minorHAnsi"/>
              </w:rPr>
            </w:pPr>
            <w:r w:rsidRPr="005B2032">
              <w:rPr>
                <w:rFonts w:asciiTheme="minorHAnsi" w:hAnsiTheme="minorHAnsi" w:cstheme="minorHAnsi"/>
              </w:rPr>
              <w:t>Разлика (пр.п.)</w:t>
            </w:r>
          </w:p>
        </w:tc>
        <w:tc>
          <w:tcPr>
            <w:tcW w:w="852" w:type="dxa"/>
            <w:vAlign w:val="center"/>
          </w:tcPr>
          <w:p w14:paraId="11D3DB36" w14:textId="77777777" w:rsidR="000B3666" w:rsidRPr="005B2032" w:rsidRDefault="000B3666" w:rsidP="000B3666">
            <w:pPr>
              <w:pStyle w:val="tabletextleft"/>
              <w:rPr>
                <w:rFonts w:asciiTheme="minorHAnsi" w:hAnsiTheme="minorHAnsi" w:cstheme="minorHAnsi"/>
              </w:rPr>
            </w:pPr>
          </w:p>
        </w:tc>
        <w:tc>
          <w:tcPr>
            <w:tcW w:w="861" w:type="dxa"/>
            <w:vAlign w:val="center"/>
          </w:tcPr>
          <w:p w14:paraId="078D5826" w14:textId="1FE0DB2C"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-2.3</w:t>
            </w:r>
          </w:p>
        </w:tc>
        <w:tc>
          <w:tcPr>
            <w:tcW w:w="860" w:type="dxa"/>
            <w:vAlign w:val="center"/>
          </w:tcPr>
          <w:p w14:paraId="547B5FC1" w14:textId="1044D824"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-3.1</w:t>
            </w:r>
          </w:p>
        </w:tc>
        <w:tc>
          <w:tcPr>
            <w:tcW w:w="861" w:type="dxa"/>
            <w:vAlign w:val="center"/>
          </w:tcPr>
          <w:p w14:paraId="1C154090" w14:textId="3C24968C"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-1.6</w:t>
            </w:r>
          </w:p>
        </w:tc>
        <w:tc>
          <w:tcPr>
            <w:tcW w:w="860" w:type="dxa"/>
            <w:vAlign w:val="center"/>
          </w:tcPr>
          <w:p w14:paraId="765A98CB" w14:textId="62B05EE9"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c>
          <w:tcPr>
            <w:tcW w:w="860" w:type="dxa"/>
          </w:tcPr>
          <w:p w14:paraId="461490BD" w14:textId="6B7B11EF" w:rsidR="000B3666" w:rsidRPr="00D50A65" w:rsidRDefault="000B3666" w:rsidP="000B3666">
            <w:pPr>
              <w:pStyle w:val="tabletextleft"/>
              <w:jc w:val="right"/>
              <w:rPr>
                <w:rFonts w:asciiTheme="minorHAnsi" w:hAnsiTheme="minorHAnsi" w:cstheme="minorHAnsi"/>
                <w:szCs w:val="18"/>
              </w:rPr>
            </w:pPr>
            <w:r w:rsidRPr="00D50A65">
              <w:rPr>
                <w:rFonts w:asciiTheme="minorHAnsi" w:hAnsiTheme="minorHAnsi" w:cstheme="minorHAnsi"/>
                <w:szCs w:val="18"/>
              </w:rPr>
              <w:t>n.a.</w:t>
            </w:r>
          </w:p>
        </w:tc>
      </w:tr>
    </w:tbl>
    <w:p w14:paraId="234F31BC" w14:textId="512707F9" w:rsidR="00A964EF" w:rsidRPr="005B2032" w:rsidRDefault="00A964EF" w:rsidP="00A964EF">
      <w:pPr>
        <w:rPr>
          <w:rFonts w:asciiTheme="minorHAnsi" w:hAnsiTheme="minorHAnsi" w:cstheme="minorHAnsi"/>
        </w:rPr>
      </w:pPr>
    </w:p>
    <w:p w14:paraId="3033B072" w14:textId="77777777" w:rsidR="00102EAD" w:rsidRPr="002A19EC" w:rsidRDefault="00102EAD" w:rsidP="002A19EC">
      <w:pPr>
        <w:pStyle w:val="Heading2"/>
        <w:numPr>
          <w:ilvl w:val="0"/>
          <w:numId w:val="0"/>
        </w:numPr>
      </w:pPr>
      <w:bookmarkStart w:id="187" w:name="_Toc448227322"/>
      <w:bookmarkStart w:id="188" w:name="_Toc479332473"/>
      <w:bookmarkStart w:id="189" w:name="_Toc100906102"/>
      <w:r w:rsidRPr="002A19EC">
        <w:lastRenderedPageBreak/>
        <w:t>Табл. 7: Дългосрочна устойчивост на публичните финанси</w:t>
      </w:r>
      <w:bookmarkEnd w:id="187"/>
      <w:bookmarkEnd w:id="188"/>
      <w:bookmarkEnd w:id="189"/>
    </w:p>
    <w:tbl>
      <w:tblPr>
        <w:tblStyle w:val="Style191"/>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85" w:type="dxa"/>
          <w:right w:w="85" w:type="dxa"/>
        </w:tblCellMar>
        <w:tblLook w:val="0620" w:firstRow="1" w:lastRow="0" w:firstColumn="0" w:lastColumn="0" w:noHBand="1" w:noVBand="1"/>
      </w:tblPr>
      <w:tblGrid>
        <w:gridCol w:w="3242"/>
        <w:gridCol w:w="727"/>
        <w:gridCol w:w="728"/>
        <w:gridCol w:w="728"/>
        <w:gridCol w:w="728"/>
        <w:gridCol w:w="727"/>
        <w:gridCol w:w="728"/>
        <w:gridCol w:w="728"/>
        <w:gridCol w:w="728"/>
      </w:tblGrid>
      <w:tr w:rsidR="005B2032" w:rsidRPr="005B2032" w14:paraId="724EF83E" w14:textId="77777777" w:rsidTr="00C2491D">
        <w:trPr>
          <w:trHeight w:val="167"/>
          <w:jc w:val="center"/>
        </w:trPr>
        <w:tc>
          <w:tcPr>
            <w:tcW w:w="3242" w:type="dxa"/>
            <w:shd w:val="clear" w:color="auto" w:fill="D7D4F1"/>
          </w:tcPr>
          <w:p w14:paraId="4A04D344" w14:textId="77777777" w:rsidR="00230833" w:rsidRPr="005B2032" w:rsidRDefault="00230833" w:rsidP="00C1337B">
            <w:pPr>
              <w:pStyle w:val="tabletextleft"/>
              <w:rPr>
                <w:rFonts w:asciiTheme="minorHAnsi" w:hAnsiTheme="minorHAnsi" w:cstheme="minorHAnsi"/>
                <w:b/>
              </w:rPr>
            </w:pPr>
            <w:r w:rsidRPr="005B2032">
              <w:rPr>
                <w:rFonts w:asciiTheme="minorHAnsi" w:hAnsiTheme="minorHAnsi" w:cstheme="minorHAnsi"/>
                <w:b/>
              </w:rPr>
              <w:t>% от БВП</w:t>
            </w:r>
          </w:p>
        </w:tc>
        <w:tc>
          <w:tcPr>
            <w:tcW w:w="727" w:type="dxa"/>
            <w:shd w:val="clear" w:color="auto" w:fill="D7D4F1"/>
            <w:vAlign w:val="center"/>
          </w:tcPr>
          <w:p w14:paraId="3629A6FA"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2007</w:t>
            </w:r>
          </w:p>
        </w:tc>
        <w:tc>
          <w:tcPr>
            <w:tcW w:w="728" w:type="dxa"/>
            <w:shd w:val="clear" w:color="auto" w:fill="D7D4F1"/>
            <w:vAlign w:val="center"/>
          </w:tcPr>
          <w:p w14:paraId="76F7A566"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2010</w:t>
            </w:r>
          </w:p>
        </w:tc>
        <w:tc>
          <w:tcPr>
            <w:tcW w:w="728" w:type="dxa"/>
            <w:shd w:val="clear" w:color="auto" w:fill="D7D4F1"/>
            <w:vAlign w:val="center"/>
          </w:tcPr>
          <w:p w14:paraId="15913F6E"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2020</w:t>
            </w:r>
          </w:p>
        </w:tc>
        <w:tc>
          <w:tcPr>
            <w:tcW w:w="728" w:type="dxa"/>
            <w:shd w:val="clear" w:color="auto" w:fill="D7D4F1"/>
            <w:vAlign w:val="center"/>
          </w:tcPr>
          <w:p w14:paraId="003B1EBB"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2030</w:t>
            </w:r>
          </w:p>
        </w:tc>
        <w:tc>
          <w:tcPr>
            <w:tcW w:w="727" w:type="dxa"/>
            <w:shd w:val="clear" w:color="auto" w:fill="D7D4F1"/>
            <w:vAlign w:val="center"/>
          </w:tcPr>
          <w:p w14:paraId="77168F26"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2040</w:t>
            </w:r>
          </w:p>
        </w:tc>
        <w:tc>
          <w:tcPr>
            <w:tcW w:w="728" w:type="dxa"/>
            <w:shd w:val="clear" w:color="auto" w:fill="D7D4F1"/>
            <w:vAlign w:val="center"/>
          </w:tcPr>
          <w:p w14:paraId="377E8CE2"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2050</w:t>
            </w:r>
          </w:p>
        </w:tc>
        <w:tc>
          <w:tcPr>
            <w:tcW w:w="728" w:type="dxa"/>
            <w:shd w:val="clear" w:color="auto" w:fill="D7D4F1"/>
            <w:vAlign w:val="center"/>
          </w:tcPr>
          <w:p w14:paraId="0CEF8782"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2060</w:t>
            </w:r>
          </w:p>
        </w:tc>
        <w:tc>
          <w:tcPr>
            <w:tcW w:w="728" w:type="dxa"/>
            <w:shd w:val="clear" w:color="auto" w:fill="D7D4F1"/>
            <w:vAlign w:val="center"/>
          </w:tcPr>
          <w:p w14:paraId="5C2E2BB0" w14:textId="77777777" w:rsidR="00230833" w:rsidRPr="005B2032" w:rsidRDefault="00230833" w:rsidP="004B3A7A">
            <w:pPr>
              <w:pStyle w:val="tabletextleft"/>
              <w:jc w:val="right"/>
              <w:rPr>
                <w:rFonts w:asciiTheme="minorHAnsi" w:hAnsiTheme="minorHAnsi" w:cstheme="minorHAnsi"/>
                <w:b/>
              </w:rPr>
            </w:pPr>
            <w:r w:rsidRPr="005B2032">
              <w:rPr>
                <w:rFonts w:asciiTheme="minorHAnsi" w:hAnsiTheme="minorHAnsi" w:cstheme="minorHAnsi"/>
                <w:b/>
              </w:rPr>
              <w:t>2070</w:t>
            </w:r>
          </w:p>
        </w:tc>
      </w:tr>
      <w:tr w:rsidR="005B2032" w:rsidRPr="005B2032" w14:paraId="0EDEEBA3" w14:textId="77777777" w:rsidTr="00C2491D">
        <w:trPr>
          <w:trHeight w:val="283"/>
          <w:jc w:val="center"/>
        </w:trPr>
        <w:tc>
          <w:tcPr>
            <w:tcW w:w="3242" w:type="dxa"/>
          </w:tcPr>
          <w:p w14:paraId="5A9665A6"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Общо разходи</w:t>
            </w:r>
          </w:p>
        </w:tc>
        <w:tc>
          <w:tcPr>
            <w:tcW w:w="727" w:type="dxa"/>
            <w:vAlign w:val="center"/>
          </w:tcPr>
          <w:p w14:paraId="56C66659" w14:textId="201A0842"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37</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14514465" w14:textId="03EAAAEB"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36</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728" w:type="dxa"/>
            <w:vAlign w:val="center"/>
          </w:tcPr>
          <w:p w14:paraId="0CB984ED" w14:textId="280DD839"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41</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442D2E59" w14:textId="77777777" w:rsidR="007C6657" w:rsidRPr="00D50A65" w:rsidRDefault="007C6657" w:rsidP="00D50A65">
            <w:pPr>
              <w:pStyle w:val="tabletextleft"/>
              <w:jc w:val="right"/>
              <w:rPr>
                <w:rFonts w:asciiTheme="minorHAnsi" w:hAnsiTheme="minorHAnsi" w:cstheme="minorHAnsi"/>
                <w:szCs w:val="18"/>
              </w:rPr>
            </w:pPr>
          </w:p>
        </w:tc>
        <w:tc>
          <w:tcPr>
            <w:tcW w:w="727" w:type="dxa"/>
            <w:vAlign w:val="center"/>
          </w:tcPr>
          <w:p w14:paraId="1457D34B"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08519840"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3D4A84F9"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EDC275C" w14:textId="77777777" w:rsidR="007C6657" w:rsidRPr="00D50A65" w:rsidRDefault="007C6657" w:rsidP="00D50A65">
            <w:pPr>
              <w:pStyle w:val="tabletextleft"/>
              <w:jc w:val="right"/>
              <w:rPr>
                <w:rFonts w:asciiTheme="minorHAnsi" w:hAnsiTheme="minorHAnsi" w:cstheme="minorHAnsi"/>
                <w:szCs w:val="18"/>
              </w:rPr>
            </w:pPr>
          </w:p>
        </w:tc>
      </w:tr>
      <w:tr w:rsidR="005B2032" w:rsidRPr="005B2032" w14:paraId="6959FE17" w14:textId="77777777" w:rsidTr="00C2491D">
        <w:trPr>
          <w:trHeight w:val="283"/>
          <w:jc w:val="center"/>
        </w:trPr>
        <w:tc>
          <w:tcPr>
            <w:tcW w:w="3242" w:type="dxa"/>
          </w:tcPr>
          <w:p w14:paraId="19027F65"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В т.ч. разходи. свързани със застаряването на населението</w:t>
            </w:r>
          </w:p>
        </w:tc>
        <w:tc>
          <w:tcPr>
            <w:tcW w:w="727" w:type="dxa"/>
            <w:vAlign w:val="center"/>
          </w:tcPr>
          <w:p w14:paraId="0FDDFB7E" w14:textId="37F7B0F2"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15</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5205D448" w14:textId="4DE5FD33"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17</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44ADC13F" w14:textId="0B32AEC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19</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58DB67B9" w14:textId="59573BB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17</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7" w:type="dxa"/>
            <w:vAlign w:val="center"/>
          </w:tcPr>
          <w:p w14:paraId="74271C3D" w14:textId="1AAD349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17</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728" w:type="dxa"/>
            <w:vAlign w:val="center"/>
          </w:tcPr>
          <w:p w14:paraId="1B734FEA" w14:textId="327E80D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17</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31CD924F" w14:textId="57DC642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18</w:t>
            </w:r>
            <w:r w:rsidR="000B3666" w:rsidRPr="00D50A65">
              <w:rPr>
                <w:rFonts w:asciiTheme="minorHAnsi" w:hAnsiTheme="minorHAnsi" w:cstheme="minorHAnsi"/>
                <w:szCs w:val="18"/>
              </w:rPr>
              <w:t>.</w:t>
            </w:r>
            <w:r w:rsidRPr="00D50A65">
              <w:rPr>
                <w:rFonts w:asciiTheme="minorHAnsi" w:hAnsiTheme="minorHAnsi" w:cstheme="minorHAnsi"/>
                <w:szCs w:val="18"/>
              </w:rPr>
              <w:t>5</w:t>
            </w:r>
          </w:p>
        </w:tc>
        <w:tc>
          <w:tcPr>
            <w:tcW w:w="728" w:type="dxa"/>
            <w:vAlign w:val="center"/>
          </w:tcPr>
          <w:p w14:paraId="3672B36C" w14:textId="3784A85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18</w:t>
            </w:r>
            <w:r w:rsidR="000B3666" w:rsidRPr="00D50A65">
              <w:rPr>
                <w:rFonts w:asciiTheme="minorHAnsi" w:hAnsiTheme="minorHAnsi" w:cstheme="minorHAnsi"/>
                <w:szCs w:val="18"/>
              </w:rPr>
              <w:t>.</w:t>
            </w:r>
            <w:r w:rsidRPr="00D50A65">
              <w:rPr>
                <w:rFonts w:asciiTheme="minorHAnsi" w:hAnsiTheme="minorHAnsi" w:cstheme="minorHAnsi"/>
                <w:szCs w:val="18"/>
              </w:rPr>
              <w:t>2</w:t>
            </w:r>
          </w:p>
        </w:tc>
      </w:tr>
      <w:tr w:rsidR="005B2032" w:rsidRPr="005B2032" w14:paraId="7D3F08C3" w14:textId="77777777" w:rsidTr="00C2491D">
        <w:trPr>
          <w:trHeight w:val="283"/>
          <w:jc w:val="center"/>
        </w:trPr>
        <w:tc>
          <w:tcPr>
            <w:tcW w:w="3242" w:type="dxa"/>
          </w:tcPr>
          <w:p w14:paraId="3C75999D"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Разходи за пенсии</w:t>
            </w:r>
          </w:p>
        </w:tc>
        <w:tc>
          <w:tcPr>
            <w:tcW w:w="727" w:type="dxa"/>
            <w:vAlign w:val="center"/>
          </w:tcPr>
          <w:p w14:paraId="0692ED09" w14:textId="3D32F1D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8" w:type="dxa"/>
            <w:vAlign w:val="center"/>
          </w:tcPr>
          <w:p w14:paraId="4D9C334F" w14:textId="4989AD58"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9</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7C692AA6" w14:textId="7B61070B"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9</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6996110C" w14:textId="2FCF334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5</w:t>
            </w:r>
          </w:p>
        </w:tc>
        <w:tc>
          <w:tcPr>
            <w:tcW w:w="727" w:type="dxa"/>
            <w:vAlign w:val="center"/>
          </w:tcPr>
          <w:p w14:paraId="3D18E52F" w14:textId="1F75CFA9"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7F1CFE28" w14:textId="01D956D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164F4CAE" w14:textId="7CD0B65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9</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7B3D6455" w14:textId="3E51906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9</w:t>
            </w:r>
            <w:r w:rsidR="000B3666" w:rsidRPr="00D50A65">
              <w:rPr>
                <w:rFonts w:asciiTheme="minorHAnsi" w:hAnsiTheme="minorHAnsi" w:cstheme="minorHAnsi"/>
                <w:szCs w:val="18"/>
              </w:rPr>
              <w:t>.</w:t>
            </w:r>
            <w:r w:rsidRPr="00D50A65">
              <w:rPr>
                <w:rFonts w:asciiTheme="minorHAnsi" w:hAnsiTheme="minorHAnsi" w:cstheme="minorHAnsi"/>
                <w:szCs w:val="18"/>
              </w:rPr>
              <w:t>0</w:t>
            </w:r>
          </w:p>
        </w:tc>
      </w:tr>
      <w:tr w:rsidR="005B2032" w:rsidRPr="005B2032" w14:paraId="2AFA0DDC" w14:textId="77777777" w:rsidTr="00C2491D">
        <w:trPr>
          <w:trHeight w:val="283"/>
          <w:jc w:val="center"/>
        </w:trPr>
        <w:tc>
          <w:tcPr>
            <w:tcW w:w="3242" w:type="dxa"/>
          </w:tcPr>
          <w:p w14:paraId="764012A7"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Пенсии за трудова дейност</w:t>
            </w:r>
          </w:p>
        </w:tc>
        <w:tc>
          <w:tcPr>
            <w:tcW w:w="727" w:type="dxa"/>
            <w:vAlign w:val="center"/>
          </w:tcPr>
          <w:p w14:paraId="13188D94"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2FFC1273"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745C9BA4" w14:textId="633B3ECF"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FCBE8ED" w14:textId="2C7D12C2"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7" w:type="dxa"/>
            <w:vAlign w:val="center"/>
          </w:tcPr>
          <w:p w14:paraId="6CB399CC" w14:textId="1A32C3A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41200ECF" w14:textId="132AC45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8" w:type="dxa"/>
            <w:vAlign w:val="center"/>
          </w:tcPr>
          <w:p w14:paraId="05E50407" w14:textId="27174D53"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9</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3DD83871" w14:textId="72019F68"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9</w:t>
            </w:r>
          </w:p>
        </w:tc>
      </w:tr>
      <w:tr w:rsidR="005B2032" w:rsidRPr="005B2032" w14:paraId="08E0E4CC" w14:textId="77777777" w:rsidTr="00C2491D">
        <w:trPr>
          <w:trHeight w:val="283"/>
          <w:jc w:val="center"/>
        </w:trPr>
        <w:tc>
          <w:tcPr>
            <w:tcW w:w="3242" w:type="dxa"/>
          </w:tcPr>
          <w:p w14:paraId="55F27D59"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Пенсии за възраст и ранно пенсиониране</w:t>
            </w:r>
          </w:p>
        </w:tc>
        <w:tc>
          <w:tcPr>
            <w:tcW w:w="727" w:type="dxa"/>
            <w:vAlign w:val="center"/>
          </w:tcPr>
          <w:p w14:paraId="52BFA3A9"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CF66C8E"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34AF351D" w14:textId="28ABBC42"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409575D9" w14:textId="3C46EF6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7" w:type="dxa"/>
            <w:vAlign w:val="center"/>
          </w:tcPr>
          <w:p w14:paraId="40D6D748" w14:textId="223AED04"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8" w:type="dxa"/>
            <w:vAlign w:val="center"/>
          </w:tcPr>
          <w:p w14:paraId="0D0DA9A5" w14:textId="1C0690A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6031D32A" w14:textId="431E6BB9"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727EE33F" w14:textId="787B93A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w:t>
            </w:r>
            <w:r w:rsidR="000B3666" w:rsidRPr="00D50A65">
              <w:rPr>
                <w:rFonts w:asciiTheme="minorHAnsi" w:hAnsiTheme="minorHAnsi" w:cstheme="minorHAnsi"/>
                <w:szCs w:val="18"/>
              </w:rPr>
              <w:t>.</w:t>
            </w:r>
            <w:r w:rsidRPr="00D50A65">
              <w:rPr>
                <w:rFonts w:asciiTheme="minorHAnsi" w:hAnsiTheme="minorHAnsi" w:cstheme="minorHAnsi"/>
                <w:szCs w:val="18"/>
              </w:rPr>
              <w:t>3</w:t>
            </w:r>
          </w:p>
        </w:tc>
      </w:tr>
      <w:tr w:rsidR="005B2032" w:rsidRPr="005B2032" w14:paraId="47DC37F9" w14:textId="77777777" w:rsidTr="00C2491D">
        <w:trPr>
          <w:trHeight w:val="283"/>
          <w:jc w:val="center"/>
        </w:trPr>
        <w:tc>
          <w:tcPr>
            <w:tcW w:w="3242" w:type="dxa"/>
          </w:tcPr>
          <w:p w14:paraId="36B611CB"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Други пенсии (за инвалидност. наследствени)</w:t>
            </w:r>
          </w:p>
        </w:tc>
        <w:tc>
          <w:tcPr>
            <w:tcW w:w="727" w:type="dxa"/>
            <w:vAlign w:val="center"/>
          </w:tcPr>
          <w:p w14:paraId="01D56E9E"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74015D04"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735A5671" w14:textId="211487F6"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BB324DC" w14:textId="3F1DD37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7" w:type="dxa"/>
            <w:vAlign w:val="center"/>
          </w:tcPr>
          <w:p w14:paraId="5299F6D8" w14:textId="445C781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779F9E19" w14:textId="6F45E38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418118EC" w14:textId="4CB6012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10A5E8AF" w14:textId="193B336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6</w:t>
            </w:r>
          </w:p>
        </w:tc>
      </w:tr>
      <w:tr w:rsidR="005B2032" w:rsidRPr="005B2032" w14:paraId="1E3C03C5" w14:textId="77777777" w:rsidTr="00C2491D">
        <w:trPr>
          <w:trHeight w:val="283"/>
          <w:jc w:val="center"/>
        </w:trPr>
        <w:tc>
          <w:tcPr>
            <w:tcW w:w="3242" w:type="dxa"/>
          </w:tcPr>
          <w:p w14:paraId="665C2059"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Пенсии по професионални схеми (ако са в консолидираното правителство)</w:t>
            </w:r>
          </w:p>
        </w:tc>
        <w:tc>
          <w:tcPr>
            <w:tcW w:w="727" w:type="dxa"/>
            <w:vAlign w:val="center"/>
          </w:tcPr>
          <w:p w14:paraId="7751EED0"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D43A4C4"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4714A8C7"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7E9BAF42" w14:textId="77777777" w:rsidR="007C6657" w:rsidRPr="00D50A65" w:rsidRDefault="007C6657" w:rsidP="00D50A65">
            <w:pPr>
              <w:pStyle w:val="tabletextleft"/>
              <w:jc w:val="right"/>
              <w:rPr>
                <w:rFonts w:asciiTheme="minorHAnsi" w:hAnsiTheme="minorHAnsi" w:cstheme="minorHAnsi"/>
                <w:szCs w:val="18"/>
              </w:rPr>
            </w:pPr>
          </w:p>
        </w:tc>
        <w:tc>
          <w:tcPr>
            <w:tcW w:w="727" w:type="dxa"/>
            <w:vAlign w:val="center"/>
          </w:tcPr>
          <w:p w14:paraId="359F766E"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418F32C0"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2D9AD2F5"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279BC75D" w14:textId="77777777" w:rsidR="007C6657" w:rsidRPr="00D50A65" w:rsidRDefault="007C6657" w:rsidP="00D50A65">
            <w:pPr>
              <w:pStyle w:val="tabletextleft"/>
              <w:jc w:val="right"/>
              <w:rPr>
                <w:rFonts w:asciiTheme="minorHAnsi" w:hAnsiTheme="minorHAnsi" w:cstheme="minorHAnsi"/>
                <w:szCs w:val="18"/>
              </w:rPr>
            </w:pPr>
          </w:p>
        </w:tc>
      </w:tr>
      <w:tr w:rsidR="005B2032" w:rsidRPr="005B2032" w14:paraId="7B65F62F" w14:textId="77777777" w:rsidTr="00C2491D">
        <w:trPr>
          <w:trHeight w:val="283"/>
          <w:jc w:val="center"/>
        </w:trPr>
        <w:tc>
          <w:tcPr>
            <w:tcW w:w="3242" w:type="dxa"/>
          </w:tcPr>
          <w:p w14:paraId="7F694CE4"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Здравеопазване</w:t>
            </w:r>
          </w:p>
        </w:tc>
        <w:tc>
          <w:tcPr>
            <w:tcW w:w="727" w:type="dxa"/>
            <w:vAlign w:val="center"/>
          </w:tcPr>
          <w:p w14:paraId="05B7CD1A" w14:textId="5876A4E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7744251A" w14:textId="702689B3"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8" w:type="dxa"/>
            <w:vAlign w:val="center"/>
          </w:tcPr>
          <w:p w14:paraId="0C503B4D" w14:textId="612D6D2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7CFFBF54" w14:textId="0087245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7" w:type="dxa"/>
            <w:vAlign w:val="center"/>
          </w:tcPr>
          <w:p w14:paraId="7A5BE8DB" w14:textId="6BA9526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330116C4" w14:textId="3AAC978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728" w:type="dxa"/>
            <w:vAlign w:val="center"/>
          </w:tcPr>
          <w:p w14:paraId="4BD324C2" w14:textId="1F7FB8B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7E361238" w14:textId="135FE77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9</w:t>
            </w:r>
          </w:p>
        </w:tc>
      </w:tr>
      <w:tr w:rsidR="005B2032" w:rsidRPr="005B2032" w14:paraId="4CAF2F28" w14:textId="77777777" w:rsidTr="00C2491D">
        <w:trPr>
          <w:trHeight w:val="283"/>
          <w:jc w:val="center"/>
        </w:trPr>
        <w:tc>
          <w:tcPr>
            <w:tcW w:w="3242" w:type="dxa"/>
          </w:tcPr>
          <w:p w14:paraId="11A2756B"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Дългосрочни грижи</w:t>
            </w:r>
          </w:p>
        </w:tc>
        <w:tc>
          <w:tcPr>
            <w:tcW w:w="727" w:type="dxa"/>
            <w:vAlign w:val="center"/>
          </w:tcPr>
          <w:p w14:paraId="207F4597"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4D9D82C7"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2EAEECBA"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07BC6CA6" w14:textId="77777777" w:rsidR="007C6657" w:rsidRPr="00D50A65" w:rsidRDefault="007C6657" w:rsidP="00D50A65">
            <w:pPr>
              <w:pStyle w:val="tabletextleft"/>
              <w:jc w:val="right"/>
              <w:rPr>
                <w:rFonts w:asciiTheme="minorHAnsi" w:hAnsiTheme="minorHAnsi" w:cstheme="minorHAnsi"/>
                <w:szCs w:val="18"/>
              </w:rPr>
            </w:pPr>
          </w:p>
        </w:tc>
        <w:tc>
          <w:tcPr>
            <w:tcW w:w="727" w:type="dxa"/>
            <w:vAlign w:val="center"/>
          </w:tcPr>
          <w:p w14:paraId="62A0BDF2"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4BA3DC1B"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83FE6ED"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768AFA3F" w14:textId="77777777" w:rsidR="007C6657" w:rsidRPr="00D50A65" w:rsidRDefault="007C6657" w:rsidP="00D50A65">
            <w:pPr>
              <w:pStyle w:val="tabletextleft"/>
              <w:jc w:val="right"/>
              <w:rPr>
                <w:rFonts w:asciiTheme="minorHAnsi" w:hAnsiTheme="minorHAnsi" w:cstheme="minorHAnsi"/>
                <w:szCs w:val="18"/>
              </w:rPr>
            </w:pPr>
          </w:p>
        </w:tc>
      </w:tr>
      <w:tr w:rsidR="005B2032" w:rsidRPr="005B2032" w14:paraId="6301AC5A" w14:textId="77777777" w:rsidTr="00C2491D">
        <w:trPr>
          <w:trHeight w:val="283"/>
          <w:jc w:val="center"/>
        </w:trPr>
        <w:tc>
          <w:tcPr>
            <w:tcW w:w="3242" w:type="dxa"/>
          </w:tcPr>
          <w:p w14:paraId="77B0FD80"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Разходи за образование</w:t>
            </w:r>
          </w:p>
        </w:tc>
        <w:tc>
          <w:tcPr>
            <w:tcW w:w="727" w:type="dxa"/>
            <w:vAlign w:val="center"/>
          </w:tcPr>
          <w:p w14:paraId="5BFA0DE3" w14:textId="3F5098D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8" w:type="dxa"/>
            <w:vAlign w:val="center"/>
          </w:tcPr>
          <w:p w14:paraId="22F39702" w14:textId="27306AF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8" w:type="dxa"/>
            <w:vAlign w:val="center"/>
          </w:tcPr>
          <w:p w14:paraId="75F4DD86" w14:textId="03867A6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4DE3478E" w14:textId="2546D2E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7" w:type="dxa"/>
            <w:vAlign w:val="center"/>
          </w:tcPr>
          <w:p w14:paraId="233CDF64" w14:textId="644DBB6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7152B9C5" w14:textId="75704884"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728" w:type="dxa"/>
            <w:vAlign w:val="center"/>
          </w:tcPr>
          <w:p w14:paraId="0DADAE7C" w14:textId="39F637C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5B0B7E85" w14:textId="38E1E54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2</w:t>
            </w:r>
          </w:p>
        </w:tc>
      </w:tr>
      <w:tr w:rsidR="005B2032" w:rsidRPr="005B2032" w14:paraId="27CBAEB8" w14:textId="77777777" w:rsidTr="00C2491D">
        <w:trPr>
          <w:trHeight w:val="283"/>
          <w:jc w:val="center"/>
        </w:trPr>
        <w:tc>
          <w:tcPr>
            <w:tcW w:w="3242" w:type="dxa"/>
          </w:tcPr>
          <w:p w14:paraId="523DD215"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Други разходи. свързани със застаряването на населението</w:t>
            </w:r>
          </w:p>
        </w:tc>
        <w:tc>
          <w:tcPr>
            <w:tcW w:w="727" w:type="dxa"/>
            <w:vAlign w:val="center"/>
          </w:tcPr>
          <w:p w14:paraId="28B16438"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385E8419"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CFE7F10"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A5D4354" w14:textId="77777777" w:rsidR="007C6657" w:rsidRPr="00D50A65" w:rsidRDefault="007C6657" w:rsidP="00D50A65">
            <w:pPr>
              <w:pStyle w:val="tabletextleft"/>
              <w:jc w:val="right"/>
              <w:rPr>
                <w:rFonts w:asciiTheme="minorHAnsi" w:hAnsiTheme="minorHAnsi" w:cstheme="minorHAnsi"/>
                <w:szCs w:val="18"/>
              </w:rPr>
            </w:pPr>
          </w:p>
        </w:tc>
        <w:tc>
          <w:tcPr>
            <w:tcW w:w="727" w:type="dxa"/>
            <w:vAlign w:val="center"/>
          </w:tcPr>
          <w:p w14:paraId="16ECE867"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99C66B3"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201CAC1C"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070361CD" w14:textId="77777777" w:rsidR="007C6657" w:rsidRPr="00D50A65" w:rsidRDefault="007C6657" w:rsidP="00D50A65">
            <w:pPr>
              <w:pStyle w:val="tabletextleft"/>
              <w:jc w:val="right"/>
              <w:rPr>
                <w:rFonts w:asciiTheme="minorHAnsi" w:hAnsiTheme="minorHAnsi" w:cstheme="minorHAnsi"/>
                <w:szCs w:val="18"/>
              </w:rPr>
            </w:pPr>
          </w:p>
        </w:tc>
      </w:tr>
      <w:tr w:rsidR="005B2032" w:rsidRPr="005B2032" w14:paraId="33749000" w14:textId="77777777" w:rsidTr="00C2491D">
        <w:trPr>
          <w:trHeight w:val="283"/>
          <w:jc w:val="center"/>
        </w:trPr>
        <w:tc>
          <w:tcPr>
            <w:tcW w:w="3242" w:type="dxa"/>
          </w:tcPr>
          <w:p w14:paraId="4BFA99FE"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Лихвени разходи</w:t>
            </w:r>
          </w:p>
        </w:tc>
        <w:tc>
          <w:tcPr>
            <w:tcW w:w="727" w:type="dxa"/>
            <w:vAlign w:val="center"/>
          </w:tcPr>
          <w:p w14:paraId="67F2743F"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5B627FF5"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CD3C97F"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3E5F1C5" w14:textId="77777777" w:rsidR="007C6657" w:rsidRPr="00D50A65" w:rsidRDefault="007C6657" w:rsidP="00D50A65">
            <w:pPr>
              <w:pStyle w:val="tabletextleft"/>
              <w:jc w:val="right"/>
              <w:rPr>
                <w:rFonts w:asciiTheme="minorHAnsi" w:hAnsiTheme="minorHAnsi" w:cstheme="minorHAnsi"/>
                <w:szCs w:val="18"/>
              </w:rPr>
            </w:pPr>
          </w:p>
        </w:tc>
        <w:tc>
          <w:tcPr>
            <w:tcW w:w="727" w:type="dxa"/>
            <w:vAlign w:val="center"/>
          </w:tcPr>
          <w:p w14:paraId="7778C3F1"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F01E949"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375F95B9"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68FFABF4" w14:textId="77777777" w:rsidR="007C6657" w:rsidRPr="00D50A65" w:rsidRDefault="007C6657" w:rsidP="00D50A65">
            <w:pPr>
              <w:pStyle w:val="tabletextleft"/>
              <w:jc w:val="right"/>
              <w:rPr>
                <w:rFonts w:asciiTheme="minorHAnsi" w:hAnsiTheme="minorHAnsi" w:cstheme="minorHAnsi"/>
                <w:szCs w:val="18"/>
              </w:rPr>
            </w:pPr>
          </w:p>
        </w:tc>
      </w:tr>
      <w:tr w:rsidR="005B2032" w:rsidRPr="005B2032" w14:paraId="76706E8F" w14:textId="77777777" w:rsidTr="00C2491D">
        <w:trPr>
          <w:trHeight w:val="283"/>
          <w:jc w:val="center"/>
        </w:trPr>
        <w:tc>
          <w:tcPr>
            <w:tcW w:w="3242" w:type="dxa"/>
          </w:tcPr>
          <w:p w14:paraId="19C51A1B"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Общо приходи</w:t>
            </w:r>
          </w:p>
        </w:tc>
        <w:tc>
          <w:tcPr>
            <w:tcW w:w="727" w:type="dxa"/>
            <w:vAlign w:val="center"/>
          </w:tcPr>
          <w:p w14:paraId="398749F0" w14:textId="58C91F7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37</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162C44A5" w14:textId="6E9B215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32</w:t>
            </w:r>
            <w:r w:rsidR="000B3666" w:rsidRPr="00D50A65">
              <w:rPr>
                <w:rFonts w:asciiTheme="minorHAnsi" w:hAnsiTheme="minorHAnsi" w:cstheme="minorHAnsi"/>
                <w:szCs w:val="18"/>
              </w:rPr>
              <w:t>.</w:t>
            </w:r>
            <w:r w:rsidRPr="00D50A65">
              <w:rPr>
                <w:rFonts w:asciiTheme="minorHAnsi" w:hAnsiTheme="minorHAnsi" w:cstheme="minorHAnsi"/>
                <w:szCs w:val="18"/>
              </w:rPr>
              <w:t>5</w:t>
            </w:r>
          </w:p>
        </w:tc>
        <w:tc>
          <w:tcPr>
            <w:tcW w:w="728" w:type="dxa"/>
            <w:vAlign w:val="center"/>
          </w:tcPr>
          <w:p w14:paraId="3B523A38" w14:textId="070E9F7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37</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5C904CBC" w14:textId="77777777" w:rsidR="007C6657" w:rsidRPr="00D50A65" w:rsidRDefault="007C6657" w:rsidP="00D50A65">
            <w:pPr>
              <w:pStyle w:val="tabletextleft"/>
              <w:jc w:val="right"/>
              <w:rPr>
                <w:rFonts w:asciiTheme="minorHAnsi" w:hAnsiTheme="minorHAnsi" w:cstheme="minorHAnsi"/>
                <w:szCs w:val="18"/>
              </w:rPr>
            </w:pPr>
          </w:p>
        </w:tc>
        <w:tc>
          <w:tcPr>
            <w:tcW w:w="727" w:type="dxa"/>
            <w:vAlign w:val="center"/>
          </w:tcPr>
          <w:p w14:paraId="26DCB2B2"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7BC02DCD"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6AA1B32" w14:textId="77777777" w:rsidR="007C6657" w:rsidRPr="00D50A65" w:rsidRDefault="007C6657" w:rsidP="00D50A65">
            <w:pPr>
              <w:pStyle w:val="tabletextleft"/>
              <w:jc w:val="right"/>
              <w:rPr>
                <w:rFonts w:asciiTheme="minorHAnsi" w:hAnsiTheme="minorHAnsi" w:cstheme="minorHAnsi"/>
                <w:szCs w:val="18"/>
              </w:rPr>
            </w:pPr>
          </w:p>
        </w:tc>
        <w:tc>
          <w:tcPr>
            <w:tcW w:w="728" w:type="dxa"/>
            <w:vAlign w:val="center"/>
          </w:tcPr>
          <w:p w14:paraId="16E1FB3F" w14:textId="77777777" w:rsidR="007C6657" w:rsidRPr="00D50A65" w:rsidRDefault="007C6657" w:rsidP="00D50A65">
            <w:pPr>
              <w:pStyle w:val="tabletextleft"/>
              <w:jc w:val="right"/>
              <w:rPr>
                <w:rFonts w:asciiTheme="minorHAnsi" w:hAnsiTheme="minorHAnsi" w:cstheme="minorHAnsi"/>
                <w:szCs w:val="18"/>
              </w:rPr>
            </w:pPr>
          </w:p>
        </w:tc>
      </w:tr>
      <w:tr w:rsidR="005B2032" w:rsidRPr="005B2032" w14:paraId="29CD981A" w14:textId="77777777" w:rsidTr="00C2491D">
        <w:trPr>
          <w:trHeight w:val="283"/>
          <w:jc w:val="center"/>
        </w:trPr>
        <w:tc>
          <w:tcPr>
            <w:tcW w:w="3242" w:type="dxa"/>
          </w:tcPr>
          <w:p w14:paraId="524E5983" w14:textId="77777777" w:rsidR="001204BE" w:rsidRPr="005B2032" w:rsidRDefault="001204BE" w:rsidP="00C1337B">
            <w:pPr>
              <w:pStyle w:val="tabletextleft"/>
              <w:rPr>
                <w:rFonts w:asciiTheme="minorHAnsi" w:hAnsiTheme="minorHAnsi" w:cstheme="minorHAnsi"/>
              </w:rPr>
            </w:pPr>
            <w:r w:rsidRPr="005B2032">
              <w:rPr>
                <w:rFonts w:asciiTheme="minorHAnsi" w:hAnsiTheme="minorHAnsi" w:cstheme="minorHAnsi"/>
              </w:rPr>
              <w:t>В т.ч. доходи от собственост</w:t>
            </w:r>
          </w:p>
        </w:tc>
        <w:tc>
          <w:tcPr>
            <w:tcW w:w="727" w:type="dxa"/>
            <w:vAlign w:val="center"/>
          </w:tcPr>
          <w:p w14:paraId="22CCD048"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265F1DE5"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2A0A9576"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73149D57" w14:textId="77777777" w:rsidR="001204BE" w:rsidRPr="00D50A65" w:rsidRDefault="001204BE" w:rsidP="00D50A65">
            <w:pPr>
              <w:pStyle w:val="tabletextleft"/>
              <w:jc w:val="right"/>
              <w:rPr>
                <w:rFonts w:asciiTheme="minorHAnsi" w:hAnsiTheme="minorHAnsi" w:cstheme="minorHAnsi"/>
                <w:szCs w:val="18"/>
              </w:rPr>
            </w:pPr>
          </w:p>
        </w:tc>
        <w:tc>
          <w:tcPr>
            <w:tcW w:w="727" w:type="dxa"/>
            <w:vAlign w:val="center"/>
          </w:tcPr>
          <w:p w14:paraId="78E50BC3"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06012D1B"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762C229F"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16392859" w14:textId="77777777" w:rsidR="001204BE" w:rsidRPr="00D50A65" w:rsidRDefault="001204BE" w:rsidP="00D50A65">
            <w:pPr>
              <w:pStyle w:val="tabletextleft"/>
              <w:jc w:val="right"/>
              <w:rPr>
                <w:rFonts w:asciiTheme="minorHAnsi" w:hAnsiTheme="minorHAnsi" w:cstheme="minorHAnsi"/>
                <w:szCs w:val="18"/>
              </w:rPr>
            </w:pPr>
          </w:p>
        </w:tc>
      </w:tr>
      <w:tr w:rsidR="005B2032" w:rsidRPr="005B2032" w14:paraId="0F691A89" w14:textId="77777777" w:rsidTr="00C2491D">
        <w:trPr>
          <w:trHeight w:val="283"/>
          <w:jc w:val="center"/>
        </w:trPr>
        <w:tc>
          <w:tcPr>
            <w:tcW w:w="3242" w:type="dxa"/>
          </w:tcPr>
          <w:p w14:paraId="4F50F902" w14:textId="77777777" w:rsidR="001204BE" w:rsidRPr="005B2032" w:rsidRDefault="001204BE" w:rsidP="00C1337B">
            <w:pPr>
              <w:pStyle w:val="tabletextleft"/>
              <w:rPr>
                <w:rFonts w:asciiTheme="minorHAnsi" w:hAnsiTheme="minorHAnsi" w:cstheme="minorHAnsi"/>
              </w:rPr>
            </w:pPr>
            <w:r w:rsidRPr="005B2032">
              <w:rPr>
                <w:rFonts w:asciiTheme="minorHAnsi" w:hAnsiTheme="minorHAnsi" w:cstheme="minorHAnsi"/>
              </w:rPr>
              <w:t>В т.ч: от пенсионни вноски (или социално-осигурителни вноски. ако е релевантно)</w:t>
            </w:r>
          </w:p>
        </w:tc>
        <w:tc>
          <w:tcPr>
            <w:tcW w:w="727" w:type="dxa"/>
            <w:vAlign w:val="center"/>
          </w:tcPr>
          <w:p w14:paraId="706D9A37"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37C21DAD"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2CF94CB1"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72FFE9C8"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7" w:type="dxa"/>
            <w:vAlign w:val="center"/>
          </w:tcPr>
          <w:p w14:paraId="5EB8826F"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6770C200"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6BCF667E"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0E9BF094" w14:textId="77777777" w:rsidR="001204BE" w:rsidRPr="00D50A65" w:rsidRDefault="001204BE" w:rsidP="00D50A65">
            <w:pPr>
              <w:pStyle w:val="tabletextleft"/>
              <w:jc w:val="right"/>
              <w:rPr>
                <w:rFonts w:asciiTheme="minorHAnsi" w:hAnsiTheme="minorHAnsi" w:cstheme="minorHAnsi"/>
                <w:szCs w:val="18"/>
                <w:highlight w:val="yellow"/>
              </w:rPr>
            </w:pPr>
          </w:p>
        </w:tc>
      </w:tr>
      <w:tr w:rsidR="005B2032" w:rsidRPr="005B2032" w14:paraId="3E2E96EF" w14:textId="77777777" w:rsidTr="00C2491D">
        <w:trPr>
          <w:trHeight w:val="283"/>
          <w:jc w:val="center"/>
        </w:trPr>
        <w:tc>
          <w:tcPr>
            <w:tcW w:w="3242" w:type="dxa"/>
          </w:tcPr>
          <w:p w14:paraId="4E2BB929" w14:textId="77777777" w:rsidR="001204BE" w:rsidRPr="005B2032" w:rsidRDefault="001204BE" w:rsidP="00C1337B">
            <w:pPr>
              <w:pStyle w:val="tabletextleft"/>
              <w:rPr>
                <w:rFonts w:asciiTheme="minorHAnsi" w:hAnsiTheme="minorHAnsi" w:cstheme="minorHAnsi"/>
              </w:rPr>
            </w:pPr>
            <w:r w:rsidRPr="005B2032">
              <w:rPr>
                <w:rFonts w:asciiTheme="minorHAnsi" w:hAnsiTheme="minorHAnsi" w:cstheme="minorHAnsi"/>
              </w:rPr>
              <w:t>Активи на резервни пенсионни фондове</w:t>
            </w:r>
          </w:p>
        </w:tc>
        <w:tc>
          <w:tcPr>
            <w:tcW w:w="727" w:type="dxa"/>
            <w:vAlign w:val="center"/>
          </w:tcPr>
          <w:p w14:paraId="7E6B26FE"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6FC3DAF4"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47B3A612"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51F6DBE0"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7" w:type="dxa"/>
            <w:vAlign w:val="center"/>
          </w:tcPr>
          <w:p w14:paraId="065E0A54"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60BEE5D8"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16848B8E"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75EA7244" w14:textId="77777777" w:rsidR="001204BE" w:rsidRPr="00D50A65" w:rsidRDefault="001204BE" w:rsidP="00D50A65">
            <w:pPr>
              <w:pStyle w:val="tabletextleft"/>
              <w:jc w:val="right"/>
              <w:rPr>
                <w:rFonts w:asciiTheme="minorHAnsi" w:hAnsiTheme="minorHAnsi" w:cstheme="minorHAnsi"/>
                <w:szCs w:val="18"/>
                <w:highlight w:val="yellow"/>
              </w:rPr>
            </w:pPr>
          </w:p>
        </w:tc>
      </w:tr>
      <w:tr w:rsidR="005B2032" w:rsidRPr="005B2032" w14:paraId="41DF8B3B" w14:textId="77777777" w:rsidTr="00C2491D">
        <w:trPr>
          <w:trHeight w:val="337"/>
          <w:jc w:val="center"/>
        </w:trPr>
        <w:tc>
          <w:tcPr>
            <w:tcW w:w="3242" w:type="dxa"/>
          </w:tcPr>
          <w:p w14:paraId="1C612EF6" w14:textId="77777777" w:rsidR="001204BE" w:rsidRPr="005B2032" w:rsidRDefault="001204BE" w:rsidP="00C1337B">
            <w:pPr>
              <w:pStyle w:val="tabletextleft"/>
              <w:rPr>
                <w:rFonts w:asciiTheme="minorHAnsi" w:hAnsiTheme="minorHAnsi" w:cstheme="minorHAnsi"/>
              </w:rPr>
            </w:pPr>
            <w:r w:rsidRPr="005B2032">
              <w:rPr>
                <w:rFonts w:asciiTheme="minorHAnsi" w:hAnsiTheme="minorHAnsi" w:cstheme="minorHAnsi"/>
              </w:rPr>
              <w:t xml:space="preserve">В т.ч.: консолидирани активи на публичните пенсионни фондове </w:t>
            </w:r>
          </w:p>
          <w:p w14:paraId="57534891" w14:textId="77777777" w:rsidR="001204BE" w:rsidRPr="005B2032" w:rsidRDefault="001204BE" w:rsidP="00C1337B">
            <w:pPr>
              <w:pStyle w:val="tabletextleft"/>
              <w:rPr>
                <w:rFonts w:asciiTheme="minorHAnsi" w:hAnsiTheme="minorHAnsi" w:cstheme="minorHAnsi"/>
              </w:rPr>
            </w:pPr>
            <w:r w:rsidRPr="005B2032">
              <w:rPr>
                <w:rFonts w:asciiTheme="minorHAnsi" w:hAnsiTheme="minorHAnsi" w:cstheme="minorHAnsi"/>
              </w:rPr>
              <w:t>(без държавни облигации)</w:t>
            </w:r>
          </w:p>
        </w:tc>
        <w:tc>
          <w:tcPr>
            <w:tcW w:w="727" w:type="dxa"/>
            <w:vAlign w:val="center"/>
          </w:tcPr>
          <w:p w14:paraId="3113BB2B"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5D0027F4" w14:textId="77777777" w:rsidR="001204BE" w:rsidRPr="00D50A65" w:rsidRDefault="001204BE" w:rsidP="00D50A65">
            <w:pPr>
              <w:pStyle w:val="tabletextleft"/>
              <w:jc w:val="right"/>
              <w:rPr>
                <w:rFonts w:asciiTheme="minorHAnsi" w:hAnsiTheme="minorHAnsi" w:cstheme="minorHAnsi"/>
                <w:szCs w:val="18"/>
              </w:rPr>
            </w:pPr>
          </w:p>
        </w:tc>
        <w:tc>
          <w:tcPr>
            <w:tcW w:w="728" w:type="dxa"/>
            <w:vAlign w:val="center"/>
          </w:tcPr>
          <w:p w14:paraId="6A09927B"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0C456688"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7" w:type="dxa"/>
            <w:vAlign w:val="center"/>
          </w:tcPr>
          <w:p w14:paraId="5D7B2DD2"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5999B6E4"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790A2E5A" w14:textId="77777777" w:rsidR="001204BE" w:rsidRPr="00D50A65" w:rsidRDefault="001204BE" w:rsidP="00D50A65">
            <w:pPr>
              <w:pStyle w:val="tabletextleft"/>
              <w:jc w:val="right"/>
              <w:rPr>
                <w:rFonts w:asciiTheme="minorHAnsi" w:hAnsiTheme="minorHAnsi" w:cstheme="minorHAnsi"/>
                <w:szCs w:val="18"/>
                <w:highlight w:val="yellow"/>
              </w:rPr>
            </w:pPr>
          </w:p>
        </w:tc>
        <w:tc>
          <w:tcPr>
            <w:tcW w:w="728" w:type="dxa"/>
            <w:vAlign w:val="center"/>
          </w:tcPr>
          <w:p w14:paraId="16A1379F" w14:textId="77777777" w:rsidR="001204BE" w:rsidRPr="00D50A65" w:rsidRDefault="001204BE" w:rsidP="00D50A65">
            <w:pPr>
              <w:pStyle w:val="tabletextleft"/>
              <w:jc w:val="right"/>
              <w:rPr>
                <w:rFonts w:asciiTheme="minorHAnsi" w:hAnsiTheme="minorHAnsi" w:cstheme="minorHAnsi"/>
                <w:szCs w:val="18"/>
                <w:highlight w:val="yellow"/>
              </w:rPr>
            </w:pPr>
          </w:p>
        </w:tc>
      </w:tr>
      <w:tr w:rsidR="005B2032" w:rsidRPr="005B2032" w14:paraId="1EFD7AA6" w14:textId="77777777" w:rsidTr="00C2491D">
        <w:trPr>
          <w:trHeight w:val="109"/>
          <w:jc w:val="center"/>
        </w:trPr>
        <w:tc>
          <w:tcPr>
            <w:tcW w:w="9064" w:type="dxa"/>
            <w:gridSpan w:val="9"/>
            <w:vAlign w:val="center"/>
          </w:tcPr>
          <w:p w14:paraId="37ED2050" w14:textId="77777777" w:rsidR="004C25A7" w:rsidRPr="00D50A65" w:rsidRDefault="004C25A7" w:rsidP="00D50A65">
            <w:pPr>
              <w:pStyle w:val="tabletextleft"/>
              <w:jc w:val="right"/>
              <w:rPr>
                <w:rFonts w:asciiTheme="minorHAnsi" w:hAnsiTheme="minorHAnsi" w:cstheme="minorHAnsi"/>
                <w:szCs w:val="18"/>
              </w:rPr>
            </w:pPr>
          </w:p>
        </w:tc>
      </w:tr>
      <w:tr w:rsidR="005B2032" w:rsidRPr="005B2032" w14:paraId="6881E9A0" w14:textId="77777777" w:rsidTr="00C2491D">
        <w:trPr>
          <w:trHeight w:val="283"/>
          <w:jc w:val="center"/>
        </w:trPr>
        <w:tc>
          <w:tcPr>
            <w:tcW w:w="3242" w:type="dxa"/>
          </w:tcPr>
          <w:p w14:paraId="7D57071F" w14:textId="77777777" w:rsidR="00424C45" w:rsidRPr="005B2032" w:rsidRDefault="00424C45" w:rsidP="00C1337B">
            <w:pPr>
              <w:pStyle w:val="tabletextleft"/>
              <w:rPr>
                <w:rFonts w:asciiTheme="minorHAnsi" w:hAnsiTheme="minorHAnsi" w:cstheme="minorHAnsi"/>
              </w:rPr>
            </w:pPr>
            <w:r w:rsidRPr="005B2032">
              <w:rPr>
                <w:rFonts w:asciiTheme="minorHAnsi" w:hAnsiTheme="minorHAnsi" w:cstheme="minorHAnsi"/>
              </w:rPr>
              <w:t>Социално-осигурителни вноски. насочени към задължително допълнително пенсионно осигуряване</w:t>
            </w:r>
            <w:r w:rsidRPr="005B2032">
              <w:rPr>
                <w:rFonts w:asciiTheme="minorHAnsi" w:hAnsiTheme="minorHAnsi" w:cstheme="minorHAnsi"/>
                <w:vertAlign w:val="superscript"/>
              </w:rPr>
              <w:footnoteReference w:id="50"/>
            </w:r>
          </w:p>
        </w:tc>
        <w:tc>
          <w:tcPr>
            <w:tcW w:w="727" w:type="dxa"/>
            <w:vAlign w:val="center"/>
          </w:tcPr>
          <w:p w14:paraId="0EB921C8"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6F51B053"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2BE6429C"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3B962839" w14:textId="77777777" w:rsidR="00424C45" w:rsidRPr="00D50A65" w:rsidRDefault="00424C45" w:rsidP="00D50A65">
            <w:pPr>
              <w:pStyle w:val="tabletextleft"/>
              <w:jc w:val="right"/>
              <w:rPr>
                <w:rFonts w:asciiTheme="minorHAnsi" w:hAnsiTheme="minorHAnsi" w:cstheme="minorHAnsi"/>
                <w:szCs w:val="18"/>
              </w:rPr>
            </w:pPr>
          </w:p>
        </w:tc>
        <w:tc>
          <w:tcPr>
            <w:tcW w:w="727" w:type="dxa"/>
            <w:vAlign w:val="center"/>
          </w:tcPr>
          <w:p w14:paraId="0A91EC7A"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1B29A8AA"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283838E8"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0FEBEA23" w14:textId="77777777" w:rsidR="00424C45" w:rsidRPr="00D50A65" w:rsidRDefault="00424C45" w:rsidP="00D50A65">
            <w:pPr>
              <w:pStyle w:val="tabletextleft"/>
              <w:jc w:val="right"/>
              <w:rPr>
                <w:rFonts w:asciiTheme="minorHAnsi" w:hAnsiTheme="minorHAnsi" w:cstheme="minorHAnsi"/>
                <w:szCs w:val="18"/>
              </w:rPr>
            </w:pPr>
          </w:p>
        </w:tc>
      </w:tr>
      <w:tr w:rsidR="005B2032" w:rsidRPr="005B2032" w14:paraId="018AF013" w14:textId="77777777" w:rsidTr="00C2491D">
        <w:trPr>
          <w:trHeight w:val="283"/>
          <w:jc w:val="center"/>
        </w:trPr>
        <w:tc>
          <w:tcPr>
            <w:tcW w:w="3242" w:type="dxa"/>
          </w:tcPr>
          <w:p w14:paraId="5AEC7FB5" w14:textId="77777777" w:rsidR="00424C45" w:rsidRPr="005B2032" w:rsidRDefault="00424C45" w:rsidP="00C1337B">
            <w:pPr>
              <w:pStyle w:val="tabletextleft"/>
              <w:rPr>
                <w:rFonts w:asciiTheme="minorHAnsi" w:hAnsiTheme="minorHAnsi" w:cstheme="minorHAnsi"/>
              </w:rPr>
            </w:pPr>
            <w:r w:rsidRPr="005B2032">
              <w:rPr>
                <w:rFonts w:asciiTheme="minorHAnsi" w:hAnsiTheme="minorHAnsi" w:cstheme="minorHAnsi"/>
              </w:rPr>
              <w:t>Разходи за пенсии на задължително допълнително пенсионно осигуряване</w:t>
            </w:r>
            <w:r w:rsidRPr="005B2032">
              <w:rPr>
                <w:rFonts w:asciiTheme="minorHAnsi" w:hAnsiTheme="minorHAnsi" w:cstheme="minorHAnsi"/>
                <w:vertAlign w:val="superscript"/>
              </w:rPr>
              <w:footnoteReference w:id="51"/>
            </w:r>
          </w:p>
        </w:tc>
        <w:tc>
          <w:tcPr>
            <w:tcW w:w="727" w:type="dxa"/>
            <w:vAlign w:val="center"/>
          </w:tcPr>
          <w:p w14:paraId="3DEC21C3"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26D81BF8"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4BB5C2AC"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16FA2890" w14:textId="77777777" w:rsidR="00424C45" w:rsidRPr="00D50A65" w:rsidRDefault="00424C45" w:rsidP="00D50A65">
            <w:pPr>
              <w:pStyle w:val="tabletextleft"/>
              <w:jc w:val="right"/>
              <w:rPr>
                <w:rFonts w:asciiTheme="minorHAnsi" w:hAnsiTheme="minorHAnsi" w:cstheme="minorHAnsi"/>
                <w:szCs w:val="18"/>
              </w:rPr>
            </w:pPr>
          </w:p>
        </w:tc>
        <w:tc>
          <w:tcPr>
            <w:tcW w:w="727" w:type="dxa"/>
            <w:vAlign w:val="center"/>
          </w:tcPr>
          <w:p w14:paraId="15F2DB41"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20D21645"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36AD1DBF" w14:textId="77777777" w:rsidR="00424C45" w:rsidRPr="00D50A65" w:rsidRDefault="00424C45" w:rsidP="00D50A65">
            <w:pPr>
              <w:pStyle w:val="tabletextleft"/>
              <w:jc w:val="right"/>
              <w:rPr>
                <w:rFonts w:asciiTheme="minorHAnsi" w:hAnsiTheme="minorHAnsi" w:cstheme="minorHAnsi"/>
                <w:szCs w:val="18"/>
              </w:rPr>
            </w:pPr>
          </w:p>
        </w:tc>
        <w:tc>
          <w:tcPr>
            <w:tcW w:w="728" w:type="dxa"/>
            <w:vAlign w:val="center"/>
          </w:tcPr>
          <w:p w14:paraId="2A5B0992" w14:textId="77777777" w:rsidR="00424C45" w:rsidRPr="00D50A65" w:rsidRDefault="00424C45" w:rsidP="00D50A65">
            <w:pPr>
              <w:pStyle w:val="tabletextleft"/>
              <w:jc w:val="right"/>
              <w:rPr>
                <w:rFonts w:asciiTheme="minorHAnsi" w:hAnsiTheme="minorHAnsi" w:cstheme="minorHAnsi"/>
                <w:szCs w:val="18"/>
              </w:rPr>
            </w:pPr>
          </w:p>
        </w:tc>
      </w:tr>
      <w:tr w:rsidR="005B2032" w:rsidRPr="005B2032" w14:paraId="14B64A9C" w14:textId="77777777" w:rsidTr="00C2491D">
        <w:trPr>
          <w:trHeight w:val="142"/>
          <w:jc w:val="center"/>
        </w:trPr>
        <w:tc>
          <w:tcPr>
            <w:tcW w:w="9064" w:type="dxa"/>
            <w:gridSpan w:val="9"/>
            <w:vAlign w:val="center"/>
          </w:tcPr>
          <w:p w14:paraId="4A28A7B3" w14:textId="77777777" w:rsidR="004C25A7" w:rsidRPr="00D50A65" w:rsidRDefault="004C25A7" w:rsidP="00D50A65">
            <w:pPr>
              <w:pStyle w:val="tabletextleft"/>
              <w:jc w:val="right"/>
              <w:rPr>
                <w:rFonts w:asciiTheme="minorHAnsi" w:hAnsiTheme="minorHAnsi" w:cstheme="minorHAnsi"/>
                <w:szCs w:val="18"/>
              </w:rPr>
            </w:pPr>
          </w:p>
        </w:tc>
      </w:tr>
      <w:tr w:rsidR="005B2032" w:rsidRPr="005B2032" w14:paraId="25CE09BF" w14:textId="77777777" w:rsidTr="00C2491D">
        <w:trPr>
          <w:trHeight w:val="283"/>
          <w:jc w:val="center"/>
        </w:trPr>
        <w:tc>
          <w:tcPr>
            <w:tcW w:w="3242" w:type="dxa"/>
          </w:tcPr>
          <w:p w14:paraId="3058F3AD"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Растеж на производителността на труда</w:t>
            </w:r>
            <w:r w:rsidRPr="005B2032">
              <w:rPr>
                <w:rStyle w:val="FootnoteReference"/>
                <w:rFonts w:asciiTheme="minorHAnsi" w:hAnsiTheme="minorHAnsi" w:cstheme="minorHAnsi"/>
              </w:rPr>
              <w:footnoteReference w:id="52"/>
            </w:r>
          </w:p>
        </w:tc>
        <w:tc>
          <w:tcPr>
            <w:tcW w:w="727" w:type="dxa"/>
            <w:vAlign w:val="center"/>
          </w:tcPr>
          <w:p w14:paraId="5F8905BE" w14:textId="2F52036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26AE3852" w14:textId="095F1E1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04B363A8" w14:textId="2017B97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7102CA8B" w14:textId="0909B7C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7" w:type="dxa"/>
            <w:vAlign w:val="center"/>
          </w:tcPr>
          <w:p w14:paraId="13211E46" w14:textId="4339D73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78932CEE" w14:textId="0ADC3C2B"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412FADEE" w14:textId="5FA4D9F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5D306CE2" w14:textId="233882C4"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5</w:t>
            </w:r>
          </w:p>
        </w:tc>
      </w:tr>
      <w:tr w:rsidR="005B2032" w:rsidRPr="005B2032" w14:paraId="10C11FD8" w14:textId="77777777" w:rsidTr="00C2491D">
        <w:trPr>
          <w:trHeight w:val="283"/>
          <w:jc w:val="center"/>
        </w:trPr>
        <w:tc>
          <w:tcPr>
            <w:tcW w:w="3242" w:type="dxa"/>
          </w:tcPr>
          <w:p w14:paraId="6C58B096"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Растеж на реалния БВП</w:t>
            </w:r>
          </w:p>
        </w:tc>
        <w:tc>
          <w:tcPr>
            <w:tcW w:w="727" w:type="dxa"/>
            <w:vAlign w:val="center"/>
          </w:tcPr>
          <w:p w14:paraId="217B6048" w14:textId="067624E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8" w:type="dxa"/>
            <w:vAlign w:val="center"/>
          </w:tcPr>
          <w:p w14:paraId="15297251" w14:textId="7EFB836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5</w:t>
            </w:r>
          </w:p>
        </w:tc>
        <w:tc>
          <w:tcPr>
            <w:tcW w:w="728" w:type="dxa"/>
            <w:vAlign w:val="center"/>
          </w:tcPr>
          <w:p w14:paraId="72133DD4" w14:textId="7A4F6292"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-4</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8" w:type="dxa"/>
            <w:vAlign w:val="center"/>
          </w:tcPr>
          <w:p w14:paraId="6737D4E4" w14:textId="297C500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7" w:type="dxa"/>
            <w:vAlign w:val="center"/>
          </w:tcPr>
          <w:p w14:paraId="63EF17CD" w14:textId="06A01B4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728" w:type="dxa"/>
            <w:vAlign w:val="center"/>
          </w:tcPr>
          <w:p w14:paraId="6670FFAB" w14:textId="6EB1174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0</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180D280D" w14:textId="21A2FD8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4BC647E6" w14:textId="5EA3C4D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2</w:t>
            </w:r>
          </w:p>
        </w:tc>
      </w:tr>
      <w:tr w:rsidR="005B2032" w:rsidRPr="005B2032" w14:paraId="23FDCD8C" w14:textId="77777777" w:rsidTr="00C2491D">
        <w:trPr>
          <w:trHeight w:val="283"/>
          <w:jc w:val="center"/>
        </w:trPr>
        <w:tc>
          <w:tcPr>
            <w:tcW w:w="3242" w:type="dxa"/>
          </w:tcPr>
          <w:p w14:paraId="5BEF5A6A" w14:textId="459FE511"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Коефициент на икономическа активност. мъже (на възраст 20-64</w:t>
            </w:r>
            <w:r w:rsidR="00DF07FD">
              <w:rPr>
                <w:rFonts w:asciiTheme="minorHAnsi" w:hAnsiTheme="minorHAnsi" w:cstheme="minorHAnsi"/>
              </w:rPr>
              <w:t> г.</w:t>
            </w:r>
            <w:r w:rsidRPr="005B2032">
              <w:rPr>
                <w:rFonts w:asciiTheme="minorHAnsi" w:hAnsiTheme="minorHAnsi" w:cstheme="minorHAnsi"/>
              </w:rPr>
              <w:t>)</w:t>
            </w:r>
          </w:p>
        </w:tc>
        <w:tc>
          <w:tcPr>
            <w:tcW w:w="727" w:type="dxa"/>
            <w:vAlign w:val="center"/>
          </w:tcPr>
          <w:p w14:paraId="086C7026" w14:textId="2B60433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78</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43171AE6" w14:textId="4DF95AC9"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76</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686FD320" w14:textId="735F0CA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82</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25037035" w14:textId="26A8C59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87</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7" w:type="dxa"/>
            <w:vAlign w:val="center"/>
          </w:tcPr>
          <w:p w14:paraId="0FF46538" w14:textId="7647E4C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87</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2DDBBF28" w14:textId="54518F5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87</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624122A4" w14:textId="22AE357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89</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77DAE7DC" w14:textId="1BD6943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88</w:t>
            </w:r>
            <w:r w:rsidR="000B3666" w:rsidRPr="00D50A65">
              <w:rPr>
                <w:rFonts w:asciiTheme="minorHAnsi" w:hAnsiTheme="minorHAnsi" w:cstheme="minorHAnsi"/>
                <w:szCs w:val="18"/>
              </w:rPr>
              <w:t>.</w:t>
            </w:r>
            <w:r w:rsidRPr="00D50A65">
              <w:rPr>
                <w:rFonts w:asciiTheme="minorHAnsi" w:hAnsiTheme="minorHAnsi" w:cstheme="minorHAnsi"/>
                <w:szCs w:val="18"/>
              </w:rPr>
              <w:t>4</w:t>
            </w:r>
          </w:p>
        </w:tc>
      </w:tr>
      <w:tr w:rsidR="005B2032" w:rsidRPr="005B2032" w14:paraId="63747DAB" w14:textId="77777777" w:rsidTr="00C2491D">
        <w:trPr>
          <w:trHeight w:val="283"/>
          <w:jc w:val="center"/>
        </w:trPr>
        <w:tc>
          <w:tcPr>
            <w:tcW w:w="3242" w:type="dxa"/>
          </w:tcPr>
          <w:p w14:paraId="5AC3399E" w14:textId="49FDCAC8"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Коефициент на икономическа активност.жени (на възраст 20-64</w:t>
            </w:r>
            <w:r w:rsidR="00DF07FD">
              <w:rPr>
                <w:rFonts w:asciiTheme="minorHAnsi" w:hAnsiTheme="minorHAnsi" w:cstheme="minorHAnsi"/>
              </w:rPr>
              <w:t> г.</w:t>
            </w:r>
            <w:r w:rsidRPr="005B2032">
              <w:rPr>
                <w:rFonts w:asciiTheme="minorHAnsi" w:hAnsiTheme="minorHAnsi" w:cstheme="minorHAnsi"/>
              </w:rPr>
              <w:t>)</w:t>
            </w:r>
          </w:p>
        </w:tc>
        <w:tc>
          <w:tcPr>
            <w:tcW w:w="727" w:type="dxa"/>
            <w:vAlign w:val="center"/>
          </w:tcPr>
          <w:p w14:paraId="0E86405D" w14:textId="71197011" w:rsidR="007C6657" w:rsidRPr="00D50A65" w:rsidRDefault="007C6657" w:rsidP="002B5ACF">
            <w:pPr>
              <w:pStyle w:val="tabletextleft"/>
              <w:jc w:val="right"/>
              <w:rPr>
                <w:rFonts w:asciiTheme="minorHAnsi" w:hAnsiTheme="minorHAnsi" w:cstheme="minorHAnsi"/>
                <w:szCs w:val="18"/>
              </w:rPr>
            </w:pPr>
            <w:r w:rsidRPr="00D50A65">
              <w:rPr>
                <w:rFonts w:asciiTheme="minorHAnsi" w:hAnsiTheme="minorHAnsi" w:cstheme="minorHAnsi"/>
                <w:szCs w:val="18"/>
              </w:rPr>
              <w:t>68</w:t>
            </w:r>
            <w:r w:rsidR="000B3666" w:rsidRPr="00D50A65">
              <w:rPr>
                <w:rFonts w:asciiTheme="minorHAnsi" w:hAnsiTheme="minorHAnsi" w:cstheme="minorHAnsi"/>
                <w:szCs w:val="18"/>
              </w:rPr>
              <w:t>.</w:t>
            </w:r>
            <w:r w:rsidR="002B5ACF">
              <w:rPr>
                <w:rFonts w:asciiTheme="minorHAnsi" w:hAnsiTheme="minorHAnsi" w:cstheme="minorHAnsi"/>
                <w:szCs w:val="18"/>
              </w:rPr>
              <w:t>4</w:t>
            </w:r>
          </w:p>
        </w:tc>
        <w:tc>
          <w:tcPr>
            <w:tcW w:w="728" w:type="dxa"/>
            <w:vAlign w:val="center"/>
          </w:tcPr>
          <w:p w14:paraId="4F5FDAB8" w14:textId="4ABF15A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67</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8" w:type="dxa"/>
            <w:vAlign w:val="center"/>
          </w:tcPr>
          <w:p w14:paraId="2B56A1C2" w14:textId="250B65F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72</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8" w:type="dxa"/>
            <w:vAlign w:val="center"/>
          </w:tcPr>
          <w:p w14:paraId="35884BF2" w14:textId="74E6D50E"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77</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727" w:type="dxa"/>
            <w:vAlign w:val="center"/>
          </w:tcPr>
          <w:p w14:paraId="48D64CCB" w14:textId="59C255C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76</w:t>
            </w:r>
            <w:r w:rsidR="000B3666" w:rsidRPr="00D50A65">
              <w:rPr>
                <w:rFonts w:asciiTheme="minorHAnsi" w:hAnsiTheme="minorHAnsi" w:cstheme="minorHAnsi"/>
                <w:szCs w:val="18"/>
              </w:rPr>
              <w:t>.</w:t>
            </w:r>
            <w:r w:rsidRPr="00D50A65">
              <w:rPr>
                <w:rFonts w:asciiTheme="minorHAnsi" w:hAnsiTheme="minorHAnsi" w:cstheme="minorHAnsi"/>
                <w:szCs w:val="18"/>
              </w:rPr>
              <w:t>5</w:t>
            </w:r>
          </w:p>
        </w:tc>
        <w:tc>
          <w:tcPr>
            <w:tcW w:w="728" w:type="dxa"/>
            <w:vAlign w:val="center"/>
          </w:tcPr>
          <w:p w14:paraId="604CE554" w14:textId="33503314"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76</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0106C2B4" w14:textId="732550D2"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77</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7B68182D" w14:textId="682EBE24"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77</w:t>
            </w:r>
            <w:r w:rsidR="000B3666" w:rsidRPr="00D50A65">
              <w:rPr>
                <w:rFonts w:asciiTheme="minorHAnsi" w:hAnsiTheme="minorHAnsi" w:cstheme="minorHAnsi"/>
                <w:szCs w:val="18"/>
              </w:rPr>
              <w:t>.</w:t>
            </w:r>
            <w:r w:rsidRPr="00D50A65">
              <w:rPr>
                <w:rFonts w:asciiTheme="minorHAnsi" w:hAnsiTheme="minorHAnsi" w:cstheme="minorHAnsi"/>
                <w:szCs w:val="18"/>
              </w:rPr>
              <w:t>2</w:t>
            </w:r>
          </w:p>
        </w:tc>
      </w:tr>
      <w:tr w:rsidR="005B2032" w:rsidRPr="005B2032" w14:paraId="078FA1D7" w14:textId="77777777" w:rsidTr="00C2491D">
        <w:trPr>
          <w:trHeight w:val="283"/>
          <w:jc w:val="center"/>
        </w:trPr>
        <w:tc>
          <w:tcPr>
            <w:tcW w:w="3242" w:type="dxa"/>
          </w:tcPr>
          <w:p w14:paraId="0705F027" w14:textId="006B0762"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Коефициент на икономическа активност. общо (на възраст 20-64</w:t>
            </w:r>
            <w:r w:rsidR="00DF07FD">
              <w:rPr>
                <w:rFonts w:asciiTheme="minorHAnsi" w:hAnsiTheme="minorHAnsi" w:cstheme="minorHAnsi"/>
              </w:rPr>
              <w:t> г.</w:t>
            </w:r>
            <w:r w:rsidRPr="005B2032">
              <w:rPr>
                <w:rFonts w:asciiTheme="minorHAnsi" w:hAnsiTheme="minorHAnsi" w:cstheme="minorHAnsi"/>
              </w:rPr>
              <w:t>)</w:t>
            </w:r>
          </w:p>
        </w:tc>
        <w:tc>
          <w:tcPr>
            <w:tcW w:w="727" w:type="dxa"/>
            <w:vAlign w:val="center"/>
          </w:tcPr>
          <w:p w14:paraId="09DAB248" w14:textId="26FB4A5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73</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25F62AC8" w14:textId="1A3AE0F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71</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6FD3FE17" w14:textId="402F1D7B"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77</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32C7A47A" w14:textId="3C1D622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82</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7" w:type="dxa"/>
            <w:vAlign w:val="center"/>
          </w:tcPr>
          <w:p w14:paraId="2FFDBA5B" w14:textId="344E0B2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81</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33E30D53" w14:textId="707064D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82</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728" w:type="dxa"/>
            <w:vAlign w:val="center"/>
          </w:tcPr>
          <w:p w14:paraId="288301F2" w14:textId="1C2EBCA3"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83</w:t>
            </w:r>
            <w:r w:rsidR="000B3666" w:rsidRPr="00D50A65">
              <w:rPr>
                <w:rFonts w:asciiTheme="minorHAnsi" w:hAnsiTheme="minorHAnsi" w:cstheme="minorHAnsi"/>
                <w:szCs w:val="18"/>
              </w:rPr>
              <w:t>.</w:t>
            </w:r>
            <w:r w:rsidRPr="00D50A65">
              <w:rPr>
                <w:rFonts w:asciiTheme="minorHAnsi" w:hAnsiTheme="minorHAnsi" w:cstheme="minorHAnsi"/>
                <w:szCs w:val="18"/>
              </w:rPr>
              <w:t>5</w:t>
            </w:r>
          </w:p>
        </w:tc>
        <w:tc>
          <w:tcPr>
            <w:tcW w:w="728" w:type="dxa"/>
            <w:vAlign w:val="center"/>
          </w:tcPr>
          <w:p w14:paraId="44EE5DC2" w14:textId="74249F5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82</w:t>
            </w:r>
            <w:r w:rsidR="000B3666" w:rsidRPr="00D50A65">
              <w:rPr>
                <w:rFonts w:asciiTheme="minorHAnsi" w:hAnsiTheme="minorHAnsi" w:cstheme="minorHAnsi"/>
                <w:szCs w:val="18"/>
              </w:rPr>
              <w:t>.</w:t>
            </w:r>
            <w:r w:rsidRPr="00D50A65">
              <w:rPr>
                <w:rFonts w:asciiTheme="minorHAnsi" w:hAnsiTheme="minorHAnsi" w:cstheme="minorHAnsi"/>
                <w:szCs w:val="18"/>
              </w:rPr>
              <w:t>9</w:t>
            </w:r>
          </w:p>
        </w:tc>
      </w:tr>
      <w:tr w:rsidR="005B2032" w:rsidRPr="005B2032" w14:paraId="1EA22677" w14:textId="77777777" w:rsidTr="00C2491D">
        <w:trPr>
          <w:trHeight w:val="283"/>
          <w:jc w:val="center"/>
        </w:trPr>
        <w:tc>
          <w:tcPr>
            <w:tcW w:w="3242" w:type="dxa"/>
          </w:tcPr>
          <w:p w14:paraId="2C4057B9" w14:textId="158C4B14"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Безработица (%. 15-64</w:t>
            </w:r>
            <w:r w:rsidR="00DF07FD">
              <w:rPr>
                <w:rFonts w:asciiTheme="minorHAnsi" w:hAnsiTheme="minorHAnsi" w:cstheme="minorHAnsi"/>
              </w:rPr>
              <w:t> г.</w:t>
            </w:r>
            <w:r w:rsidRPr="005B2032">
              <w:rPr>
                <w:rFonts w:asciiTheme="minorHAnsi" w:hAnsiTheme="minorHAnsi" w:cstheme="minorHAnsi"/>
              </w:rPr>
              <w:t>)</w:t>
            </w:r>
          </w:p>
        </w:tc>
        <w:tc>
          <w:tcPr>
            <w:tcW w:w="727" w:type="dxa"/>
            <w:vAlign w:val="center"/>
          </w:tcPr>
          <w:p w14:paraId="3B722AE6" w14:textId="6343EF7F"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728" w:type="dxa"/>
            <w:vAlign w:val="center"/>
          </w:tcPr>
          <w:p w14:paraId="25E49977" w14:textId="5B600833" w:rsidR="007C6657" w:rsidRPr="00D50A65" w:rsidRDefault="007C6657" w:rsidP="002B5ACF">
            <w:pPr>
              <w:pStyle w:val="tabletextleft"/>
              <w:jc w:val="right"/>
              <w:rPr>
                <w:rFonts w:asciiTheme="minorHAnsi" w:hAnsiTheme="minorHAnsi" w:cstheme="minorHAnsi"/>
                <w:szCs w:val="18"/>
              </w:rPr>
            </w:pPr>
            <w:r w:rsidRPr="00D50A65">
              <w:rPr>
                <w:rFonts w:asciiTheme="minorHAnsi" w:hAnsiTheme="minorHAnsi" w:cstheme="minorHAnsi"/>
                <w:szCs w:val="18"/>
              </w:rPr>
              <w:t>10</w:t>
            </w:r>
            <w:r w:rsidR="000B3666" w:rsidRPr="00D50A65">
              <w:rPr>
                <w:rFonts w:asciiTheme="minorHAnsi" w:hAnsiTheme="minorHAnsi" w:cstheme="minorHAnsi"/>
                <w:szCs w:val="18"/>
              </w:rPr>
              <w:t>.</w:t>
            </w:r>
            <w:r w:rsidR="002B5ACF">
              <w:rPr>
                <w:rFonts w:asciiTheme="minorHAnsi" w:hAnsiTheme="minorHAnsi" w:cstheme="minorHAnsi"/>
                <w:szCs w:val="18"/>
              </w:rPr>
              <w:t>3</w:t>
            </w:r>
          </w:p>
        </w:tc>
        <w:tc>
          <w:tcPr>
            <w:tcW w:w="728" w:type="dxa"/>
            <w:vAlign w:val="center"/>
          </w:tcPr>
          <w:p w14:paraId="4DE030E3" w14:textId="2EAD9839" w:rsidR="007C6657" w:rsidRPr="00D50A65" w:rsidRDefault="007C6657" w:rsidP="002B5ACF">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002B5ACF">
              <w:rPr>
                <w:rFonts w:asciiTheme="minorHAnsi" w:hAnsiTheme="minorHAnsi" w:cstheme="minorHAnsi"/>
                <w:szCs w:val="18"/>
              </w:rPr>
              <w:t>2</w:t>
            </w:r>
          </w:p>
        </w:tc>
        <w:tc>
          <w:tcPr>
            <w:tcW w:w="728" w:type="dxa"/>
            <w:vAlign w:val="center"/>
          </w:tcPr>
          <w:p w14:paraId="2CC05952" w14:textId="45ED90C7"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727" w:type="dxa"/>
            <w:vAlign w:val="center"/>
          </w:tcPr>
          <w:p w14:paraId="6A2F64FF" w14:textId="6EBF24A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37426C0B" w14:textId="773D556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0A37C0EF" w14:textId="29297BF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17F1499F" w14:textId="5FE6D525"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3</w:t>
            </w:r>
          </w:p>
        </w:tc>
      </w:tr>
      <w:tr w:rsidR="007C6657" w:rsidRPr="005B2032" w14:paraId="7E8A29E9" w14:textId="77777777" w:rsidTr="00C2491D">
        <w:trPr>
          <w:trHeight w:val="283"/>
          <w:jc w:val="center"/>
        </w:trPr>
        <w:tc>
          <w:tcPr>
            <w:tcW w:w="3242" w:type="dxa"/>
          </w:tcPr>
          <w:p w14:paraId="4DAA6491" w14:textId="77777777" w:rsidR="007C6657" w:rsidRPr="005B2032" w:rsidRDefault="007C6657" w:rsidP="007C6657">
            <w:pPr>
              <w:pStyle w:val="tabletextleft"/>
              <w:rPr>
                <w:rFonts w:asciiTheme="minorHAnsi" w:hAnsiTheme="minorHAnsi" w:cstheme="minorHAnsi"/>
              </w:rPr>
            </w:pPr>
            <w:r w:rsidRPr="005B2032">
              <w:rPr>
                <w:rFonts w:asciiTheme="minorHAnsi" w:hAnsiTheme="minorHAnsi" w:cstheme="minorHAnsi"/>
              </w:rPr>
              <w:t>Население на възраст 65+ към цялото население</w:t>
            </w:r>
          </w:p>
        </w:tc>
        <w:tc>
          <w:tcPr>
            <w:tcW w:w="727" w:type="dxa"/>
            <w:vAlign w:val="center"/>
          </w:tcPr>
          <w:p w14:paraId="1CE0F781" w14:textId="33D470F6"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17</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728" w:type="dxa"/>
            <w:vAlign w:val="center"/>
          </w:tcPr>
          <w:p w14:paraId="7D83C7C2" w14:textId="25ABFF6D"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18</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728" w:type="dxa"/>
            <w:vAlign w:val="center"/>
          </w:tcPr>
          <w:p w14:paraId="43934AA6" w14:textId="70A49990"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21</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8" w:type="dxa"/>
            <w:vAlign w:val="center"/>
          </w:tcPr>
          <w:p w14:paraId="04A38ECF" w14:textId="7941DDB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24</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7" w:type="dxa"/>
            <w:vAlign w:val="center"/>
          </w:tcPr>
          <w:p w14:paraId="11AA6023" w14:textId="4E905779"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27</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728" w:type="dxa"/>
            <w:vAlign w:val="center"/>
          </w:tcPr>
          <w:p w14:paraId="5036D663" w14:textId="5A14B02C"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30</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728" w:type="dxa"/>
            <w:vAlign w:val="center"/>
          </w:tcPr>
          <w:p w14:paraId="62CB6C3B" w14:textId="7642CCDA"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32</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728" w:type="dxa"/>
            <w:vAlign w:val="center"/>
          </w:tcPr>
          <w:p w14:paraId="3103EC3A" w14:textId="223A44D1" w:rsidR="007C6657" w:rsidRPr="00D50A65" w:rsidRDefault="007C6657" w:rsidP="00D50A65">
            <w:pPr>
              <w:pStyle w:val="tabletextleft"/>
              <w:jc w:val="right"/>
              <w:rPr>
                <w:rFonts w:asciiTheme="minorHAnsi" w:hAnsiTheme="minorHAnsi" w:cstheme="minorHAnsi"/>
                <w:szCs w:val="18"/>
              </w:rPr>
            </w:pPr>
            <w:r w:rsidRPr="00D50A65">
              <w:rPr>
                <w:rFonts w:asciiTheme="minorHAnsi" w:hAnsiTheme="minorHAnsi" w:cstheme="minorHAnsi"/>
                <w:szCs w:val="18"/>
              </w:rPr>
              <w:t>31</w:t>
            </w:r>
            <w:r w:rsidR="000B3666" w:rsidRPr="00D50A65">
              <w:rPr>
                <w:rFonts w:asciiTheme="minorHAnsi" w:hAnsiTheme="minorHAnsi" w:cstheme="minorHAnsi"/>
                <w:szCs w:val="18"/>
              </w:rPr>
              <w:t>.</w:t>
            </w:r>
            <w:r w:rsidRPr="00D50A65">
              <w:rPr>
                <w:rFonts w:asciiTheme="minorHAnsi" w:hAnsiTheme="minorHAnsi" w:cstheme="minorHAnsi"/>
                <w:szCs w:val="18"/>
              </w:rPr>
              <w:t>0</w:t>
            </w:r>
          </w:p>
        </w:tc>
      </w:tr>
    </w:tbl>
    <w:p w14:paraId="1576BC5E" w14:textId="77777777" w:rsidR="009A635E" w:rsidRPr="005B2032" w:rsidRDefault="009A635E" w:rsidP="009A635E">
      <w:pPr>
        <w:rPr>
          <w:rFonts w:asciiTheme="minorHAnsi" w:hAnsiTheme="minorHAnsi" w:cstheme="minorHAnsi"/>
        </w:rPr>
      </w:pPr>
    </w:p>
    <w:p w14:paraId="07252B35" w14:textId="77777777" w:rsidR="0046140C" w:rsidRPr="005B2032" w:rsidRDefault="0046140C" w:rsidP="00C1337B">
      <w:pPr>
        <w:rPr>
          <w:rFonts w:asciiTheme="minorHAnsi" w:hAnsiTheme="minorHAnsi" w:cstheme="minorHAnsi"/>
        </w:rPr>
      </w:pPr>
      <w:bookmarkStart w:id="190" w:name="_Toc448227324"/>
      <w:bookmarkStart w:id="191" w:name="_Toc479332475"/>
    </w:p>
    <w:p w14:paraId="37F7478D" w14:textId="77777777" w:rsidR="00102EAD" w:rsidRPr="00AA1841" w:rsidRDefault="00102EAD" w:rsidP="00AA1841">
      <w:pPr>
        <w:pStyle w:val="Heading2"/>
        <w:numPr>
          <w:ilvl w:val="0"/>
          <w:numId w:val="0"/>
        </w:numPr>
      </w:pPr>
      <w:bookmarkStart w:id="192" w:name="_Toc100906103"/>
      <w:r w:rsidRPr="00AA1841">
        <w:lastRenderedPageBreak/>
        <w:t>Табл. 8: Основни допускания</w:t>
      </w:r>
      <w:bookmarkEnd w:id="190"/>
      <w:bookmarkEnd w:id="191"/>
      <w:bookmarkEnd w:id="192"/>
    </w:p>
    <w:tbl>
      <w:tblPr>
        <w:tblStyle w:val="Style1"/>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CellMar>
          <w:left w:w="85" w:type="dxa"/>
          <w:right w:w="85" w:type="dxa"/>
        </w:tblCellMar>
        <w:tblLook w:val="0620" w:firstRow="1" w:lastRow="0" w:firstColumn="0" w:lastColumn="0" w:noHBand="1" w:noVBand="1"/>
      </w:tblPr>
      <w:tblGrid>
        <w:gridCol w:w="5061"/>
        <w:gridCol w:w="796"/>
        <w:gridCol w:w="796"/>
        <w:gridCol w:w="796"/>
        <w:gridCol w:w="796"/>
        <w:gridCol w:w="819"/>
      </w:tblGrid>
      <w:tr w:rsidR="005B2032" w:rsidRPr="00D50A65" w14:paraId="0710F3C6" w14:textId="77777777" w:rsidTr="00C2491D">
        <w:trPr>
          <w:trHeight w:val="454"/>
          <w:jc w:val="center"/>
        </w:trPr>
        <w:tc>
          <w:tcPr>
            <w:tcW w:w="0" w:type="auto"/>
            <w:shd w:val="clear" w:color="auto" w:fill="D7D4F1"/>
            <w:vAlign w:val="center"/>
          </w:tcPr>
          <w:p w14:paraId="2480C803" w14:textId="77777777" w:rsidR="0049761C" w:rsidRPr="00D50A65" w:rsidRDefault="0049761C" w:rsidP="00195A0D">
            <w:pPr>
              <w:pStyle w:val="tabletextleft"/>
              <w:spacing w:before="40" w:after="40"/>
              <w:rPr>
                <w:rFonts w:asciiTheme="minorHAnsi" w:hAnsiTheme="minorHAnsi" w:cstheme="minorHAnsi"/>
                <w:szCs w:val="18"/>
              </w:rPr>
            </w:pPr>
          </w:p>
        </w:tc>
        <w:tc>
          <w:tcPr>
            <w:tcW w:w="0" w:type="auto"/>
            <w:shd w:val="clear" w:color="auto" w:fill="D7D4F1"/>
            <w:vAlign w:val="center"/>
          </w:tcPr>
          <w:p w14:paraId="7B85E21E" w14:textId="76DFD5F2" w:rsidR="0049761C" w:rsidRPr="00D50A65" w:rsidRDefault="005729F9" w:rsidP="00195A0D">
            <w:pPr>
              <w:pStyle w:val="tabletextleft"/>
              <w:spacing w:before="40" w:after="40"/>
              <w:jc w:val="right"/>
              <w:rPr>
                <w:rFonts w:asciiTheme="minorHAnsi" w:hAnsiTheme="minorHAnsi" w:cstheme="minorHAnsi"/>
                <w:b/>
                <w:szCs w:val="18"/>
              </w:rPr>
            </w:pPr>
            <w:r w:rsidRPr="00D50A65">
              <w:rPr>
                <w:rFonts w:asciiTheme="minorHAnsi" w:hAnsiTheme="minorHAnsi" w:cstheme="minorHAnsi"/>
                <w:b/>
                <w:szCs w:val="18"/>
              </w:rPr>
              <w:t>202</w:t>
            </w:r>
            <w:r w:rsidR="00760E26" w:rsidRPr="00D50A65">
              <w:rPr>
                <w:rFonts w:asciiTheme="minorHAnsi" w:hAnsiTheme="minorHAnsi" w:cstheme="minorHAnsi"/>
                <w:b/>
                <w:szCs w:val="18"/>
              </w:rPr>
              <w:t>1</w:t>
            </w:r>
          </w:p>
        </w:tc>
        <w:tc>
          <w:tcPr>
            <w:tcW w:w="0" w:type="auto"/>
            <w:shd w:val="clear" w:color="auto" w:fill="D7D4F1"/>
            <w:vAlign w:val="center"/>
          </w:tcPr>
          <w:p w14:paraId="5A40A098" w14:textId="5391B2FE" w:rsidR="0049761C" w:rsidRPr="00D50A65" w:rsidRDefault="005729F9" w:rsidP="00195A0D">
            <w:pPr>
              <w:pStyle w:val="tabletextleft"/>
              <w:spacing w:before="40" w:after="40"/>
              <w:jc w:val="right"/>
              <w:rPr>
                <w:rFonts w:asciiTheme="minorHAnsi" w:hAnsiTheme="minorHAnsi" w:cstheme="minorHAnsi"/>
                <w:b/>
                <w:szCs w:val="18"/>
              </w:rPr>
            </w:pPr>
            <w:r w:rsidRPr="00D50A65">
              <w:rPr>
                <w:rFonts w:asciiTheme="minorHAnsi" w:hAnsiTheme="minorHAnsi" w:cstheme="minorHAnsi"/>
                <w:b/>
                <w:szCs w:val="18"/>
              </w:rPr>
              <w:t>202</w:t>
            </w:r>
            <w:r w:rsidR="00760E26" w:rsidRPr="00D50A65">
              <w:rPr>
                <w:rFonts w:asciiTheme="minorHAnsi" w:hAnsiTheme="minorHAnsi" w:cstheme="minorHAnsi"/>
                <w:b/>
                <w:szCs w:val="18"/>
              </w:rPr>
              <w:t>2</w:t>
            </w:r>
          </w:p>
        </w:tc>
        <w:tc>
          <w:tcPr>
            <w:tcW w:w="0" w:type="auto"/>
            <w:shd w:val="clear" w:color="auto" w:fill="D7D4F1"/>
            <w:vAlign w:val="center"/>
          </w:tcPr>
          <w:p w14:paraId="7C5DBF42" w14:textId="4EEA0417" w:rsidR="0049761C" w:rsidRPr="00D50A65" w:rsidRDefault="005729F9" w:rsidP="00195A0D">
            <w:pPr>
              <w:pStyle w:val="tabletextleft"/>
              <w:spacing w:before="40" w:after="40"/>
              <w:jc w:val="right"/>
              <w:rPr>
                <w:rFonts w:asciiTheme="minorHAnsi" w:hAnsiTheme="minorHAnsi" w:cstheme="minorHAnsi"/>
                <w:b/>
                <w:szCs w:val="18"/>
              </w:rPr>
            </w:pPr>
            <w:r w:rsidRPr="00D50A65">
              <w:rPr>
                <w:rFonts w:asciiTheme="minorHAnsi" w:hAnsiTheme="minorHAnsi" w:cstheme="minorHAnsi"/>
                <w:b/>
                <w:szCs w:val="18"/>
              </w:rPr>
              <w:t>2</w:t>
            </w:r>
            <w:r w:rsidR="00760E26" w:rsidRPr="00D50A65">
              <w:rPr>
                <w:rFonts w:asciiTheme="minorHAnsi" w:hAnsiTheme="minorHAnsi" w:cstheme="minorHAnsi"/>
                <w:b/>
                <w:szCs w:val="18"/>
              </w:rPr>
              <w:t>023</w:t>
            </w:r>
          </w:p>
        </w:tc>
        <w:tc>
          <w:tcPr>
            <w:tcW w:w="0" w:type="auto"/>
            <w:shd w:val="clear" w:color="auto" w:fill="D7D4F1"/>
            <w:vAlign w:val="center"/>
          </w:tcPr>
          <w:p w14:paraId="337F313A" w14:textId="12E85BB2" w:rsidR="0049761C" w:rsidRPr="00D50A65" w:rsidRDefault="00760E26" w:rsidP="00195A0D">
            <w:pPr>
              <w:pStyle w:val="tabletextleft"/>
              <w:spacing w:before="40" w:after="40"/>
              <w:jc w:val="right"/>
              <w:rPr>
                <w:rFonts w:asciiTheme="minorHAnsi" w:hAnsiTheme="minorHAnsi" w:cstheme="minorHAnsi"/>
                <w:b/>
                <w:szCs w:val="18"/>
              </w:rPr>
            </w:pPr>
            <w:r w:rsidRPr="00D50A65">
              <w:rPr>
                <w:rFonts w:asciiTheme="minorHAnsi" w:hAnsiTheme="minorHAnsi" w:cstheme="minorHAnsi"/>
                <w:b/>
                <w:szCs w:val="18"/>
              </w:rPr>
              <w:t>2024</w:t>
            </w:r>
          </w:p>
        </w:tc>
        <w:tc>
          <w:tcPr>
            <w:tcW w:w="452" w:type="pct"/>
            <w:shd w:val="clear" w:color="auto" w:fill="D7D4F1"/>
            <w:vAlign w:val="center"/>
          </w:tcPr>
          <w:p w14:paraId="3190476D" w14:textId="7BF3F15A" w:rsidR="0049761C" w:rsidRPr="00D50A65" w:rsidRDefault="00760E26" w:rsidP="00195A0D">
            <w:pPr>
              <w:pStyle w:val="tabletextleft"/>
              <w:spacing w:before="40" w:after="40"/>
              <w:jc w:val="right"/>
              <w:rPr>
                <w:rFonts w:asciiTheme="minorHAnsi" w:hAnsiTheme="minorHAnsi" w:cstheme="minorHAnsi"/>
                <w:b/>
                <w:szCs w:val="18"/>
              </w:rPr>
            </w:pPr>
            <w:r w:rsidRPr="00D50A65">
              <w:rPr>
                <w:rFonts w:asciiTheme="minorHAnsi" w:hAnsiTheme="minorHAnsi" w:cstheme="minorHAnsi"/>
                <w:b/>
                <w:szCs w:val="18"/>
              </w:rPr>
              <w:t>2025</w:t>
            </w:r>
          </w:p>
        </w:tc>
      </w:tr>
      <w:tr w:rsidR="005B2032" w:rsidRPr="00D50A65" w14:paraId="3B2D0A4F" w14:textId="77777777" w:rsidTr="00C2491D">
        <w:trPr>
          <w:trHeight w:val="454"/>
          <w:jc w:val="center"/>
        </w:trPr>
        <w:tc>
          <w:tcPr>
            <w:tcW w:w="0" w:type="auto"/>
            <w:vAlign w:val="center"/>
            <w:hideMark/>
          </w:tcPr>
          <w:p w14:paraId="306497DF"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 xml:space="preserve">Краткосрочен лихвен процент (средногодишна стойност), </w:t>
            </w:r>
            <w:r w:rsidRPr="00D50A65">
              <w:rPr>
                <w:rFonts w:asciiTheme="minorHAnsi" w:hAnsiTheme="minorHAnsi" w:cstheme="minorHAnsi"/>
                <w:szCs w:val="18"/>
              </w:rPr>
              <w:br/>
              <w:t xml:space="preserve">3-месечен </w:t>
            </w:r>
            <w:r w:rsidRPr="00D50A65">
              <w:rPr>
                <w:rFonts w:asciiTheme="minorHAnsi" w:hAnsiTheme="minorHAnsi" w:cstheme="minorHAnsi"/>
                <w:szCs w:val="18"/>
                <w:lang w:val="en-US"/>
              </w:rPr>
              <w:t>EURI</w:t>
            </w:r>
            <w:r w:rsidRPr="00D50A65">
              <w:rPr>
                <w:rFonts w:asciiTheme="minorHAnsi" w:hAnsiTheme="minorHAnsi" w:cstheme="minorHAnsi"/>
                <w:szCs w:val="18"/>
              </w:rPr>
              <w:t>BOR</w:t>
            </w:r>
            <w:r w:rsidRPr="00D50A65">
              <w:rPr>
                <w:rFonts w:asciiTheme="minorHAnsi" w:hAnsiTheme="minorHAnsi" w:cstheme="minorHAnsi"/>
                <w:szCs w:val="18"/>
                <w:lang w:val="en-US"/>
              </w:rPr>
              <w:t>,</w:t>
            </w:r>
            <w:r w:rsidRPr="00D50A65">
              <w:rPr>
                <w:rFonts w:asciiTheme="minorHAnsi" w:hAnsiTheme="minorHAnsi" w:cstheme="minorHAnsi"/>
                <w:szCs w:val="18"/>
              </w:rPr>
              <w:t>%</w:t>
            </w:r>
          </w:p>
        </w:tc>
        <w:tc>
          <w:tcPr>
            <w:tcW w:w="0" w:type="auto"/>
            <w:vAlign w:val="bottom"/>
          </w:tcPr>
          <w:p w14:paraId="1E230E8B" w14:textId="72DE0A55"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-0</w:t>
            </w:r>
            <w:r w:rsidR="000B3666" w:rsidRPr="00D50A65">
              <w:rPr>
                <w:rFonts w:asciiTheme="minorHAnsi" w:hAnsiTheme="minorHAnsi" w:cstheme="minorHAnsi"/>
                <w:szCs w:val="18"/>
              </w:rPr>
              <w:t>.</w:t>
            </w:r>
            <w:r w:rsidRPr="00D50A65">
              <w:rPr>
                <w:rFonts w:asciiTheme="minorHAnsi" w:hAnsiTheme="minorHAnsi" w:cstheme="minorHAnsi"/>
                <w:szCs w:val="18"/>
              </w:rPr>
              <w:t>55</w:t>
            </w:r>
          </w:p>
        </w:tc>
        <w:tc>
          <w:tcPr>
            <w:tcW w:w="0" w:type="auto"/>
            <w:vAlign w:val="bottom"/>
          </w:tcPr>
          <w:p w14:paraId="41F1BDBE" w14:textId="6C13F99C"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-0</w:t>
            </w:r>
            <w:r w:rsidR="000B3666" w:rsidRPr="00D50A65">
              <w:rPr>
                <w:rFonts w:asciiTheme="minorHAnsi" w:hAnsiTheme="minorHAnsi" w:cstheme="minorHAnsi"/>
                <w:szCs w:val="18"/>
              </w:rPr>
              <w:t>.</w:t>
            </w:r>
            <w:r w:rsidRPr="00D50A65">
              <w:rPr>
                <w:rFonts w:asciiTheme="minorHAnsi" w:hAnsiTheme="minorHAnsi" w:cstheme="minorHAnsi"/>
                <w:szCs w:val="18"/>
              </w:rPr>
              <w:t>22</w:t>
            </w:r>
          </w:p>
        </w:tc>
        <w:tc>
          <w:tcPr>
            <w:tcW w:w="0" w:type="auto"/>
            <w:vAlign w:val="bottom"/>
          </w:tcPr>
          <w:p w14:paraId="7208F44B" w14:textId="7C0FAEF1"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0</w:t>
            </w:r>
            <w:r w:rsidR="000B3666" w:rsidRPr="00D50A65">
              <w:rPr>
                <w:rFonts w:asciiTheme="minorHAnsi" w:hAnsiTheme="minorHAnsi" w:cstheme="minorHAnsi"/>
                <w:szCs w:val="18"/>
              </w:rPr>
              <w:t>.</w:t>
            </w:r>
            <w:r w:rsidRPr="00D50A65">
              <w:rPr>
                <w:rFonts w:asciiTheme="minorHAnsi" w:hAnsiTheme="minorHAnsi" w:cstheme="minorHAnsi"/>
                <w:szCs w:val="18"/>
              </w:rPr>
              <w:t>84</w:t>
            </w:r>
          </w:p>
        </w:tc>
        <w:tc>
          <w:tcPr>
            <w:tcW w:w="0" w:type="auto"/>
            <w:vAlign w:val="bottom"/>
          </w:tcPr>
          <w:p w14:paraId="5C90CC04" w14:textId="7BFCB0B6"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06</w:t>
            </w:r>
          </w:p>
        </w:tc>
        <w:tc>
          <w:tcPr>
            <w:tcW w:w="452" w:type="pct"/>
            <w:vAlign w:val="bottom"/>
          </w:tcPr>
          <w:p w14:paraId="39EFAF83" w14:textId="65ED231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10</w:t>
            </w:r>
          </w:p>
        </w:tc>
      </w:tr>
      <w:tr w:rsidR="005B2032" w:rsidRPr="00D50A65" w14:paraId="50BB079A" w14:textId="77777777" w:rsidTr="00C2491D">
        <w:trPr>
          <w:trHeight w:val="454"/>
          <w:jc w:val="center"/>
        </w:trPr>
        <w:tc>
          <w:tcPr>
            <w:tcW w:w="0" w:type="auto"/>
            <w:vAlign w:val="center"/>
            <w:hideMark/>
          </w:tcPr>
          <w:p w14:paraId="49F14ABF"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Краткосрочен лихвен процент (средногодишна стойност),</w:t>
            </w:r>
            <w:r w:rsidRPr="00D50A65">
              <w:rPr>
                <w:rFonts w:asciiTheme="minorHAnsi" w:hAnsiTheme="minorHAnsi" w:cstheme="minorHAnsi"/>
                <w:szCs w:val="18"/>
              </w:rPr>
              <w:br/>
              <w:t>6-месечен LIBOR в долари, %</w:t>
            </w:r>
          </w:p>
        </w:tc>
        <w:tc>
          <w:tcPr>
            <w:tcW w:w="0" w:type="auto"/>
            <w:vAlign w:val="center"/>
          </w:tcPr>
          <w:p w14:paraId="48CD5741" w14:textId="53949D24"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0899389A" w14:textId="54837E64"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791D1334" w14:textId="038305D5"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6B76B8FC" w14:textId="4C12ACFB" w:rsidR="007C6657" w:rsidRPr="00D50A65" w:rsidRDefault="007C6657" w:rsidP="00195A0D">
            <w:pPr>
              <w:pStyle w:val="tabletextleft"/>
              <w:spacing w:before="40" w:after="40"/>
              <w:jc w:val="right"/>
              <w:rPr>
                <w:rFonts w:asciiTheme="minorHAnsi" w:hAnsiTheme="minorHAnsi" w:cstheme="minorHAnsi"/>
                <w:szCs w:val="18"/>
              </w:rPr>
            </w:pPr>
          </w:p>
        </w:tc>
        <w:tc>
          <w:tcPr>
            <w:tcW w:w="452" w:type="pct"/>
            <w:vAlign w:val="center"/>
          </w:tcPr>
          <w:p w14:paraId="44A38891" w14:textId="2377F585" w:rsidR="007C6657" w:rsidRPr="00D50A65" w:rsidRDefault="007C6657" w:rsidP="00195A0D">
            <w:pPr>
              <w:pStyle w:val="tabletextleft"/>
              <w:spacing w:before="40" w:after="40"/>
              <w:jc w:val="right"/>
              <w:rPr>
                <w:rFonts w:asciiTheme="minorHAnsi" w:hAnsiTheme="minorHAnsi" w:cstheme="minorHAnsi"/>
                <w:szCs w:val="18"/>
              </w:rPr>
            </w:pPr>
          </w:p>
        </w:tc>
      </w:tr>
      <w:tr w:rsidR="005B2032" w:rsidRPr="00D50A65" w14:paraId="2D1303F0" w14:textId="77777777" w:rsidTr="00C2491D">
        <w:trPr>
          <w:trHeight w:val="454"/>
          <w:jc w:val="center"/>
        </w:trPr>
        <w:tc>
          <w:tcPr>
            <w:tcW w:w="0" w:type="auto"/>
            <w:vAlign w:val="center"/>
            <w:hideMark/>
          </w:tcPr>
          <w:p w14:paraId="321F927C"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 xml:space="preserve"> Дългосрочен лихвен процент (средногодишна стойност), %</w:t>
            </w:r>
          </w:p>
        </w:tc>
        <w:tc>
          <w:tcPr>
            <w:tcW w:w="0" w:type="auto"/>
            <w:vAlign w:val="center"/>
          </w:tcPr>
          <w:p w14:paraId="00437C56" w14:textId="1E0B8299"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3805A830" w14:textId="20880A9A"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4C121513" w14:textId="7866F313"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6CBF67BF" w14:textId="21774A37" w:rsidR="007C6657" w:rsidRPr="00D50A65" w:rsidRDefault="007C6657" w:rsidP="00195A0D">
            <w:pPr>
              <w:pStyle w:val="tabletextleft"/>
              <w:spacing w:before="40" w:after="40"/>
              <w:jc w:val="right"/>
              <w:rPr>
                <w:rFonts w:asciiTheme="minorHAnsi" w:hAnsiTheme="minorHAnsi" w:cstheme="minorHAnsi"/>
                <w:szCs w:val="18"/>
              </w:rPr>
            </w:pPr>
          </w:p>
        </w:tc>
        <w:tc>
          <w:tcPr>
            <w:tcW w:w="452" w:type="pct"/>
            <w:vAlign w:val="center"/>
          </w:tcPr>
          <w:p w14:paraId="05FBEF2B" w14:textId="075D4D9E" w:rsidR="007C6657" w:rsidRPr="00D50A65" w:rsidRDefault="007C6657" w:rsidP="00195A0D">
            <w:pPr>
              <w:pStyle w:val="tabletextleft"/>
              <w:spacing w:before="40" w:after="40"/>
              <w:jc w:val="right"/>
              <w:rPr>
                <w:rFonts w:asciiTheme="minorHAnsi" w:hAnsiTheme="minorHAnsi" w:cstheme="minorHAnsi"/>
                <w:szCs w:val="18"/>
              </w:rPr>
            </w:pPr>
          </w:p>
        </w:tc>
      </w:tr>
      <w:tr w:rsidR="005B2032" w:rsidRPr="00D50A65" w14:paraId="483AF84F" w14:textId="77777777" w:rsidTr="00C2491D">
        <w:trPr>
          <w:trHeight w:val="454"/>
          <w:jc w:val="center"/>
        </w:trPr>
        <w:tc>
          <w:tcPr>
            <w:tcW w:w="0" w:type="auto"/>
            <w:vAlign w:val="center"/>
            <w:hideMark/>
          </w:tcPr>
          <w:p w14:paraId="4D8AD452"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Валутен курс USD/EUR (средногодишна стойност)</w:t>
            </w:r>
          </w:p>
        </w:tc>
        <w:tc>
          <w:tcPr>
            <w:tcW w:w="0" w:type="auto"/>
            <w:vAlign w:val="center"/>
          </w:tcPr>
          <w:p w14:paraId="6200283A" w14:textId="757A7131"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18</w:t>
            </w:r>
          </w:p>
        </w:tc>
        <w:tc>
          <w:tcPr>
            <w:tcW w:w="0" w:type="auto"/>
            <w:vAlign w:val="center"/>
          </w:tcPr>
          <w:p w14:paraId="3B141C20" w14:textId="63C03A37"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10</w:t>
            </w:r>
          </w:p>
        </w:tc>
        <w:tc>
          <w:tcPr>
            <w:tcW w:w="0" w:type="auto"/>
            <w:vAlign w:val="center"/>
          </w:tcPr>
          <w:p w14:paraId="0D87D66A" w14:textId="30F45599"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10</w:t>
            </w:r>
          </w:p>
        </w:tc>
        <w:tc>
          <w:tcPr>
            <w:tcW w:w="0" w:type="auto"/>
            <w:vAlign w:val="center"/>
          </w:tcPr>
          <w:p w14:paraId="2F394B5E" w14:textId="26CF1918"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10</w:t>
            </w:r>
          </w:p>
        </w:tc>
        <w:tc>
          <w:tcPr>
            <w:tcW w:w="452" w:type="pct"/>
            <w:vAlign w:val="center"/>
          </w:tcPr>
          <w:p w14:paraId="440D2B17" w14:textId="5C20A0FF"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10</w:t>
            </w:r>
          </w:p>
        </w:tc>
      </w:tr>
      <w:tr w:rsidR="005B2032" w:rsidRPr="00D50A65" w14:paraId="60111C0D" w14:textId="77777777" w:rsidTr="00C2491D">
        <w:trPr>
          <w:trHeight w:val="454"/>
          <w:jc w:val="center"/>
        </w:trPr>
        <w:tc>
          <w:tcPr>
            <w:tcW w:w="0" w:type="auto"/>
            <w:vAlign w:val="center"/>
            <w:hideMark/>
          </w:tcPr>
          <w:p w14:paraId="1954B835" w14:textId="77777777" w:rsidR="007C6657" w:rsidRPr="00D50A65" w:rsidRDefault="007C6657" w:rsidP="00195A0D">
            <w:pPr>
              <w:pStyle w:val="tabletextleft"/>
              <w:spacing w:before="40" w:after="40"/>
              <w:rPr>
                <w:rFonts w:asciiTheme="minorHAnsi" w:hAnsiTheme="minorHAnsi" w:cstheme="minorHAnsi"/>
                <w:b/>
                <w:szCs w:val="18"/>
              </w:rPr>
            </w:pPr>
            <w:r w:rsidRPr="00D50A65">
              <w:rPr>
                <w:rFonts w:asciiTheme="minorHAnsi" w:hAnsiTheme="minorHAnsi" w:cstheme="minorHAnsi"/>
                <w:b/>
                <w:szCs w:val="18"/>
              </w:rPr>
              <w:t xml:space="preserve">Номинален ефективен валутен курс. процентно </w:t>
            </w:r>
            <w:r w:rsidRPr="00D50A65">
              <w:rPr>
                <w:rFonts w:asciiTheme="minorHAnsi" w:hAnsiTheme="minorHAnsi" w:cstheme="minorHAnsi"/>
                <w:b/>
                <w:szCs w:val="18"/>
              </w:rPr>
              <w:br/>
              <w:t>изменение. предходна година = 100</w:t>
            </w:r>
            <w:r w:rsidRPr="00D50A65">
              <w:rPr>
                <w:rFonts w:asciiTheme="minorHAnsi" w:hAnsiTheme="minorHAnsi" w:cstheme="minorHAnsi"/>
                <w:b/>
                <w:szCs w:val="18"/>
                <w:vertAlign w:val="superscript"/>
              </w:rPr>
              <w:footnoteReference w:id="53"/>
            </w:r>
          </w:p>
        </w:tc>
        <w:tc>
          <w:tcPr>
            <w:tcW w:w="0" w:type="auto"/>
            <w:vAlign w:val="center"/>
          </w:tcPr>
          <w:p w14:paraId="622B83FF" w14:textId="51298CEF"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3A73B710" w14:textId="5C01EE8D"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0442AA19" w14:textId="0531A134"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0C8426ED" w14:textId="5D00DD2B" w:rsidR="007C6657" w:rsidRPr="00D50A65" w:rsidRDefault="007C6657" w:rsidP="00195A0D">
            <w:pPr>
              <w:pStyle w:val="tabletextleft"/>
              <w:spacing w:before="40" w:after="40"/>
              <w:jc w:val="right"/>
              <w:rPr>
                <w:rFonts w:asciiTheme="minorHAnsi" w:hAnsiTheme="minorHAnsi" w:cstheme="minorHAnsi"/>
                <w:szCs w:val="18"/>
              </w:rPr>
            </w:pPr>
          </w:p>
        </w:tc>
        <w:tc>
          <w:tcPr>
            <w:tcW w:w="452" w:type="pct"/>
            <w:vAlign w:val="center"/>
          </w:tcPr>
          <w:p w14:paraId="44D5FB29" w14:textId="40F047D7" w:rsidR="007C6657" w:rsidRPr="00D50A65" w:rsidRDefault="007C6657" w:rsidP="00195A0D">
            <w:pPr>
              <w:pStyle w:val="tabletextleft"/>
              <w:spacing w:before="40" w:after="40"/>
              <w:jc w:val="right"/>
              <w:rPr>
                <w:rFonts w:asciiTheme="minorHAnsi" w:hAnsiTheme="minorHAnsi" w:cstheme="minorHAnsi"/>
                <w:szCs w:val="18"/>
              </w:rPr>
            </w:pPr>
          </w:p>
        </w:tc>
      </w:tr>
      <w:tr w:rsidR="005B2032" w:rsidRPr="00D50A65" w14:paraId="5002880D" w14:textId="77777777" w:rsidTr="00C2491D">
        <w:trPr>
          <w:trHeight w:val="454"/>
          <w:jc w:val="center"/>
        </w:trPr>
        <w:tc>
          <w:tcPr>
            <w:tcW w:w="0" w:type="auto"/>
            <w:vAlign w:val="center"/>
            <w:hideMark/>
          </w:tcPr>
          <w:p w14:paraId="0B6DF57E"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Валутен курс спрямо EUR (средногодишна стойност)</w:t>
            </w:r>
          </w:p>
        </w:tc>
        <w:tc>
          <w:tcPr>
            <w:tcW w:w="0" w:type="auto"/>
            <w:vAlign w:val="center"/>
          </w:tcPr>
          <w:p w14:paraId="146FA34A" w14:textId="2C555345"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95583</w:t>
            </w:r>
          </w:p>
        </w:tc>
        <w:tc>
          <w:tcPr>
            <w:tcW w:w="0" w:type="auto"/>
            <w:vAlign w:val="center"/>
          </w:tcPr>
          <w:p w14:paraId="19D8106C" w14:textId="4C2203A9"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95583</w:t>
            </w:r>
          </w:p>
        </w:tc>
        <w:tc>
          <w:tcPr>
            <w:tcW w:w="0" w:type="auto"/>
            <w:vAlign w:val="center"/>
          </w:tcPr>
          <w:p w14:paraId="10FABE1A" w14:textId="4BBFF788"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95583</w:t>
            </w:r>
          </w:p>
        </w:tc>
        <w:tc>
          <w:tcPr>
            <w:tcW w:w="0" w:type="auto"/>
            <w:vAlign w:val="center"/>
          </w:tcPr>
          <w:p w14:paraId="7E5BAE21" w14:textId="0562192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95583</w:t>
            </w:r>
          </w:p>
        </w:tc>
        <w:tc>
          <w:tcPr>
            <w:tcW w:w="452" w:type="pct"/>
            <w:vAlign w:val="center"/>
          </w:tcPr>
          <w:p w14:paraId="1E341B28" w14:textId="4B78559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95583</w:t>
            </w:r>
          </w:p>
        </w:tc>
      </w:tr>
      <w:tr w:rsidR="005B2032" w:rsidRPr="00D50A65" w14:paraId="00FC493D" w14:textId="77777777" w:rsidTr="00C2491D">
        <w:trPr>
          <w:trHeight w:val="454"/>
          <w:jc w:val="center"/>
        </w:trPr>
        <w:tc>
          <w:tcPr>
            <w:tcW w:w="0" w:type="auto"/>
            <w:vAlign w:val="center"/>
            <w:hideMark/>
          </w:tcPr>
          <w:p w14:paraId="0C2A2F3F" w14:textId="4E7F32DF"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Световна икономика</w:t>
            </w:r>
            <w:r w:rsidR="000B3666" w:rsidRPr="00D50A65">
              <w:rPr>
                <w:rFonts w:asciiTheme="minorHAnsi" w:hAnsiTheme="minorHAnsi" w:cstheme="minorHAnsi"/>
                <w:szCs w:val="18"/>
                <w:lang w:val="en-US"/>
              </w:rPr>
              <w:t>,</w:t>
            </w:r>
            <w:r w:rsidRPr="00D50A65">
              <w:rPr>
                <w:rFonts w:asciiTheme="minorHAnsi" w:hAnsiTheme="minorHAnsi" w:cstheme="minorHAnsi"/>
                <w:szCs w:val="18"/>
              </w:rPr>
              <w:t xml:space="preserve"> растеж на БВП</w:t>
            </w:r>
            <w:r w:rsidR="000B3666" w:rsidRPr="00D50A65">
              <w:rPr>
                <w:rFonts w:asciiTheme="minorHAnsi" w:hAnsiTheme="minorHAnsi" w:cstheme="minorHAnsi"/>
                <w:szCs w:val="18"/>
              </w:rPr>
              <w:t>.</w:t>
            </w:r>
            <w:r w:rsidRPr="00D50A65">
              <w:rPr>
                <w:rFonts w:asciiTheme="minorHAnsi" w:hAnsiTheme="minorHAnsi" w:cstheme="minorHAnsi"/>
                <w:szCs w:val="18"/>
              </w:rPr>
              <w:t xml:space="preserve"> %</w:t>
            </w:r>
          </w:p>
        </w:tc>
        <w:tc>
          <w:tcPr>
            <w:tcW w:w="0" w:type="auto"/>
            <w:vAlign w:val="center"/>
          </w:tcPr>
          <w:p w14:paraId="4963332B" w14:textId="7DCCFCDB"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0" w:type="auto"/>
            <w:vAlign w:val="center"/>
          </w:tcPr>
          <w:p w14:paraId="7DAEC3B2" w14:textId="09633CE9"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0" w:type="auto"/>
            <w:vAlign w:val="center"/>
          </w:tcPr>
          <w:p w14:paraId="34968404" w14:textId="4F024EF5"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0" w:type="auto"/>
            <w:vAlign w:val="center"/>
          </w:tcPr>
          <w:p w14:paraId="0D536D24" w14:textId="07E078C8"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452" w:type="pct"/>
            <w:vAlign w:val="center"/>
          </w:tcPr>
          <w:p w14:paraId="548EAFD4" w14:textId="0C3EA97C"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3</w:t>
            </w:r>
          </w:p>
        </w:tc>
      </w:tr>
      <w:tr w:rsidR="005B2032" w:rsidRPr="00D50A65" w14:paraId="33BE50D6" w14:textId="77777777" w:rsidTr="00C2491D">
        <w:trPr>
          <w:trHeight w:val="454"/>
          <w:jc w:val="center"/>
        </w:trPr>
        <w:tc>
          <w:tcPr>
            <w:tcW w:w="0" w:type="auto"/>
            <w:vAlign w:val="center"/>
            <w:hideMark/>
          </w:tcPr>
          <w:p w14:paraId="699247E1"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Растеж на БВП на ЕС, %</w:t>
            </w:r>
          </w:p>
        </w:tc>
        <w:tc>
          <w:tcPr>
            <w:tcW w:w="0" w:type="auto"/>
            <w:vAlign w:val="center"/>
          </w:tcPr>
          <w:p w14:paraId="2BDC6EB6" w14:textId="7676148D"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5</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0" w:type="auto"/>
            <w:vAlign w:val="center"/>
          </w:tcPr>
          <w:p w14:paraId="4290179B" w14:textId="65C1D66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0" w:type="auto"/>
            <w:vAlign w:val="center"/>
          </w:tcPr>
          <w:p w14:paraId="2CE666D5" w14:textId="3A9A7A7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2</w:t>
            </w:r>
          </w:p>
        </w:tc>
        <w:tc>
          <w:tcPr>
            <w:tcW w:w="0" w:type="auto"/>
            <w:vAlign w:val="center"/>
          </w:tcPr>
          <w:p w14:paraId="1E03C4D6" w14:textId="74BF5823"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452" w:type="pct"/>
            <w:vAlign w:val="center"/>
          </w:tcPr>
          <w:p w14:paraId="11A2F5D9" w14:textId="4B001153"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9</w:t>
            </w:r>
          </w:p>
        </w:tc>
      </w:tr>
      <w:tr w:rsidR="005B2032" w:rsidRPr="00D50A65" w14:paraId="20D3660A" w14:textId="77777777" w:rsidTr="00C2491D">
        <w:trPr>
          <w:trHeight w:val="454"/>
          <w:jc w:val="center"/>
        </w:trPr>
        <w:tc>
          <w:tcPr>
            <w:tcW w:w="0" w:type="auto"/>
            <w:vAlign w:val="center"/>
            <w:hideMark/>
          </w:tcPr>
          <w:p w14:paraId="272FF4C4" w14:textId="7731B265" w:rsidR="007C6657" w:rsidRPr="00D50A65" w:rsidRDefault="007C6657" w:rsidP="00195A0D">
            <w:pPr>
              <w:pStyle w:val="tabletextleft"/>
              <w:spacing w:before="40" w:after="40"/>
              <w:rPr>
                <w:rFonts w:asciiTheme="minorHAnsi" w:hAnsiTheme="minorHAnsi" w:cstheme="minorHAnsi"/>
                <w:b/>
                <w:szCs w:val="18"/>
              </w:rPr>
            </w:pPr>
            <w:r w:rsidRPr="00D50A65">
              <w:rPr>
                <w:rFonts w:asciiTheme="minorHAnsi" w:hAnsiTheme="minorHAnsi" w:cstheme="minorHAnsi"/>
                <w:b/>
                <w:szCs w:val="18"/>
              </w:rPr>
              <w:t>Растеж на релевантните чужди пазари</w:t>
            </w:r>
            <w:r w:rsidR="000B3666" w:rsidRPr="00D50A65">
              <w:rPr>
                <w:rFonts w:asciiTheme="minorHAnsi" w:hAnsiTheme="minorHAnsi" w:cstheme="minorHAnsi"/>
                <w:b/>
                <w:szCs w:val="18"/>
              </w:rPr>
              <w:t>,</w:t>
            </w:r>
            <w:r w:rsidRPr="00D50A65">
              <w:rPr>
                <w:rFonts w:asciiTheme="minorHAnsi" w:hAnsiTheme="minorHAnsi" w:cstheme="minorHAnsi"/>
                <w:b/>
                <w:szCs w:val="18"/>
              </w:rPr>
              <w:t xml:space="preserve"> %</w:t>
            </w:r>
          </w:p>
        </w:tc>
        <w:tc>
          <w:tcPr>
            <w:tcW w:w="0" w:type="auto"/>
            <w:vAlign w:val="center"/>
          </w:tcPr>
          <w:p w14:paraId="75CDC091" w14:textId="7E619184"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716171CF" w14:textId="21BA2D1E"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42580B35" w14:textId="2394E24B"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46B2D794" w14:textId="549CEF4B" w:rsidR="007C6657" w:rsidRPr="00D50A65" w:rsidRDefault="007C6657" w:rsidP="00195A0D">
            <w:pPr>
              <w:pStyle w:val="tabletextleft"/>
              <w:spacing w:before="40" w:after="40"/>
              <w:jc w:val="right"/>
              <w:rPr>
                <w:rFonts w:asciiTheme="minorHAnsi" w:hAnsiTheme="minorHAnsi" w:cstheme="minorHAnsi"/>
                <w:szCs w:val="18"/>
              </w:rPr>
            </w:pPr>
          </w:p>
        </w:tc>
        <w:tc>
          <w:tcPr>
            <w:tcW w:w="452" w:type="pct"/>
            <w:vAlign w:val="center"/>
          </w:tcPr>
          <w:p w14:paraId="5605351C" w14:textId="202F60AF" w:rsidR="007C6657" w:rsidRPr="00D50A65" w:rsidRDefault="007C6657" w:rsidP="00195A0D">
            <w:pPr>
              <w:pStyle w:val="tabletextleft"/>
              <w:spacing w:before="40" w:after="40"/>
              <w:jc w:val="right"/>
              <w:rPr>
                <w:rFonts w:asciiTheme="minorHAnsi" w:hAnsiTheme="minorHAnsi" w:cstheme="minorHAnsi"/>
                <w:szCs w:val="18"/>
              </w:rPr>
            </w:pPr>
          </w:p>
        </w:tc>
      </w:tr>
      <w:tr w:rsidR="005B2032" w:rsidRPr="00D50A65" w14:paraId="1FDC1DCE" w14:textId="77777777" w:rsidTr="00C2491D">
        <w:trPr>
          <w:trHeight w:val="454"/>
          <w:jc w:val="center"/>
        </w:trPr>
        <w:tc>
          <w:tcPr>
            <w:tcW w:w="0" w:type="auto"/>
            <w:vAlign w:val="center"/>
            <w:hideMark/>
          </w:tcPr>
          <w:p w14:paraId="68FE5291"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Обем на световния внос, без ЕС, %</w:t>
            </w:r>
          </w:p>
        </w:tc>
        <w:tc>
          <w:tcPr>
            <w:tcW w:w="0" w:type="auto"/>
            <w:vAlign w:val="center"/>
          </w:tcPr>
          <w:p w14:paraId="7FB262B5" w14:textId="4E1113BF"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7981B861" w14:textId="488FC1F8"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008B608C" w14:textId="7189A51A" w:rsidR="007C6657" w:rsidRPr="00D50A65" w:rsidRDefault="007C6657" w:rsidP="00195A0D">
            <w:pPr>
              <w:pStyle w:val="tabletextleft"/>
              <w:spacing w:before="40" w:after="40"/>
              <w:jc w:val="right"/>
              <w:rPr>
                <w:rFonts w:asciiTheme="minorHAnsi" w:hAnsiTheme="minorHAnsi" w:cstheme="minorHAnsi"/>
                <w:szCs w:val="18"/>
              </w:rPr>
            </w:pPr>
          </w:p>
        </w:tc>
        <w:tc>
          <w:tcPr>
            <w:tcW w:w="0" w:type="auto"/>
            <w:vAlign w:val="center"/>
          </w:tcPr>
          <w:p w14:paraId="7E037F59" w14:textId="437EC649" w:rsidR="007C6657" w:rsidRPr="00D50A65" w:rsidRDefault="007C6657" w:rsidP="00195A0D">
            <w:pPr>
              <w:pStyle w:val="tabletextleft"/>
              <w:spacing w:before="40" w:after="40"/>
              <w:jc w:val="right"/>
              <w:rPr>
                <w:rFonts w:asciiTheme="minorHAnsi" w:hAnsiTheme="minorHAnsi" w:cstheme="minorHAnsi"/>
                <w:szCs w:val="18"/>
              </w:rPr>
            </w:pPr>
          </w:p>
        </w:tc>
        <w:tc>
          <w:tcPr>
            <w:tcW w:w="452" w:type="pct"/>
            <w:vAlign w:val="center"/>
          </w:tcPr>
          <w:p w14:paraId="673964C7" w14:textId="001868F2" w:rsidR="007C6657" w:rsidRPr="00D50A65" w:rsidRDefault="007C6657" w:rsidP="00195A0D">
            <w:pPr>
              <w:pStyle w:val="tabletextleft"/>
              <w:spacing w:before="40" w:after="40"/>
              <w:jc w:val="right"/>
              <w:rPr>
                <w:rFonts w:asciiTheme="minorHAnsi" w:hAnsiTheme="minorHAnsi" w:cstheme="minorHAnsi"/>
                <w:szCs w:val="18"/>
              </w:rPr>
            </w:pPr>
          </w:p>
        </w:tc>
      </w:tr>
      <w:tr w:rsidR="005B2032" w:rsidRPr="00D50A65" w14:paraId="7A462BBE" w14:textId="77777777" w:rsidTr="00C2491D">
        <w:trPr>
          <w:trHeight w:val="454"/>
          <w:jc w:val="center"/>
        </w:trPr>
        <w:tc>
          <w:tcPr>
            <w:tcW w:w="0" w:type="auto"/>
            <w:vAlign w:val="center"/>
            <w:hideMark/>
          </w:tcPr>
          <w:p w14:paraId="5A7036CF"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Цена на петрол сорт „Брент“ (щ.д./барел)</w:t>
            </w:r>
          </w:p>
        </w:tc>
        <w:tc>
          <w:tcPr>
            <w:tcW w:w="0" w:type="auto"/>
            <w:vAlign w:val="center"/>
          </w:tcPr>
          <w:p w14:paraId="1DF38E46" w14:textId="67F9692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70</w:t>
            </w:r>
            <w:r w:rsidR="000B3666" w:rsidRPr="00D50A65">
              <w:rPr>
                <w:rFonts w:asciiTheme="minorHAnsi" w:hAnsiTheme="minorHAnsi" w:cstheme="minorHAnsi"/>
                <w:szCs w:val="18"/>
              </w:rPr>
              <w:t>.</w:t>
            </w:r>
            <w:r w:rsidRPr="00D50A65">
              <w:rPr>
                <w:rFonts w:asciiTheme="minorHAnsi" w:hAnsiTheme="minorHAnsi" w:cstheme="minorHAnsi"/>
                <w:szCs w:val="18"/>
              </w:rPr>
              <w:t>4</w:t>
            </w:r>
          </w:p>
        </w:tc>
        <w:tc>
          <w:tcPr>
            <w:tcW w:w="0" w:type="auto"/>
            <w:vAlign w:val="center"/>
          </w:tcPr>
          <w:p w14:paraId="23A5DC90" w14:textId="68B04483"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100</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0" w:type="auto"/>
            <w:vAlign w:val="center"/>
          </w:tcPr>
          <w:p w14:paraId="2D0B3E94" w14:textId="21CF1F90"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90</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0" w:type="auto"/>
            <w:vAlign w:val="center"/>
          </w:tcPr>
          <w:p w14:paraId="236C8B6F" w14:textId="5A89BD7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82</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452" w:type="pct"/>
            <w:vAlign w:val="center"/>
          </w:tcPr>
          <w:p w14:paraId="162DE8BC" w14:textId="19ACA2B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78</w:t>
            </w:r>
            <w:r w:rsidR="000B3666" w:rsidRPr="00D50A65">
              <w:rPr>
                <w:rFonts w:asciiTheme="minorHAnsi" w:hAnsiTheme="minorHAnsi" w:cstheme="minorHAnsi"/>
                <w:szCs w:val="18"/>
              </w:rPr>
              <w:t>.</w:t>
            </w:r>
            <w:r w:rsidRPr="00D50A65">
              <w:rPr>
                <w:rFonts w:asciiTheme="minorHAnsi" w:hAnsiTheme="minorHAnsi" w:cstheme="minorHAnsi"/>
                <w:szCs w:val="18"/>
              </w:rPr>
              <w:t>6</w:t>
            </w:r>
          </w:p>
        </w:tc>
      </w:tr>
      <w:tr w:rsidR="005B2032" w:rsidRPr="00D50A65" w14:paraId="6252BB1E" w14:textId="77777777" w:rsidTr="00C2491D">
        <w:trPr>
          <w:trHeight w:val="454"/>
          <w:jc w:val="center"/>
        </w:trPr>
        <w:tc>
          <w:tcPr>
            <w:tcW w:w="0" w:type="auto"/>
            <w:vAlign w:val="center"/>
            <w:hideMark/>
          </w:tcPr>
          <w:p w14:paraId="710901BF"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Международни цени на неенергийните стоки, %</w:t>
            </w:r>
          </w:p>
        </w:tc>
        <w:tc>
          <w:tcPr>
            <w:tcW w:w="0" w:type="auto"/>
            <w:vAlign w:val="center"/>
          </w:tcPr>
          <w:p w14:paraId="0194E19E" w14:textId="57D04F52"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32</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0" w:type="auto"/>
            <w:vAlign w:val="center"/>
          </w:tcPr>
          <w:p w14:paraId="47A02D29" w14:textId="2BC93309"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18</w:t>
            </w:r>
            <w:r w:rsidR="000B3666" w:rsidRPr="00D50A65">
              <w:rPr>
                <w:rFonts w:asciiTheme="minorHAnsi" w:hAnsiTheme="minorHAnsi" w:cstheme="minorHAnsi"/>
                <w:szCs w:val="18"/>
              </w:rPr>
              <w:t>.</w:t>
            </w:r>
            <w:r w:rsidRPr="00D50A65">
              <w:rPr>
                <w:rFonts w:asciiTheme="minorHAnsi" w:hAnsiTheme="minorHAnsi" w:cstheme="minorHAnsi"/>
                <w:szCs w:val="18"/>
              </w:rPr>
              <w:t>9</w:t>
            </w:r>
          </w:p>
        </w:tc>
        <w:tc>
          <w:tcPr>
            <w:tcW w:w="0" w:type="auto"/>
            <w:vAlign w:val="center"/>
          </w:tcPr>
          <w:p w14:paraId="66F151AA" w14:textId="4A6E0D3F"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-6</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0" w:type="auto"/>
            <w:vAlign w:val="center"/>
          </w:tcPr>
          <w:p w14:paraId="52D6CEE8" w14:textId="1989F1C1"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452" w:type="pct"/>
            <w:vAlign w:val="center"/>
          </w:tcPr>
          <w:p w14:paraId="15CC868E" w14:textId="2EFDDF32"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3</w:t>
            </w:r>
          </w:p>
        </w:tc>
      </w:tr>
      <w:tr w:rsidR="005B2032" w:rsidRPr="00D50A65" w14:paraId="2EA5C630" w14:textId="77777777" w:rsidTr="00C2491D">
        <w:trPr>
          <w:trHeight w:val="454"/>
          <w:jc w:val="center"/>
        </w:trPr>
        <w:tc>
          <w:tcPr>
            <w:tcW w:w="0" w:type="auto"/>
            <w:vAlign w:val="center"/>
            <w:hideMark/>
          </w:tcPr>
          <w:p w14:paraId="1AE15D52"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Международни цени на хранителните продукти, %</w:t>
            </w:r>
          </w:p>
        </w:tc>
        <w:tc>
          <w:tcPr>
            <w:tcW w:w="0" w:type="auto"/>
            <w:vAlign w:val="center"/>
          </w:tcPr>
          <w:p w14:paraId="52C5CA16" w14:textId="3EAC3E90"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30</w:t>
            </w:r>
            <w:r w:rsidR="000B3666" w:rsidRPr="00D50A65">
              <w:rPr>
                <w:rFonts w:asciiTheme="minorHAnsi" w:hAnsiTheme="minorHAnsi" w:cstheme="minorHAnsi"/>
                <w:szCs w:val="18"/>
              </w:rPr>
              <w:t>.</w:t>
            </w:r>
            <w:r w:rsidRPr="00D50A65">
              <w:rPr>
                <w:rFonts w:asciiTheme="minorHAnsi" w:hAnsiTheme="minorHAnsi" w:cstheme="minorHAnsi"/>
                <w:szCs w:val="18"/>
              </w:rPr>
              <w:t>8</w:t>
            </w:r>
          </w:p>
        </w:tc>
        <w:tc>
          <w:tcPr>
            <w:tcW w:w="0" w:type="auto"/>
            <w:vAlign w:val="center"/>
          </w:tcPr>
          <w:p w14:paraId="08E689C8" w14:textId="2220E4D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15</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0" w:type="auto"/>
            <w:vAlign w:val="center"/>
          </w:tcPr>
          <w:p w14:paraId="0F4084B1" w14:textId="4E984BC7"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-8</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0" w:type="auto"/>
            <w:vAlign w:val="center"/>
          </w:tcPr>
          <w:p w14:paraId="392F3545" w14:textId="51C9442C"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-3</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452" w:type="pct"/>
            <w:vAlign w:val="center"/>
          </w:tcPr>
          <w:p w14:paraId="631B7008" w14:textId="3DCE618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-0</w:t>
            </w:r>
            <w:r w:rsidR="000B3666" w:rsidRPr="00D50A65">
              <w:rPr>
                <w:rFonts w:asciiTheme="minorHAnsi" w:hAnsiTheme="minorHAnsi" w:cstheme="minorHAnsi"/>
                <w:szCs w:val="18"/>
              </w:rPr>
              <w:t>.</w:t>
            </w:r>
            <w:r w:rsidRPr="00D50A65">
              <w:rPr>
                <w:rFonts w:asciiTheme="minorHAnsi" w:hAnsiTheme="minorHAnsi" w:cstheme="minorHAnsi"/>
                <w:szCs w:val="18"/>
              </w:rPr>
              <w:t>6</w:t>
            </w:r>
          </w:p>
        </w:tc>
      </w:tr>
      <w:tr w:rsidR="005B2032" w:rsidRPr="00D50A65" w14:paraId="3AFEB663" w14:textId="77777777" w:rsidTr="00C2491D">
        <w:trPr>
          <w:trHeight w:val="454"/>
          <w:jc w:val="center"/>
        </w:trPr>
        <w:tc>
          <w:tcPr>
            <w:tcW w:w="0" w:type="auto"/>
            <w:vAlign w:val="center"/>
            <w:hideMark/>
          </w:tcPr>
          <w:p w14:paraId="28B0ECC4"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Международни цени на селскостопанските суровини, %</w:t>
            </w:r>
          </w:p>
        </w:tc>
        <w:tc>
          <w:tcPr>
            <w:tcW w:w="0" w:type="auto"/>
            <w:vAlign w:val="center"/>
          </w:tcPr>
          <w:p w14:paraId="2677E010" w14:textId="40A7834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9</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0" w:type="auto"/>
            <w:vAlign w:val="center"/>
          </w:tcPr>
          <w:p w14:paraId="5FDB9CE1" w14:textId="509C7ADA"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24</w:t>
            </w:r>
            <w:r w:rsidR="000B3666" w:rsidRPr="00D50A65">
              <w:rPr>
                <w:rFonts w:asciiTheme="minorHAnsi" w:hAnsiTheme="minorHAnsi" w:cstheme="minorHAnsi"/>
                <w:szCs w:val="18"/>
              </w:rPr>
              <w:t>.</w:t>
            </w:r>
            <w:r w:rsidRPr="00D50A65">
              <w:rPr>
                <w:rFonts w:asciiTheme="minorHAnsi" w:hAnsiTheme="minorHAnsi" w:cstheme="minorHAnsi"/>
                <w:szCs w:val="18"/>
              </w:rPr>
              <w:t>6</w:t>
            </w:r>
          </w:p>
        </w:tc>
        <w:tc>
          <w:tcPr>
            <w:tcW w:w="0" w:type="auto"/>
            <w:vAlign w:val="center"/>
          </w:tcPr>
          <w:p w14:paraId="071E4021" w14:textId="46F96469"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-12</w:t>
            </w:r>
            <w:r w:rsidR="000B3666" w:rsidRPr="00D50A65">
              <w:rPr>
                <w:rFonts w:asciiTheme="minorHAnsi" w:hAnsiTheme="minorHAnsi" w:cstheme="minorHAnsi"/>
                <w:szCs w:val="18"/>
              </w:rPr>
              <w:t>.</w:t>
            </w:r>
            <w:r w:rsidRPr="00D50A65">
              <w:rPr>
                <w:rFonts w:asciiTheme="minorHAnsi" w:hAnsiTheme="minorHAnsi" w:cstheme="minorHAnsi"/>
                <w:szCs w:val="18"/>
              </w:rPr>
              <w:t>0</w:t>
            </w:r>
          </w:p>
        </w:tc>
        <w:tc>
          <w:tcPr>
            <w:tcW w:w="0" w:type="auto"/>
            <w:vAlign w:val="center"/>
          </w:tcPr>
          <w:p w14:paraId="2E8EE40B" w14:textId="3696B9E3"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452" w:type="pct"/>
            <w:vAlign w:val="center"/>
          </w:tcPr>
          <w:p w14:paraId="3ACF3A5C" w14:textId="7757706D"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0</w:t>
            </w:r>
            <w:r w:rsidR="000B3666" w:rsidRPr="00D50A65">
              <w:rPr>
                <w:rFonts w:asciiTheme="minorHAnsi" w:hAnsiTheme="minorHAnsi" w:cstheme="minorHAnsi"/>
                <w:szCs w:val="18"/>
              </w:rPr>
              <w:t>.</w:t>
            </w:r>
            <w:r w:rsidRPr="00D50A65">
              <w:rPr>
                <w:rFonts w:asciiTheme="minorHAnsi" w:hAnsiTheme="minorHAnsi" w:cstheme="minorHAnsi"/>
                <w:szCs w:val="18"/>
              </w:rPr>
              <w:t>0</w:t>
            </w:r>
          </w:p>
        </w:tc>
      </w:tr>
      <w:tr w:rsidR="007C6657" w:rsidRPr="00D50A65" w14:paraId="0D2FDAC0" w14:textId="77777777" w:rsidTr="00C2491D">
        <w:trPr>
          <w:trHeight w:val="454"/>
          <w:jc w:val="center"/>
        </w:trPr>
        <w:tc>
          <w:tcPr>
            <w:tcW w:w="0" w:type="auto"/>
            <w:vAlign w:val="center"/>
            <w:hideMark/>
          </w:tcPr>
          <w:p w14:paraId="58A7BB12" w14:textId="77777777" w:rsidR="007C6657" w:rsidRPr="00D50A65" w:rsidRDefault="007C6657" w:rsidP="00195A0D">
            <w:pPr>
              <w:pStyle w:val="tabletextleft"/>
              <w:spacing w:before="40" w:after="40"/>
              <w:rPr>
                <w:rFonts w:asciiTheme="minorHAnsi" w:hAnsiTheme="minorHAnsi" w:cstheme="minorHAnsi"/>
                <w:szCs w:val="18"/>
              </w:rPr>
            </w:pPr>
            <w:r w:rsidRPr="00D50A65">
              <w:rPr>
                <w:rFonts w:asciiTheme="minorHAnsi" w:hAnsiTheme="minorHAnsi" w:cstheme="minorHAnsi"/>
                <w:szCs w:val="18"/>
              </w:rPr>
              <w:t>Международни цени на металите, %</w:t>
            </w:r>
          </w:p>
        </w:tc>
        <w:tc>
          <w:tcPr>
            <w:tcW w:w="0" w:type="auto"/>
            <w:vAlign w:val="center"/>
          </w:tcPr>
          <w:p w14:paraId="35C089D7" w14:textId="38AA0AFF"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47</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0" w:type="auto"/>
            <w:vAlign w:val="center"/>
          </w:tcPr>
          <w:p w14:paraId="3674D0F3" w14:textId="2CB3FFF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21</w:t>
            </w:r>
            <w:r w:rsidR="000B3666" w:rsidRPr="00D50A65">
              <w:rPr>
                <w:rFonts w:asciiTheme="minorHAnsi" w:hAnsiTheme="minorHAnsi" w:cstheme="minorHAnsi"/>
                <w:szCs w:val="18"/>
              </w:rPr>
              <w:t>.</w:t>
            </w:r>
            <w:r w:rsidRPr="00D50A65">
              <w:rPr>
                <w:rFonts w:asciiTheme="minorHAnsi" w:hAnsiTheme="minorHAnsi" w:cstheme="minorHAnsi"/>
                <w:szCs w:val="18"/>
              </w:rPr>
              <w:t>3</w:t>
            </w:r>
          </w:p>
        </w:tc>
        <w:tc>
          <w:tcPr>
            <w:tcW w:w="0" w:type="auto"/>
            <w:vAlign w:val="center"/>
          </w:tcPr>
          <w:p w14:paraId="3A80DDEF" w14:textId="75F064DE"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-1</w:t>
            </w:r>
            <w:r w:rsidR="000B3666" w:rsidRPr="00D50A65">
              <w:rPr>
                <w:rFonts w:asciiTheme="minorHAnsi" w:hAnsiTheme="minorHAnsi" w:cstheme="minorHAnsi"/>
                <w:szCs w:val="18"/>
              </w:rPr>
              <w:t>.</w:t>
            </w:r>
            <w:r w:rsidRPr="00D50A65">
              <w:rPr>
                <w:rFonts w:asciiTheme="minorHAnsi" w:hAnsiTheme="minorHAnsi" w:cstheme="minorHAnsi"/>
                <w:szCs w:val="18"/>
              </w:rPr>
              <w:t>7</w:t>
            </w:r>
          </w:p>
        </w:tc>
        <w:tc>
          <w:tcPr>
            <w:tcW w:w="0" w:type="auto"/>
            <w:vAlign w:val="center"/>
          </w:tcPr>
          <w:p w14:paraId="7CCEE3A0" w14:textId="3BA6DB63"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1</w:t>
            </w:r>
          </w:p>
        </w:tc>
        <w:tc>
          <w:tcPr>
            <w:tcW w:w="452" w:type="pct"/>
            <w:vAlign w:val="center"/>
          </w:tcPr>
          <w:p w14:paraId="27FF6E1B" w14:textId="31BF9474" w:rsidR="007C6657" w:rsidRPr="00D50A65" w:rsidRDefault="007C6657" w:rsidP="00195A0D">
            <w:pPr>
              <w:pStyle w:val="tabletextleft"/>
              <w:spacing w:before="40" w:after="40"/>
              <w:jc w:val="right"/>
              <w:rPr>
                <w:rFonts w:asciiTheme="minorHAnsi" w:hAnsiTheme="minorHAnsi" w:cstheme="minorHAnsi"/>
                <w:szCs w:val="18"/>
              </w:rPr>
            </w:pPr>
            <w:r w:rsidRPr="00D50A65">
              <w:rPr>
                <w:rFonts w:asciiTheme="minorHAnsi" w:hAnsiTheme="minorHAnsi" w:cstheme="minorHAnsi"/>
                <w:szCs w:val="18"/>
              </w:rPr>
              <w:t>-2</w:t>
            </w:r>
            <w:r w:rsidR="000B3666" w:rsidRPr="00D50A65">
              <w:rPr>
                <w:rFonts w:asciiTheme="minorHAnsi" w:hAnsiTheme="minorHAnsi" w:cstheme="minorHAnsi"/>
                <w:szCs w:val="18"/>
              </w:rPr>
              <w:t>.</w:t>
            </w:r>
            <w:r w:rsidRPr="00D50A65">
              <w:rPr>
                <w:rFonts w:asciiTheme="minorHAnsi" w:hAnsiTheme="minorHAnsi" w:cstheme="minorHAnsi"/>
                <w:szCs w:val="18"/>
              </w:rPr>
              <w:t>7</w:t>
            </w:r>
          </w:p>
        </w:tc>
      </w:tr>
    </w:tbl>
    <w:p w14:paraId="7FE7C286" w14:textId="77777777" w:rsidR="009D7E0D" w:rsidRPr="005B2032" w:rsidRDefault="009D7E0D" w:rsidP="001F71EF">
      <w:pPr>
        <w:jc w:val="right"/>
        <w:rPr>
          <w:rFonts w:asciiTheme="minorHAnsi" w:hAnsiTheme="minorHAnsi" w:cstheme="minorHAnsi"/>
        </w:rPr>
      </w:pPr>
    </w:p>
    <w:p w14:paraId="791E9985" w14:textId="77777777" w:rsidR="005D443F" w:rsidRPr="005B2032" w:rsidRDefault="005D443F" w:rsidP="001F71EF">
      <w:pPr>
        <w:jc w:val="right"/>
        <w:rPr>
          <w:rFonts w:asciiTheme="minorHAnsi" w:hAnsiTheme="minorHAnsi" w:cstheme="minorHAnsi"/>
        </w:rPr>
      </w:pPr>
    </w:p>
    <w:p w14:paraId="25F4737C" w14:textId="77777777" w:rsidR="00207054" w:rsidRPr="005B2032" w:rsidRDefault="00207054" w:rsidP="001F71EF">
      <w:pPr>
        <w:jc w:val="right"/>
        <w:rPr>
          <w:rFonts w:asciiTheme="minorHAnsi" w:hAnsiTheme="minorHAnsi" w:cstheme="minorHAnsi"/>
        </w:rPr>
      </w:pPr>
    </w:p>
    <w:p w14:paraId="2DFF32BE" w14:textId="77777777" w:rsidR="00207054" w:rsidRPr="005B2032" w:rsidRDefault="00207054" w:rsidP="001F71EF">
      <w:pPr>
        <w:jc w:val="right"/>
        <w:rPr>
          <w:rFonts w:asciiTheme="minorHAnsi" w:hAnsiTheme="minorHAnsi" w:cstheme="minorHAnsi"/>
        </w:rPr>
      </w:pPr>
    </w:p>
    <w:p w14:paraId="324A5C92" w14:textId="77777777" w:rsidR="00207054" w:rsidRPr="005B2032" w:rsidRDefault="00207054" w:rsidP="001F71EF">
      <w:pPr>
        <w:jc w:val="right"/>
        <w:rPr>
          <w:rFonts w:asciiTheme="minorHAnsi" w:hAnsiTheme="minorHAnsi" w:cstheme="minorHAnsi"/>
        </w:rPr>
      </w:pPr>
    </w:p>
    <w:p w14:paraId="69CE13B2" w14:textId="77777777" w:rsidR="00580F0B" w:rsidRPr="005B2032" w:rsidRDefault="00580F0B" w:rsidP="001F71EF">
      <w:pPr>
        <w:jc w:val="right"/>
        <w:rPr>
          <w:rFonts w:asciiTheme="minorHAnsi" w:hAnsiTheme="minorHAnsi" w:cstheme="minorHAnsi"/>
        </w:rPr>
      </w:pPr>
    </w:p>
    <w:p w14:paraId="21D67885" w14:textId="77777777" w:rsidR="00207054" w:rsidRPr="005B2032" w:rsidRDefault="00207054" w:rsidP="001F71EF">
      <w:pPr>
        <w:jc w:val="right"/>
        <w:rPr>
          <w:rFonts w:asciiTheme="minorHAnsi" w:hAnsiTheme="minorHAnsi" w:cstheme="minorHAnsi"/>
        </w:rPr>
      </w:pPr>
    </w:p>
    <w:p w14:paraId="3BDA4C86" w14:textId="77777777" w:rsidR="00207054" w:rsidRPr="005E6318" w:rsidRDefault="00207054" w:rsidP="005E6318">
      <w:pPr>
        <w:pStyle w:val="Heading1"/>
      </w:pPr>
      <w:bookmarkStart w:id="193" w:name="_Toc100906104"/>
      <w:r w:rsidRPr="005E6318">
        <w:lastRenderedPageBreak/>
        <w:t>Приложение Б</w:t>
      </w:r>
      <w:bookmarkEnd w:id="193"/>
    </w:p>
    <w:p w14:paraId="6199AF1F" w14:textId="646FF81D" w:rsidR="00D35480" w:rsidRPr="00AA1841" w:rsidRDefault="00207054" w:rsidP="00AA1841">
      <w:pPr>
        <w:pStyle w:val="Heading2"/>
        <w:numPr>
          <w:ilvl w:val="0"/>
          <w:numId w:val="0"/>
        </w:numPr>
      </w:pPr>
      <w:bookmarkStart w:id="194" w:name="_Toc100906105"/>
      <w:r w:rsidRPr="00AA1841">
        <w:t>Табл</w:t>
      </w:r>
      <w:r w:rsidR="001A6846" w:rsidRPr="00AA1841">
        <w:t>.</w:t>
      </w:r>
      <w:r w:rsidRPr="00AA1841">
        <w:t xml:space="preserve"> </w:t>
      </w:r>
      <w:r w:rsidR="00697F78" w:rsidRPr="00AA1841">
        <w:t>1</w:t>
      </w:r>
      <w:r w:rsidRPr="00AA1841">
        <w:t xml:space="preserve">: Отражение на </w:t>
      </w:r>
      <w:r w:rsidR="00040D6E" w:rsidRPr="00040D6E">
        <w:t>механизма за възстановяване и устойчивост (</w:t>
      </w:r>
      <w:r w:rsidRPr="00AA1841">
        <w:t>МВУ</w:t>
      </w:r>
      <w:r w:rsidR="00040D6E">
        <w:t>)</w:t>
      </w:r>
      <w:r w:rsidRPr="00AA1841">
        <w:t xml:space="preserve"> върху прогнозите в Конвергентната програма – Грантове</w:t>
      </w:r>
      <w:bookmarkEnd w:id="194"/>
      <w:r w:rsidRPr="00AA1841">
        <w:t xml:space="preserve"> </w:t>
      </w:r>
    </w:p>
    <w:tbl>
      <w:tblPr>
        <w:tblStyle w:val="TableGrid10"/>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4A0" w:firstRow="1" w:lastRow="0" w:firstColumn="1" w:lastColumn="0" w:noHBand="0" w:noVBand="1"/>
      </w:tblPr>
      <w:tblGrid>
        <w:gridCol w:w="2894"/>
        <w:gridCol w:w="745"/>
        <w:gridCol w:w="695"/>
        <w:gridCol w:w="971"/>
        <w:gridCol w:w="1061"/>
        <w:gridCol w:w="1061"/>
        <w:gridCol w:w="942"/>
        <w:gridCol w:w="695"/>
      </w:tblGrid>
      <w:tr w:rsidR="005B2032" w:rsidRPr="005B2032" w14:paraId="33D82D76" w14:textId="77777777" w:rsidTr="00C2491D">
        <w:trPr>
          <w:trHeight w:val="112"/>
          <w:jc w:val="center"/>
        </w:trPr>
        <w:tc>
          <w:tcPr>
            <w:tcW w:w="9064" w:type="dxa"/>
            <w:gridSpan w:val="8"/>
            <w:shd w:val="clear" w:color="auto" w:fill="D7D4F1"/>
            <w:noWrap/>
            <w:vAlign w:val="center"/>
            <w:hideMark/>
          </w:tcPr>
          <w:p w14:paraId="5FE01D7D" w14:textId="77777777" w:rsidR="00207054" w:rsidRPr="005B2032" w:rsidRDefault="00207054" w:rsidP="0023528E">
            <w:pPr>
              <w:pStyle w:val="tabletextleft"/>
              <w:spacing w:before="60" w:after="60"/>
              <w:rPr>
                <w:rFonts w:asciiTheme="minorHAnsi" w:hAnsiTheme="minorHAnsi" w:cstheme="minorHAnsi"/>
                <w:b/>
              </w:rPr>
            </w:pPr>
            <w:r w:rsidRPr="005B2032">
              <w:rPr>
                <w:rFonts w:asciiTheme="minorHAnsi" w:hAnsiTheme="minorHAnsi" w:cstheme="minorHAnsi"/>
                <w:b/>
              </w:rPr>
              <w:t>Приходи от грантове (% от БВП)</w:t>
            </w:r>
          </w:p>
        </w:tc>
      </w:tr>
      <w:tr w:rsidR="005B2032" w:rsidRPr="005B2032" w14:paraId="7CA63E6E" w14:textId="77777777" w:rsidTr="00C2491D">
        <w:trPr>
          <w:trHeight w:val="112"/>
          <w:jc w:val="center"/>
        </w:trPr>
        <w:tc>
          <w:tcPr>
            <w:tcW w:w="2894" w:type="dxa"/>
            <w:shd w:val="clear" w:color="auto" w:fill="D7D4F1"/>
            <w:noWrap/>
            <w:vAlign w:val="center"/>
            <w:hideMark/>
          </w:tcPr>
          <w:p w14:paraId="0754D4AC" w14:textId="77777777" w:rsidR="00207054" w:rsidRPr="005B2032" w:rsidRDefault="00207054" w:rsidP="0023528E">
            <w:pPr>
              <w:pStyle w:val="tabletextleft"/>
              <w:spacing w:before="60" w:after="60"/>
              <w:rPr>
                <w:rFonts w:asciiTheme="minorHAnsi" w:hAnsiTheme="minorHAnsi" w:cstheme="minorHAnsi"/>
                <w:i/>
                <w:iCs/>
              </w:rPr>
            </w:pPr>
            <w:r w:rsidRPr="005B2032">
              <w:rPr>
                <w:rFonts w:asciiTheme="minorHAnsi" w:hAnsiTheme="minorHAnsi" w:cstheme="minorHAnsi"/>
                <w:i/>
                <w:iCs/>
              </w:rPr>
              <w:t> </w:t>
            </w:r>
          </w:p>
        </w:tc>
        <w:tc>
          <w:tcPr>
            <w:tcW w:w="745" w:type="dxa"/>
            <w:shd w:val="clear" w:color="auto" w:fill="D7D4F1"/>
            <w:noWrap/>
            <w:vAlign w:val="center"/>
            <w:hideMark/>
          </w:tcPr>
          <w:p w14:paraId="5C6F84ED"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2020</w:t>
            </w:r>
          </w:p>
        </w:tc>
        <w:tc>
          <w:tcPr>
            <w:tcW w:w="695" w:type="dxa"/>
            <w:shd w:val="clear" w:color="auto" w:fill="D7D4F1"/>
            <w:noWrap/>
            <w:vAlign w:val="center"/>
            <w:hideMark/>
          </w:tcPr>
          <w:p w14:paraId="3D4B6C03"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2021</w:t>
            </w:r>
          </w:p>
        </w:tc>
        <w:tc>
          <w:tcPr>
            <w:tcW w:w="971" w:type="dxa"/>
            <w:shd w:val="clear" w:color="auto" w:fill="D7D4F1"/>
            <w:noWrap/>
            <w:vAlign w:val="center"/>
            <w:hideMark/>
          </w:tcPr>
          <w:p w14:paraId="117B88DB"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2022</w:t>
            </w:r>
          </w:p>
        </w:tc>
        <w:tc>
          <w:tcPr>
            <w:tcW w:w="1061" w:type="dxa"/>
            <w:shd w:val="clear" w:color="auto" w:fill="D7D4F1"/>
            <w:noWrap/>
            <w:vAlign w:val="center"/>
            <w:hideMark/>
          </w:tcPr>
          <w:p w14:paraId="4B3E0443"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2023</w:t>
            </w:r>
          </w:p>
        </w:tc>
        <w:tc>
          <w:tcPr>
            <w:tcW w:w="1061" w:type="dxa"/>
            <w:shd w:val="clear" w:color="auto" w:fill="D7D4F1"/>
            <w:noWrap/>
            <w:vAlign w:val="center"/>
            <w:hideMark/>
          </w:tcPr>
          <w:p w14:paraId="25365BDA"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2024</w:t>
            </w:r>
          </w:p>
        </w:tc>
        <w:tc>
          <w:tcPr>
            <w:tcW w:w="942" w:type="dxa"/>
            <w:shd w:val="clear" w:color="auto" w:fill="D7D4F1"/>
            <w:noWrap/>
            <w:vAlign w:val="center"/>
            <w:hideMark/>
          </w:tcPr>
          <w:p w14:paraId="316E880C"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2025</w:t>
            </w:r>
          </w:p>
        </w:tc>
        <w:tc>
          <w:tcPr>
            <w:tcW w:w="695" w:type="dxa"/>
            <w:shd w:val="clear" w:color="auto" w:fill="D7D4F1"/>
            <w:noWrap/>
            <w:vAlign w:val="center"/>
            <w:hideMark/>
          </w:tcPr>
          <w:p w14:paraId="786603A1"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2026</w:t>
            </w:r>
          </w:p>
        </w:tc>
      </w:tr>
      <w:tr w:rsidR="00040D6E" w:rsidRPr="005B2032" w14:paraId="5758FAEC" w14:textId="77777777" w:rsidTr="00C2491D">
        <w:trPr>
          <w:trHeight w:val="116"/>
          <w:jc w:val="center"/>
        </w:trPr>
        <w:tc>
          <w:tcPr>
            <w:tcW w:w="2894" w:type="dxa"/>
            <w:vAlign w:val="center"/>
            <w:hideMark/>
          </w:tcPr>
          <w:p w14:paraId="10B60769" w14:textId="40569DD9" w:rsidR="00040D6E" w:rsidRPr="005B2032" w:rsidRDefault="00040D6E" w:rsidP="00040D6E">
            <w:pPr>
              <w:pStyle w:val="tabletextleft"/>
              <w:spacing w:before="60" w:after="60"/>
              <w:rPr>
                <w:rFonts w:asciiTheme="minorHAnsi" w:hAnsiTheme="minorHAnsi" w:cstheme="minorHAnsi"/>
                <w:b/>
              </w:rPr>
            </w:pPr>
            <w:r w:rsidRPr="005B2032">
              <w:rPr>
                <w:rFonts w:asciiTheme="minorHAnsi" w:hAnsiTheme="minorHAnsi" w:cstheme="minorHAnsi"/>
                <w:b/>
              </w:rPr>
              <w:t xml:space="preserve">МВУ Грантове според </w:t>
            </w:r>
            <w:r>
              <w:rPr>
                <w:rFonts w:asciiTheme="minorHAnsi" w:hAnsiTheme="minorHAnsi" w:cstheme="minorHAnsi"/>
                <w:b/>
              </w:rPr>
              <w:br/>
            </w:r>
            <w:r w:rsidRPr="005B2032">
              <w:rPr>
                <w:rFonts w:asciiTheme="minorHAnsi" w:hAnsiTheme="minorHAnsi" w:cstheme="minorHAnsi"/>
                <w:b/>
              </w:rPr>
              <w:t xml:space="preserve">прогнозите за приходите </w:t>
            </w:r>
          </w:p>
        </w:tc>
        <w:tc>
          <w:tcPr>
            <w:tcW w:w="745" w:type="dxa"/>
            <w:shd w:val="clear" w:color="auto" w:fill="auto"/>
            <w:noWrap/>
            <w:vAlign w:val="center"/>
          </w:tcPr>
          <w:p w14:paraId="32470DF4" w14:textId="0FFA5B35" w:rsidR="00040D6E" w:rsidRPr="005B2032" w:rsidRDefault="00040D6E" w:rsidP="00040D6E">
            <w:pPr>
              <w:pStyle w:val="tabletextleft"/>
              <w:spacing w:before="60" w:after="60"/>
              <w:jc w:val="right"/>
              <w:rPr>
                <w:rFonts w:asciiTheme="minorHAnsi" w:hAnsiTheme="minorHAnsi" w:cstheme="minorHAnsi"/>
              </w:rPr>
            </w:pPr>
          </w:p>
        </w:tc>
        <w:tc>
          <w:tcPr>
            <w:tcW w:w="695" w:type="dxa"/>
            <w:shd w:val="clear" w:color="auto" w:fill="auto"/>
            <w:noWrap/>
            <w:vAlign w:val="center"/>
          </w:tcPr>
          <w:p w14:paraId="6AEF1611" w14:textId="68729CE8" w:rsidR="00040D6E" w:rsidRPr="005B2032" w:rsidRDefault="00040D6E" w:rsidP="00040D6E">
            <w:pPr>
              <w:pStyle w:val="tabletextleft"/>
              <w:spacing w:before="60" w:after="60"/>
              <w:jc w:val="right"/>
              <w:rPr>
                <w:rFonts w:asciiTheme="minorHAnsi" w:hAnsiTheme="minorHAnsi" w:cstheme="minorHAnsi"/>
                <w:i/>
                <w:iCs/>
              </w:rPr>
            </w:pPr>
          </w:p>
        </w:tc>
        <w:tc>
          <w:tcPr>
            <w:tcW w:w="971" w:type="dxa"/>
            <w:shd w:val="clear" w:color="auto" w:fill="auto"/>
            <w:noWrap/>
            <w:vAlign w:val="center"/>
          </w:tcPr>
          <w:p w14:paraId="712E6E81" w14:textId="6DC2A18C" w:rsidR="00040D6E" w:rsidRPr="00040D6E" w:rsidRDefault="00040D6E" w:rsidP="00040D6E">
            <w:pPr>
              <w:pStyle w:val="tabletextleft"/>
              <w:spacing w:before="60" w:after="60"/>
              <w:jc w:val="right"/>
              <w:rPr>
                <w:rFonts w:asciiTheme="minorHAnsi" w:hAnsiTheme="minorHAnsi" w:cstheme="minorHAnsi"/>
                <w:b/>
                <w:color w:val="000000"/>
                <w:szCs w:val="18"/>
              </w:rPr>
            </w:pPr>
            <w:r w:rsidRPr="00040D6E">
              <w:rPr>
                <w:rFonts w:asciiTheme="minorHAnsi" w:hAnsiTheme="minorHAnsi" w:cstheme="minorHAnsi"/>
                <w:b/>
                <w:color w:val="000000"/>
                <w:szCs w:val="18"/>
              </w:rPr>
              <w:t>0.52</w:t>
            </w:r>
          </w:p>
        </w:tc>
        <w:tc>
          <w:tcPr>
            <w:tcW w:w="1061" w:type="dxa"/>
            <w:shd w:val="clear" w:color="auto" w:fill="auto"/>
            <w:noWrap/>
            <w:vAlign w:val="center"/>
          </w:tcPr>
          <w:p w14:paraId="1D522D19" w14:textId="7F794E01" w:rsidR="00040D6E" w:rsidRPr="00040D6E" w:rsidRDefault="00040D6E" w:rsidP="00040D6E">
            <w:pPr>
              <w:pStyle w:val="tabletextleft"/>
              <w:spacing w:before="60" w:after="60"/>
              <w:jc w:val="right"/>
              <w:rPr>
                <w:rFonts w:asciiTheme="minorHAnsi" w:hAnsiTheme="minorHAnsi" w:cstheme="minorHAnsi"/>
                <w:b/>
                <w:color w:val="000000"/>
                <w:szCs w:val="18"/>
              </w:rPr>
            </w:pPr>
            <w:r w:rsidRPr="00040D6E">
              <w:rPr>
                <w:rFonts w:asciiTheme="minorHAnsi" w:hAnsiTheme="minorHAnsi" w:cstheme="minorHAnsi"/>
                <w:b/>
                <w:color w:val="000000"/>
                <w:szCs w:val="18"/>
              </w:rPr>
              <w:t>1.31</w:t>
            </w:r>
          </w:p>
        </w:tc>
        <w:tc>
          <w:tcPr>
            <w:tcW w:w="1061" w:type="dxa"/>
            <w:shd w:val="clear" w:color="auto" w:fill="auto"/>
            <w:noWrap/>
            <w:vAlign w:val="center"/>
          </w:tcPr>
          <w:p w14:paraId="7498D0A6" w14:textId="38B24063" w:rsidR="00040D6E" w:rsidRPr="00040D6E" w:rsidRDefault="00040D6E" w:rsidP="00040D6E">
            <w:pPr>
              <w:pStyle w:val="tabletextleft"/>
              <w:spacing w:before="60" w:after="60"/>
              <w:jc w:val="right"/>
              <w:rPr>
                <w:rFonts w:asciiTheme="minorHAnsi" w:hAnsiTheme="minorHAnsi" w:cstheme="minorHAnsi"/>
                <w:b/>
                <w:color w:val="000000"/>
                <w:szCs w:val="18"/>
              </w:rPr>
            </w:pPr>
            <w:r w:rsidRPr="00040D6E">
              <w:rPr>
                <w:rFonts w:asciiTheme="minorHAnsi" w:hAnsiTheme="minorHAnsi" w:cstheme="minorHAnsi"/>
                <w:b/>
                <w:color w:val="000000"/>
                <w:szCs w:val="18"/>
              </w:rPr>
              <w:t>1.10</w:t>
            </w:r>
          </w:p>
        </w:tc>
        <w:tc>
          <w:tcPr>
            <w:tcW w:w="942" w:type="dxa"/>
            <w:shd w:val="clear" w:color="auto" w:fill="auto"/>
            <w:noWrap/>
            <w:vAlign w:val="center"/>
          </w:tcPr>
          <w:p w14:paraId="258975D4" w14:textId="6CDE89B7" w:rsidR="00040D6E" w:rsidRPr="00040D6E" w:rsidRDefault="00040D6E" w:rsidP="00040D6E">
            <w:pPr>
              <w:pStyle w:val="tabletextleft"/>
              <w:spacing w:before="60" w:after="60"/>
              <w:jc w:val="right"/>
              <w:rPr>
                <w:rFonts w:asciiTheme="minorHAnsi" w:hAnsiTheme="minorHAnsi" w:cstheme="minorHAnsi"/>
                <w:b/>
                <w:color w:val="000000"/>
                <w:szCs w:val="18"/>
              </w:rPr>
            </w:pPr>
            <w:r w:rsidRPr="00040D6E">
              <w:rPr>
                <w:rFonts w:asciiTheme="minorHAnsi" w:hAnsiTheme="minorHAnsi" w:cstheme="minorHAnsi"/>
                <w:b/>
                <w:color w:val="000000"/>
                <w:szCs w:val="18"/>
              </w:rPr>
              <w:t>1.04</w:t>
            </w:r>
          </w:p>
        </w:tc>
        <w:tc>
          <w:tcPr>
            <w:tcW w:w="695" w:type="dxa"/>
            <w:shd w:val="clear" w:color="auto" w:fill="auto"/>
            <w:noWrap/>
            <w:vAlign w:val="center"/>
          </w:tcPr>
          <w:p w14:paraId="257A13DE" w14:textId="15884635" w:rsidR="00040D6E" w:rsidRPr="005B2032" w:rsidRDefault="00040D6E" w:rsidP="00040D6E">
            <w:pPr>
              <w:pStyle w:val="tabletextleft"/>
              <w:spacing w:before="60" w:after="60"/>
              <w:jc w:val="both"/>
              <w:rPr>
                <w:rFonts w:asciiTheme="minorHAnsi" w:hAnsiTheme="minorHAnsi" w:cstheme="minorHAnsi"/>
                <w:sz w:val="20"/>
              </w:rPr>
            </w:pPr>
          </w:p>
        </w:tc>
      </w:tr>
      <w:tr w:rsidR="005B2032" w:rsidRPr="005B2032" w14:paraId="674DDEA8" w14:textId="77777777" w:rsidTr="00C2491D">
        <w:trPr>
          <w:trHeight w:val="112"/>
          <w:jc w:val="center"/>
        </w:trPr>
        <w:tc>
          <w:tcPr>
            <w:tcW w:w="2894" w:type="dxa"/>
            <w:noWrap/>
            <w:vAlign w:val="center"/>
            <w:hideMark/>
          </w:tcPr>
          <w:p w14:paraId="0B9F1052" w14:textId="6D4B0551" w:rsidR="00CE6FB6" w:rsidRPr="005B2032" w:rsidRDefault="00CE6FB6" w:rsidP="0023528E">
            <w:pPr>
              <w:pStyle w:val="tabletextleft"/>
              <w:spacing w:before="60" w:after="60"/>
              <w:rPr>
                <w:rFonts w:asciiTheme="minorHAnsi" w:hAnsiTheme="minorHAnsi" w:cstheme="minorHAnsi"/>
                <w:b/>
              </w:rPr>
            </w:pPr>
            <w:r w:rsidRPr="005B2032">
              <w:rPr>
                <w:rFonts w:asciiTheme="minorHAnsi" w:hAnsiTheme="minorHAnsi" w:cstheme="minorHAnsi"/>
                <w:b/>
              </w:rPr>
              <w:t xml:space="preserve">Касови плащания от МВУ </w:t>
            </w:r>
            <w:r w:rsidR="009941BE">
              <w:rPr>
                <w:rFonts w:asciiTheme="minorHAnsi" w:hAnsiTheme="minorHAnsi" w:cstheme="minorHAnsi"/>
                <w:b/>
              </w:rPr>
              <w:br/>
            </w:r>
            <w:r w:rsidRPr="005B2032">
              <w:rPr>
                <w:rFonts w:asciiTheme="minorHAnsi" w:hAnsiTheme="minorHAnsi" w:cstheme="minorHAnsi"/>
                <w:b/>
              </w:rPr>
              <w:t xml:space="preserve">грантове от ЕС </w:t>
            </w:r>
          </w:p>
        </w:tc>
        <w:tc>
          <w:tcPr>
            <w:tcW w:w="745" w:type="dxa"/>
            <w:shd w:val="clear" w:color="auto" w:fill="auto"/>
            <w:noWrap/>
            <w:vAlign w:val="center"/>
          </w:tcPr>
          <w:p w14:paraId="7041D26F" w14:textId="46CDEC6B" w:rsidR="00CE6FB6" w:rsidRPr="005B2032" w:rsidRDefault="00CE6FB6" w:rsidP="0023528E">
            <w:pPr>
              <w:pStyle w:val="tabletextleft"/>
              <w:spacing w:before="60" w:after="60"/>
              <w:jc w:val="right"/>
              <w:rPr>
                <w:rFonts w:asciiTheme="minorHAnsi" w:hAnsiTheme="minorHAnsi" w:cstheme="minorHAnsi"/>
                <w:i/>
                <w:iCs/>
              </w:rPr>
            </w:pPr>
          </w:p>
        </w:tc>
        <w:tc>
          <w:tcPr>
            <w:tcW w:w="695" w:type="dxa"/>
            <w:shd w:val="clear" w:color="auto" w:fill="auto"/>
            <w:noWrap/>
            <w:vAlign w:val="center"/>
          </w:tcPr>
          <w:p w14:paraId="2832D274" w14:textId="6C13987D" w:rsidR="00CE6FB6" w:rsidRPr="005B2032" w:rsidRDefault="00CE6FB6" w:rsidP="0023528E">
            <w:pPr>
              <w:pStyle w:val="tabletextleft"/>
              <w:spacing w:before="60" w:after="60"/>
              <w:jc w:val="right"/>
              <w:rPr>
                <w:rFonts w:asciiTheme="minorHAnsi" w:hAnsiTheme="minorHAnsi" w:cstheme="minorHAnsi"/>
                <w:i/>
                <w:iCs/>
              </w:rPr>
            </w:pPr>
          </w:p>
        </w:tc>
        <w:tc>
          <w:tcPr>
            <w:tcW w:w="971" w:type="dxa"/>
            <w:shd w:val="clear" w:color="auto" w:fill="auto"/>
            <w:noWrap/>
            <w:vAlign w:val="center"/>
          </w:tcPr>
          <w:p w14:paraId="40C075CC" w14:textId="55E7A91C" w:rsidR="00CE6FB6" w:rsidRPr="005B2032" w:rsidRDefault="00CE6FB6" w:rsidP="0023528E">
            <w:pPr>
              <w:pStyle w:val="tabletextleft"/>
              <w:spacing w:before="60" w:after="60"/>
              <w:jc w:val="both"/>
              <w:rPr>
                <w:rFonts w:asciiTheme="minorHAnsi" w:hAnsiTheme="minorHAnsi" w:cstheme="minorHAnsi"/>
                <w:i/>
                <w:iCs/>
                <w:sz w:val="20"/>
              </w:rPr>
            </w:pPr>
          </w:p>
        </w:tc>
        <w:tc>
          <w:tcPr>
            <w:tcW w:w="1061" w:type="dxa"/>
            <w:shd w:val="clear" w:color="auto" w:fill="auto"/>
            <w:noWrap/>
            <w:vAlign w:val="center"/>
          </w:tcPr>
          <w:p w14:paraId="3273DBCA" w14:textId="6456181B" w:rsidR="00CE6FB6" w:rsidRPr="005B2032" w:rsidRDefault="00CE6FB6" w:rsidP="0023528E">
            <w:pPr>
              <w:pStyle w:val="tabletextleft"/>
              <w:spacing w:before="60" w:after="60"/>
              <w:jc w:val="both"/>
              <w:rPr>
                <w:rFonts w:asciiTheme="minorHAnsi" w:hAnsiTheme="minorHAnsi" w:cstheme="minorHAnsi"/>
                <w:i/>
                <w:iCs/>
                <w:sz w:val="20"/>
              </w:rPr>
            </w:pPr>
          </w:p>
        </w:tc>
        <w:tc>
          <w:tcPr>
            <w:tcW w:w="1061" w:type="dxa"/>
            <w:shd w:val="clear" w:color="auto" w:fill="auto"/>
            <w:noWrap/>
            <w:vAlign w:val="center"/>
          </w:tcPr>
          <w:p w14:paraId="21C3B591" w14:textId="2089DFA9" w:rsidR="00CE6FB6" w:rsidRPr="005B2032" w:rsidRDefault="00CE6FB6" w:rsidP="0023528E">
            <w:pPr>
              <w:pStyle w:val="tabletextleft"/>
              <w:spacing w:before="60" w:after="60"/>
              <w:jc w:val="both"/>
              <w:rPr>
                <w:rFonts w:asciiTheme="minorHAnsi" w:hAnsiTheme="minorHAnsi" w:cstheme="minorHAnsi"/>
                <w:i/>
                <w:iCs/>
                <w:sz w:val="20"/>
              </w:rPr>
            </w:pPr>
          </w:p>
        </w:tc>
        <w:tc>
          <w:tcPr>
            <w:tcW w:w="942" w:type="dxa"/>
            <w:shd w:val="clear" w:color="auto" w:fill="auto"/>
            <w:noWrap/>
            <w:vAlign w:val="center"/>
          </w:tcPr>
          <w:p w14:paraId="6C1945B4" w14:textId="20596524" w:rsidR="00CE6FB6" w:rsidRPr="005B2032" w:rsidRDefault="00CE6FB6" w:rsidP="0023528E">
            <w:pPr>
              <w:pStyle w:val="tabletextleft"/>
              <w:spacing w:before="60" w:after="60"/>
              <w:jc w:val="both"/>
              <w:rPr>
                <w:rFonts w:asciiTheme="minorHAnsi" w:hAnsiTheme="minorHAnsi" w:cstheme="minorHAnsi"/>
                <w:i/>
                <w:iCs/>
                <w:sz w:val="20"/>
              </w:rPr>
            </w:pPr>
          </w:p>
        </w:tc>
        <w:tc>
          <w:tcPr>
            <w:tcW w:w="695" w:type="dxa"/>
            <w:shd w:val="clear" w:color="auto" w:fill="auto"/>
            <w:noWrap/>
            <w:vAlign w:val="center"/>
          </w:tcPr>
          <w:p w14:paraId="2093F5EA" w14:textId="367E24E0" w:rsidR="00CE6FB6" w:rsidRPr="005B2032" w:rsidRDefault="00CE6FB6" w:rsidP="0023528E">
            <w:pPr>
              <w:pStyle w:val="tabletextleft"/>
              <w:spacing w:before="60" w:after="60"/>
              <w:jc w:val="both"/>
              <w:rPr>
                <w:rFonts w:asciiTheme="minorHAnsi" w:hAnsiTheme="minorHAnsi" w:cstheme="minorHAnsi"/>
                <w:i/>
                <w:iCs/>
                <w:sz w:val="20"/>
              </w:rPr>
            </w:pPr>
          </w:p>
        </w:tc>
      </w:tr>
      <w:tr w:rsidR="005B2032" w:rsidRPr="005B2032" w14:paraId="5CA0227F" w14:textId="77777777" w:rsidTr="00C2491D">
        <w:trPr>
          <w:trHeight w:val="169"/>
          <w:jc w:val="center"/>
        </w:trPr>
        <w:tc>
          <w:tcPr>
            <w:tcW w:w="9064" w:type="dxa"/>
            <w:gridSpan w:val="8"/>
            <w:noWrap/>
          </w:tcPr>
          <w:p w14:paraId="3163CC44" w14:textId="77777777" w:rsidR="00207054" w:rsidRPr="005B2032" w:rsidRDefault="00207054" w:rsidP="0023528E">
            <w:pPr>
              <w:pStyle w:val="tabletextleft"/>
              <w:spacing w:before="60" w:after="60"/>
              <w:rPr>
                <w:rFonts w:asciiTheme="minorHAnsi" w:hAnsiTheme="minorHAnsi" w:cstheme="minorHAnsi"/>
              </w:rPr>
            </w:pPr>
          </w:p>
        </w:tc>
      </w:tr>
      <w:tr w:rsidR="005B2032" w:rsidRPr="005B2032" w14:paraId="01E218EB" w14:textId="77777777" w:rsidTr="00C2491D">
        <w:trPr>
          <w:trHeight w:val="116"/>
          <w:jc w:val="center"/>
        </w:trPr>
        <w:tc>
          <w:tcPr>
            <w:tcW w:w="9064" w:type="dxa"/>
            <w:gridSpan w:val="8"/>
            <w:shd w:val="clear" w:color="auto" w:fill="D7D4F1"/>
            <w:noWrap/>
            <w:hideMark/>
          </w:tcPr>
          <w:p w14:paraId="06583B28" w14:textId="77777777" w:rsidR="00207054" w:rsidRPr="005B2032" w:rsidRDefault="00207054" w:rsidP="0023528E">
            <w:pPr>
              <w:pStyle w:val="tabletextleft"/>
              <w:spacing w:before="60" w:after="60"/>
              <w:rPr>
                <w:rFonts w:asciiTheme="minorHAnsi" w:hAnsiTheme="minorHAnsi" w:cstheme="minorHAnsi"/>
                <w:b/>
              </w:rPr>
            </w:pPr>
            <w:r w:rsidRPr="005B2032">
              <w:rPr>
                <w:rFonts w:asciiTheme="minorHAnsi" w:hAnsiTheme="minorHAnsi" w:cstheme="minorHAnsi"/>
                <w:b/>
              </w:rPr>
              <w:t>Разходи финансирани от МВУ грантове (% от БВП)</w:t>
            </w:r>
          </w:p>
        </w:tc>
      </w:tr>
      <w:tr w:rsidR="005B2032" w:rsidRPr="005B2032" w14:paraId="02217D78" w14:textId="77777777" w:rsidTr="00C2491D">
        <w:trPr>
          <w:trHeight w:val="112"/>
          <w:jc w:val="center"/>
        </w:trPr>
        <w:tc>
          <w:tcPr>
            <w:tcW w:w="2894" w:type="dxa"/>
            <w:shd w:val="clear" w:color="auto" w:fill="D7D4F1"/>
            <w:noWrap/>
            <w:hideMark/>
          </w:tcPr>
          <w:p w14:paraId="59E2A95D" w14:textId="77777777" w:rsidR="00207054" w:rsidRPr="005B2032" w:rsidRDefault="00207054" w:rsidP="0023528E">
            <w:pPr>
              <w:pStyle w:val="tabletextleft"/>
              <w:spacing w:before="60" w:after="60"/>
              <w:rPr>
                <w:rFonts w:asciiTheme="minorHAnsi" w:hAnsiTheme="minorHAnsi" w:cstheme="minorHAnsi"/>
              </w:rPr>
            </w:pPr>
            <w:r w:rsidRPr="005B2032">
              <w:rPr>
                <w:rFonts w:asciiTheme="minorHAnsi" w:hAnsiTheme="minorHAnsi" w:cstheme="minorHAnsi"/>
              </w:rPr>
              <w:t> </w:t>
            </w:r>
          </w:p>
        </w:tc>
        <w:tc>
          <w:tcPr>
            <w:tcW w:w="745" w:type="dxa"/>
            <w:shd w:val="clear" w:color="auto" w:fill="D7D4F1"/>
            <w:noWrap/>
            <w:vAlign w:val="center"/>
            <w:hideMark/>
          </w:tcPr>
          <w:p w14:paraId="67884541"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2020</w:t>
            </w:r>
          </w:p>
        </w:tc>
        <w:tc>
          <w:tcPr>
            <w:tcW w:w="695" w:type="dxa"/>
            <w:shd w:val="clear" w:color="auto" w:fill="D7D4F1"/>
            <w:noWrap/>
            <w:vAlign w:val="center"/>
            <w:hideMark/>
          </w:tcPr>
          <w:p w14:paraId="71D5B1BE"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2021</w:t>
            </w:r>
          </w:p>
        </w:tc>
        <w:tc>
          <w:tcPr>
            <w:tcW w:w="971" w:type="dxa"/>
            <w:shd w:val="clear" w:color="auto" w:fill="D7D4F1"/>
            <w:noWrap/>
            <w:vAlign w:val="center"/>
            <w:hideMark/>
          </w:tcPr>
          <w:p w14:paraId="2E10ABC7"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2022</w:t>
            </w:r>
          </w:p>
        </w:tc>
        <w:tc>
          <w:tcPr>
            <w:tcW w:w="1061" w:type="dxa"/>
            <w:shd w:val="clear" w:color="auto" w:fill="D7D4F1"/>
            <w:noWrap/>
            <w:vAlign w:val="center"/>
            <w:hideMark/>
          </w:tcPr>
          <w:p w14:paraId="509ABE8B"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2023</w:t>
            </w:r>
          </w:p>
        </w:tc>
        <w:tc>
          <w:tcPr>
            <w:tcW w:w="1061" w:type="dxa"/>
            <w:shd w:val="clear" w:color="auto" w:fill="D7D4F1"/>
            <w:noWrap/>
            <w:vAlign w:val="center"/>
            <w:hideMark/>
          </w:tcPr>
          <w:p w14:paraId="5B8CBEC0"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2024</w:t>
            </w:r>
          </w:p>
        </w:tc>
        <w:tc>
          <w:tcPr>
            <w:tcW w:w="942" w:type="dxa"/>
            <w:shd w:val="clear" w:color="auto" w:fill="D7D4F1"/>
            <w:noWrap/>
            <w:vAlign w:val="center"/>
            <w:hideMark/>
          </w:tcPr>
          <w:p w14:paraId="417EA6F0"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2025</w:t>
            </w:r>
          </w:p>
        </w:tc>
        <w:tc>
          <w:tcPr>
            <w:tcW w:w="695" w:type="dxa"/>
            <w:shd w:val="clear" w:color="auto" w:fill="D7D4F1"/>
            <w:noWrap/>
            <w:vAlign w:val="center"/>
            <w:hideMark/>
          </w:tcPr>
          <w:p w14:paraId="32D72133" w14:textId="77777777" w:rsidR="00207054" w:rsidRPr="005B2032" w:rsidRDefault="00207054" w:rsidP="0023528E">
            <w:pPr>
              <w:pStyle w:val="tabletextleft"/>
              <w:spacing w:before="60" w:after="60"/>
              <w:jc w:val="right"/>
              <w:rPr>
                <w:rFonts w:asciiTheme="minorHAnsi" w:hAnsiTheme="minorHAnsi" w:cstheme="minorHAnsi"/>
                <w:b/>
              </w:rPr>
            </w:pPr>
            <w:r w:rsidRPr="005B2032">
              <w:rPr>
                <w:rFonts w:asciiTheme="minorHAnsi" w:hAnsiTheme="minorHAnsi" w:cstheme="minorHAnsi"/>
                <w:b/>
              </w:rPr>
              <w:t>2026</w:t>
            </w:r>
          </w:p>
        </w:tc>
      </w:tr>
      <w:tr w:rsidR="005B2032" w:rsidRPr="005B2032" w14:paraId="71C1ECFC" w14:textId="77777777" w:rsidTr="00C2491D">
        <w:trPr>
          <w:trHeight w:val="112"/>
          <w:jc w:val="center"/>
        </w:trPr>
        <w:tc>
          <w:tcPr>
            <w:tcW w:w="2894" w:type="dxa"/>
            <w:noWrap/>
            <w:hideMark/>
          </w:tcPr>
          <w:p w14:paraId="59D71333" w14:textId="77777777" w:rsidR="00207054" w:rsidRPr="005B2032" w:rsidRDefault="00207054" w:rsidP="0023528E">
            <w:pPr>
              <w:pStyle w:val="tabletextleft"/>
              <w:spacing w:before="60" w:after="60"/>
              <w:rPr>
                <w:rFonts w:asciiTheme="minorHAnsi" w:hAnsiTheme="minorHAnsi" w:cstheme="minorHAnsi"/>
              </w:rPr>
            </w:pPr>
            <w:r w:rsidRPr="005B2032">
              <w:rPr>
                <w:rFonts w:asciiTheme="minorHAnsi" w:hAnsiTheme="minorHAnsi" w:cstheme="minorHAnsi"/>
              </w:rPr>
              <w:t>Компенсация на наетите лица D.1</w:t>
            </w:r>
          </w:p>
        </w:tc>
        <w:tc>
          <w:tcPr>
            <w:tcW w:w="745" w:type="dxa"/>
            <w:noWrap/>
            <w:vAlign w:val="center"/>
          </w:tcPr>
          <w:p w14:paraId="2B08649F" w14:textId="71E047D8" w:rsidR="00207054" w:rsidRPr="005B2032" w:rsidRDefault="00207054" w:rsidP="0023528E">
            <w:pPr>
              <w:pStyle w:val="tabletextleft"/>
              <w:spacing w:before="60" w:after="60"/>
              <w:jc w:val="right"/>
              <w:rPr>
                <w:rFonts w:asciiTheme="minorHAnsi" w:hAnsiTheme="minorHAnsi" w:cstheme="minorHAnsi"/>
              </w:rPr>
            </w:pPr>
          </w:p>
        </w:tc>
        <w:tc>
          <w:tcPr>
            <w:tcW w:w="695" w:type="dxa"/>
            <w:noWrap/>
            <w:vAlign w:val="center"/>
          </w:tcPr>
          <w:p w14:paraId="7C08F11D" w14:textId="729FA740" w:rsidR="00207054" w:rsidRPr="005B2032" w:rsidRDefault="00207054" w:rsidP="0023528E">
            <w:pPr>
              <w:pStyle w:val="tabletextleft"/>
              <w:spacing w:before="60" w:after="60"/>
              <w:jc w:val="right"/>
              <w:rPr>
                <w:rFonts w:asciiTheme="minorHAnsi" w:hAnsiTheme="minorHAnsi" w:cstheme="minorHAnsi"/>
              </w:rPr>
            </w:pPr>
          </w:p>
        </w:tc>
        <w:tc>
          <w:tcPr>
            <w:tcW w:w="971" w:type="dxa"/>
            <w:noWrap/>
            <w:vAlign w:val="center"/>
          </w:tcPr>
          <w:p w14:paraId="7E16DF11" w14:textId="4FA47169" w:rsidR="00207054" w:rsidRPr="005B2032" w:rsidRDefault="00207054" w:rsidP="00A41CDE">
            <w:pPr>
              <w:pStyle w:val="tabletextleft"/>
              <w:spacing w:before="60" w:after="60"/>
              <w:jc w:val="right"/>
              <w:rPr>
                <w:rFonts w:asciiTheme="minorHAnsi" w:hAnsiTheme="minorHAnsi" w:cstheme="minorHAnsi"/>
              </w:rPr>
            </w:pPr>
          </w:p>
        </w:tc>
        <w:tc>
          <w:tcPr>
            <w:tcW w:w="1061" w:type="dxa"/>
            <w:noWrap/>
            <w:vAlign w:val="center"/>
          </w:tcPr>
          <w:p w14:paraId="4E7880FE" w14:textId="0D7153B1" w:rsidR="00207054" w:rsidRPr="005B2032" w:rsidRDefault="00207054" w:rsidP="00A41CDE">
            <w:pPr>
              <w:pStyle w:val="tabletextleft"/>
              <w:spacing w:before="60" w:after="60"/>
              <w:jc w:val="right"/>
              <w:rPr>
                <w:rFonts w:asciiTheme="minorHAnsi" w:hAnsiTheme="minorHAnsi" w:cstheme="minorHAnsi"/>
              </w:rPr>
            </w:pPr>
          </w:p>
        </w:tc>
        <w:tc>
          <w:tcPr>
            <w:tcW w:w="1061" w:type="dxa"/>
            <w:noWrap/>
            <w:vAlign w:val="center"/>
          </w:tcPr>
          <w:p w14:paraId="7FF966D0" w14:textId="214C76AB" w:rsidR="00207054" w:rsidRPr="005B2032" w:rsidRDefault="00207054" w:rsidP="00A41CDE">
            <w:pPr>
              <w:pStyle w:val="tabletextleft"/>
              <w:spacing w:before="60" w:after="60"/>
              <w:jc w:val="right"/>
              <w:rPr>
                <w:rFonts w:asciiTheme="minorHAnsi" w:hAnsiTheme="minorHAnsi" w:cstheme="minorHAnsi"/>
              </w:rPr>
            </w:pPr>
          </w:p>
        </w:tc>
        <w:tc>
          <w:tcPr>
            <w:tcW w:w="942" w:type="dxa"/>
            <w:noWrap/>
            <w:vAlign w:val="center"/>
            <w:hideMark/>
          </w:tcPr>
          <w:p w14:paraId="1DEA31E6" w14:textId="77777777" w:rsidR="00207054" w:rsidRPr="005B2032" w:rsidRDefault="00207054" w:rsidP="00A41CDE">
            <w:pPr>
              <w:pStyle w:val="tabletextleft"/>
              <w:spacing w:before="60" w:after="60"/>
              <w:jc w:val="right"/>
              <w:rPr>
                <w:rFonts w:asciiTheme="minorHAnsi" w:hAnsiTheme="minorHAnsi" w:cstheme="minorHAnsi"/>
              </w:rPr>
            </w:pPr>
            <w:r w:rsidRPr="005B2032">
              <w:rPr>
                <w:rFonts w:asciiTheme="minorHAnsi" w:hAnsiTheme="minorHAnsi" w:cstheme="minorHAnsi"/>
              </w:rPr>
              <w:t> </w:t>
            </w:r>
          </w:p>
        </w:tc>
        <w:tc>
          <w:tcPr>
            <w:tcW w:w="695" w:type="dxa"/>
            <w:noWrap/>
            <w:vAlign w:val="center"/>
            <w:hideMark/>
          </w:tcPr>
          <w:p w14:paraId="3C89139B" w14:textId="77777777" w:rsidR="00207054" w:rsidRPr="005B2032" w:rsidRDefault="00207054" w:rsidP="0023528E">
            <w:pPr>
              <w:pStyle w:val="tabletextleft"/>
              <w:spacing w:before="60" w:after="60"/>
              <w:jc w:val="right"/>
              <w:rPr>
                <w:rFonts w:asciiTheme="minorHAnsi" w:hAnsiTheme="minorHAnsi" w:cstheme="minorHAnsi"/>
              </w:rPr>
            </w:pPr>
            <w:r w:rsidRPr="005B2032">
              <w:rPr>
                <w:rFonts w:asciiTheme="minorHAnsi" w:hAnsiTheme="minorHAnsi" w:cstheme="minorHAnsi"/>
              </w:rPr>
              <w:t> </w:t>
            </w:r>
          </w:p>
        </w:tc>
      </w:tr>
      <w:tr w:rsidR="00040D6E" w:rsidRPr="005B2032" w14:paraId="5C8114AB" w14:textId="77777777" w:rsidTr="00C2491D">
        <w:trPr>
          <w:trHeight w:val="112"/>
          <w:jc w:val="center"/>
        </w:trPr>
        <w:tc>
          <w:tcPr>
            <w:tcW w:w="2894" w:type="dxa"/>
            <w:noWrap/>
            <w:hideMark/>
          </w:tcPr>
          <w:p w14:paraId="37AD6AEC" w14:textId="77777777" w:rsidR="00040D6E" w:rsidRPr="005B2032" w:rsidRDefault="00040D6E" w:rsidP="00040D6E">
            <w:pPr>
              <w:pStyle w:val="tabletextleft"/>
              <w:spacing w:before="60" w:after="60"/>
              <w:rPr>
                <w:rFonts w:asciiTheme="minorHAnsi" w:hAnsiTheme="minorHAnsi" w:cstheme="minorHAnsi"/>
              </w:rPr>
            </w:pPr>
            <w:r w:rsidRPr="005B2032">
              <w:rPr>
                <w:rFonts w:asciiTheme="minorHAnsi" w:hAnsiTheme="minorHAnsi" w:cstheme="minorHAnsi"/>
              </w:rPr>
              <w:t>Междинно потребление P.2</w:t>
            </w:r>
          </w:p>
        </w:tc>
        <w:tc>
          <w:tcPr>
            <w:tcW w:w="745" w:type="dxa"/>
            <w:noWrap/>
            <w:vAlign w:val="center"/>
          </w:tcPr>
          <w:p w14:paraId="12EB9E74" w14:textId="004EA33C" w:rsidR="00040D6E" w:rsidRPr="005B2032" w:rsidRDefault="00040D6E" w:rsidP="00040D6E">
            <w:pPr>
              <w:pStyle w:val="tabletextleft"/>
              <w:spacing w:before="60" w:after="60"/>
              <w:jc w:val="right"/>
              <w:rPr>
                <w:rFonts w:asciiTheme="minorHAnsi" w:hAnsiTheme="minorHAnsi" w:cstheme="minorHAnsi"/>
              </w:rPr>
            </w:pPr>
          </w:p>
        </w:tc>
        <w:tc>
          <w:tcPr>
            <w:tcW w:w="695" w:type="dxa"/>
            <w:noWrap/>
            <w:vAlign w:val="center"/>
          </w:tcPr>
          <w:p w14:paraId="742A7CE3" w14:textId="5DFD4323"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71" w:type="dxa"/>
            <w:noWrap/>
            <w:vAlign w:val="center"/>
          </w:tcPr>
          <w:p w14:paraId="1D060BE0" w14:textId="62F47380"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0.00</w:t>
            </w:r>
          </w:p>
        </w:tc>
        <w:tc>
          <w:tcPr>
            <w:tcW w:w="1061" w:type="dxa"/>
            <w:noWrap/>
            <w:vAlign w:val="center"/>
          </w:tcPr>
          <w:p w14:paraId="0C024A26" w14:textId="2EC7CE05"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0.03</w:t>
            </w:r>
          </w:p>
        </w:tc>
        <w:tc>
          <w:tcPr>
            <w:tcW w:w="1061" w:type="dxa"/>
            <w:noWrap/>
            <w:vAlign w:val="center"/>
          </w:tcPr>
          <w:p w14:paraId="4EE34901" w14:textId="6275E0B4"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0.03</w:t>
            </w:r>
          </w:p>
        </w:tc>
        <w:tc>
          <w:tcPr>
            <w:tcW w:w="942" w:type="dxa"/>
            <w:noWrap/>
            <w:vAlign w:val="center"/>
            <w:hideMark/>
          </w:tcPr>
          <w:p w14:paraId="007483DC" w14:textId="5961525C"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0.03</w:t>
            </w:r>
          </w:p>
        </w:tc>
        <w:tc>
          <w:tcPr>
            <w:tcW w:w="695" w:type="dxa"/>
            <w:noWrap/>
            <w:vAlign w:val="center"/>
            <w:hideMark/>
          </w:tcPr>
          <w:p w14:paraId="10F32FE5" w14:textId="77777777" w:rsidR="00040D6E" w:rsidRPr="00933755" w:rsidRDefault="00040D6E" w:rsidP="00040D6E">
            <w:pPr>
              <w:pStyle w:val="tabletextleft"/>
              <w:spacing w:before="60" w:after="60"/>
              <w:jc w:val="right"/>
              <w:rPr>
                <w:rFonts w:asciiTheme="minorHAnsi" w:hAnsiTheme="minorHAnsi" w:cstheme="minorHAnsi"/>
                <w:szCs w:val="18"/>
              </w:rPr>
            </w:pPr>
            <w:r w:rsidRPr="00933755">
              <w:rPr>
                <w:rFonts w:asciiTheme="minorHAnsi" w:hAnsiTheme="minorHAnsi" w:cstheme="minorHAnsi"/>
                <w:szCs w:val="18"/>
              </w:rPr>
              <w:t> </w:t>
            </w:r>
          </w:p>
        </w:tc>
      </w:tr>
      <w:tr w:rsidR="00040D6E" w:rsidRPr="005B2032" w14:paraId="72A16BCF" w14:textId="77777777" w:rsidTr="00C2491D">
        <w:trPr>
          <w:trHeight w:val="112"/>
          <w:jc w:val="center"/>
        </w:trPr>
        <w:tc>
          <w:tcPr>
            <w:tcW w:w="2894" w:type="dxa"/>
            <w:noWrap/>
            <w:hideMark/>
          </w:tcPr>
          <w:p w14:paraId="5F02DD77" w14:textId="77777777" w:rsidR="00040D6E" w:rsidRPr="005B2032" w:rsidRDefault="00040D6E" w:rsidP="00040D6E">
            <w:pPr>
              <w:pStyle w:val="tabletextleft"/>
              <w:spacing w:before="60" w:after="60"/>
              <w:rPr>
                <w:rFonts w:asciiTheme="minorHAnsi" w:hAnsiTheme="minorHAnsi" w:cstheme="minorHAnsi"/>
              </w:rPr>
            </w:pPr>
            <w:r w:rsidRPr="005B2032">
              <w:rPr>
                <w:rFonts w:asciiTheme="minorHAnsi" w:hAnsiTheme="minorHAnsi" w:cstheme="minorHAnsi"/>
              </w:rPr>
              <w:t>Социални трансфери D.62+D.632</w:t>
            </w:r>
          </w:p>
        </w:tc>
        <w:tc>
          <w:tcPr>
            <w:tcW w:w="745" w:type="dxa"/>
            <w:noWrap/>
            <w:vAlign w:val="center"/>
          </w:tcPr>
          <w:p w14:paraId="0BF711A0" w14:textId="490BCE23" w:rsidR="00040D6E" w:rsidRPr="005B2032" w:rsidRDefault="00040D6E" w:rsidP="00040D6E">
            <w:pPr>
              <w:pStyle w:val="tabletextleft"/>
              <w:spacing w:before="60" w:after="60"/>
              <w:jc w:val="right"/>
              <w:rPr>
                <w:rFonts w:asciiTheme="minorHAnsi" w:hAnsiTheme="minorHAnsi" w:cstheme="minorHAnsi"/>
              </w:rPr>
            </w:pPr>
          </w:p>
        </w:tc>
        <w:tc>
          <w:tcPr>
            <w:tcW w:w="695" w:type="dxa"/>
            <w:noWrap/>
            <w:vAlign w:val="center"/>
          </w:tcPr>
          <w:p w14:paraId="206BD01D" w14:textId="05A1780E"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71" w:type="dxa"/>
            <w:noWrap/>
            <w:vAlign w:val="center"/>
          </w:tcPr>
          <w:p w14:paraId="631BA9B9" w14:textId="1E876264"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1061" w:type="dxa"/>
            <w:noWrap/>
            <w:vAlign w:val="center"/>
          </w:tcPr>
          <w:p w14:paraId="374AF919" w14:textId="4AD65DBC"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1061" w:type="dxa"/>
            <w:noWrap/>
            <w:vAlign w:val="center"/>
          </w:tcPr>
          <w:p w14:paraId="5242F438" w14:textId="1CD6D31C"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42" w:type="dxa"/>
            <w:noWrap/>
            <w:vAlign w:val="center"/>
            <w:hideMark/>
          </w:tcPr>
          <w:p w14:paraId="6D9FF4C3" w14:textId="201AF290"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695" w:type="dxa"/>
            <w:noWrap/>
            <w:vAlign w:val="center"/>
            <w:hideMark/>
          </w:tcPr>
          <w:p w14:paraId="2C7DD6AD" w14:textId="77777777" w:rsidR="00040D6E" w:rsidRPr="00933755" w:rsidRDefault="00040D6E" w:rsidP="00040D6E">
            <w:pPr>
              <w:pStyle w:val="tabletextleft"/>
              <w:spacing w:before="60" w:after="60"/>
              <w:jc w:val="right"/>
              <w:rPr>
                <w:rFonts w:asciiTheme="minorHAnsi" w:hAnsiTheme="minorHAnsi" w:cstheme="minorHAnsi"/>
                <w:szCs w:val="18"/>
              </w:rPr>
            </w:pPr>
            <w:r w:rsidRPr="00933755">
              <w:rPr>
                <w:rFonts w:asciiTheme="minorHAnsi" w:hAnsiTheme="minorHAnsi" w:cstheme="minorHAnsi"/>
                <w:szCs w:val="18"/>
              </w:rPr>
              <w:t> </w:t>
            </w:r>
          </w:p>
        </w:tc>
      </w:tr>
      <w:tr w:rsidR="00040D6E" w:rsidRPr="005B2032" w14:paraId="4231C5AA" w14:textId="77777777" w:rsidTr="00C2491D">
        <w:trPr>
          <w:trHeight w:val="112"/>
          <w:jc w:val="center"/>
        </w:trPr>
        <w:tc>
          <w:tcPr>
            <w:tcW w:w="2894" w:type="dxa"/>
            <w:noWrap/>
            <w:hideMark/>
          </w:tcPr>
          <w:p w14:paraId="35B1D08C" w14:textId="77777777" w:rsidR="00040D6E" w:rsidRPr="005B2032" w:rsidRDefault="00040D6E" w:rsidP="00040D6E">
            <w:pPr>
              <w:pStyle w:val="tabletextleft"/>
              <w:spacing w:before="60" w:after="60"/>
              <w:rPr>
                <w:rFonts w:asciiTheme="minorHAnsi" w:hAnsiTheme="minorHAnsi" w:cstheme="minorHAnsi"/>
              </w:rPr>
            </w:pPr>
            <w:r w:rsidRPr="005B2032">
              <w:rPr>
                <w:rFonts w:asciiTheme="minorHAnsi" w:hAnsiTheme="minorHAnsi" w:cstheme="minorHAnsi"/>
              </w:rPr>
              <w:t>Лихвени разходи D.41</w:t>
            </w:r>
          </w:p>
        </w:tc>
        <w:tc>
          <w:tcPr>
            <w:tcW w:w="745" w:type="dxa"/>
            <w:noWrap/>
            <w:vAlign w:val="center"/>
          </w:tcPr>
          <w:p w14:paraId="019A5784" w14:textId="5BBE9893" w:rsidR="00040D6E" w:rsidRPr="005B2032" w:rsidRDefault="00040D6E" w:rsidP="00040D6E">
            <w:pPr>
              <w:pStyle w:val="tabletextleft"/>
              <w:spacing w:before="60" w:after="60"/>
              <w:jc w:val="right"/>
              <w:rPr>
                <w:rFonts w:asciiTheme="minorHAnsi" w:hAnsiTheme="minorHAnsi" w:cstheme="minorHAnsi"/>
              </w:rPr>
            </w:pPr>
          </w:p>
        </w:tc>
        <w:tc>
          <w:tcPr>
            <w:tcW w:w="695" w:type="dxa"/>
            <w:noWrap/>
            <w:vAlign w:val="center"/>
          </w:tcPr>
          <w:p w14:paraId="191C0F77" w14:textId="44D83A2E"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71" w:type="dxa"/>
            <w:noWrap/>
            <w:vAlign w:val="center"/>
          </w:tcPr>
          <w:p w14:paraId="6489F7A9" w14:textId="363CD592"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1061" w:type="dxa"/>
            <w:noWrap/>
            <w:vAlign w:val="center"/>
          </w:tcPr>
          <w:p w14:paraId="1BEEF2EA" w14:textId="56DA1A3B"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1061" w:type="dxa"/>
            <w:noWrap/>
            <w:vAlign w:val="center"/>
          </w:tcPr>
          <w:p w14:paraId="38E9B501" w14:textId="082D1B42"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42" w:type="dxa"/>
            <w:noWrap/>
            <w:vAlign w:val="center"/>
            <w:hideMark/>
          </w:tcPr>
          <w:p w14:paraId="78D1B177" w14:textId="2C1BAA89"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695" w:type="dxa"/>
            <w:noWrap/>
            <w:vAlign w:val="center"/>
            <w:hideMark/>
          </w:tcPr>
          <w:p w14:paraId="1F9214B9" w14:textId="77777777" w:rsidR="00040D6E" w:rsidRPr="00933755" w:rsidRDefault="00040D6E" w:rsidP="00040D6E">
            <w:pPr>
              <w:pStyle w:val="tabletextleft"/>
              <w:spacing w:before="60" w:after="60"/>
              <w:jc w:val="right"/>
              <w:rPr>
                <w:rFonts w:asciiTheme="minorHAnsi" w:hAnsiTheme="minorHAnsi" w:cstheme="minorHAnsi"/>
                <w:szCs w:val="18"/>
              </w:rPr>
            </w:pPr>
            <w:r w:rsidRPr="00933755">
              <w:rPr>
                <w:rFonts w:asciiTheme="minorHAnsi" w:hAnsiTheme="minorHAnsi" w:cstheme="minorHAnsi"/>
                <w:szCs w:val="18"/>
              </w:rPr>
              <w:t> </w:t>
            </w:r>
          </w:p>
        </w:tc>
      </w:tr>
      <w:tr w:rsidR="00040D6E" w:rsidRPr="005B2032" w14:paraId="4B76273D" w14:textId="77777777" w:rsidTr="00C2491D">
        <w:trPr>
          <w:trHeight w:val="112"/>
          <w:jc w:val="center"/>
        </w:trPr>
        <w:tc>
          <w:tcPr>
            <w:tcW w:w="2894" w:type="dxa"/>
            <w:noWrap/>
            <w:hideMark/>
          </w:tcPr>
          <w:p w14:paraId="0A78D70A" w14:textId="77777777" w:rsidR="00040D6E" w:rsidRPr="005B2032" w:rsidRDefault="00040D6E" w:rsidP="00040D6E">
            <w:pPr>
              <w:pStyle w:val="tabletextleft"/>
              <w:spacing w:before="60" w:after="60"/>
              <w:rPr>
                <w:rFonts w:asciiTheme="minorHAnsi" w:hAnsiTheme="minorHAnsi" w:cstheme="minorHAnsi"/>
              </w:rPr>
            </w:pPr>
            <w:r w:rsidRPr="005B2032">
              <w:rPr>
                <w:rFonts w:asciiTheme="minorHAnsi" w:hAnsiTheme="minorHAnsi" w:cstheme="minorHAnsi"/>
              </w:rPr>
              <w:t>Субсидии D.3</w:t>
            </w:r>
          </w:p>
        </w:tc>
        <w:tc>
          <w:tcPr>
            <w:tcW w:w="745" w:type="dxa"/>
            <w:noWrap/>
            <w:vAlign w:val="center"/>
          </w:tcPr>
          <w:p w14:paraId="58DE4AA9" w14:textId="18819BC1" w:rsidR="00040D6E" w:rsidRPr="005B2032" w:rsidRDefault="00040D6E" w:rsidP="00040D6E">
            <w:pPr>
              <w:pStyle w:val="tabletextleft"/>
              <w:spacing w:before="60" w:after="60"/>
              <w:jc w:val="right"/>
              <w:rPr>
                <w:rFonts w:asciiTheme="minorHAnsi" w:hAnsiTheme="minorHAnsi" w:cstheme="minorHAnsi"/>
              </w:rPr>
            </w:pPr>
          </w:p>
        </w:tc>
        <w:tc>
          <w:tcPr>
            <w:tcW w:w="695" w:type="dxa"/>
            <w:noWrap/>
            <w:vAlign w:val="center"/>
          </w:tcPr>
          <w:p w14:paraId="62E31FCA" w14:textId="3C6A1646"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71" w:type="dxa"/>
            <w:noWrap/>
            <w:vAlign w:val="center"/>
          </w:tcPr>
          <w:p w14:paraId="3E4785E3" w14:textId="4CE5405D"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1061" w:type="dxa"/>
            <w:noWrap/>
            <w:vAlign w:val="center"/>
          </w:tcPr>
          <w:p w14:paraId="58E838D2" w14:textId="11E30DD3"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1061" w:type="dxa"/>
            <w:noWrap/>
            <w:vAlign w:val="center"/>
          </w:tcPr>
          <w:p w14:paraId="5FD8A495" w14:textId="4E96098E"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42" w:type="dxa"/>
            <w:noWrap/>
            <w:vAlign w:val="center"/>
            <w:hideMark/>
          </w:tcPr>
          <w:p w14:paraId="152ECF3C" w14:textId="36B2F715"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695" w:type="dxa"/>
            <w:noWrap/>
            <w:vAlign w:val="center"/>
            <w:hideMark/>
          </w:tcPr>
          <w:p w14:paraId="3FD0E1E0" w14:textId="77777777" w:rsidR="00040D6E" w:rsidRPr="00933755" w:rsidRDefault="00040D6E" w:rsidP="00040D6E">
            <w:pPr>
              <w:pStyle w:val="tabletextleft"/>
              <w:spacing w:before="60" w:after="60"/>
              <w:jc w:val="right"/>
              <w:rPr>
                <w:rFonts w:asciiTheme="minorHAnsi" w:hAnsiTheme="minorHAnsi" w:cstheme="minorHAnsi"/>
                <w:szCs w:val="18"/>
              </w:rPr>
            </w:pPr>
            <w:r w:rsidRPr="00933755">
              <w:rPr>
                <w:rFonts w:asciiTheme="minorHAnsi" w:hAnsiTheme="minorHAnsi" w:cstheme="minorHAnsi"/>
                <w:szCs w:val="18"/>
              </w:rPr>
              <w:t> </w:t>
            </w:r>
          </w:p>
        </w:tc>
      </w:tr>
      <w:tr w:rsidR="00040D6E" w:rsidRPr="005B2032" w14:paraId="7F243D59" w14:textId="77777777" w:rsidTr="00C2491D">
        <w:trPr>
          <w:trHeight w:val="112"/>
          <w:jc w:val="center"/>
        </w:trPr>
        <w:tc>
          <w:tcPr>
            <w:tcW w:w="2894" w:type="dxa"/>
            <w:noWrap/>
            <w:hideMark/>
          </w:tcPr>
          <w:p w14:paraId="0ECC3956" w14:textId="77777777" w:rsidR="00040D6E" w:rsidRPr="005B2032" w:rsidRDefault="00040D6E" w:rsidP="00040D6E">
            <w:pPr>
              <w:pStyle w:val="tabletextleft"/>
              <w:spacing w:before="60" w:after="60"/>
              <w:rPr>
                <w:rFonts w:asciiTheme="minorHAnsi" w:hAnsiTheme="minorHAnsi" w:cstheme="minorHAnsi"/>
              </w:rPr>
            </w:pPr>
            <w:r w:rsidRPr="005B2032">
              <w:rPr>
                <w:rFonts w:asciiTheme="minorHAnsi" w:hAnsiTheme="minorHAnsi" w:cstheme="minorHAnsi"/>
              </w:rPr>
              <w:t>Текущи трансфери D.7</w:t>
            </w:r>
          </w:p>
        </w:tc>
        <w:tc>
          <w:tcPr>
            <w:tcW w:w="745" w:type="dxa"/>
            <w:noWrap/>
            <w:vAlign w:val="center"/>
          </w:tcPr>
          <w:p w14:paraId="4BC05A7A" w14:textId="753E52C5" w:rsidR="00040D6E" w:rsidRPr="005B2032" w:rsidRDefault="00040D6E" w:rsidP="00040D6E">
            <w:pPr>
              <w:pStyle w:val="tabletextleft"/>
              <w:spacing w:before="60" w:after="60"/>
              <w:jc w:val="right"/>
              <w:rPr>
                <w:rFonts w:asciiTheme="minorHAnsi" w:hAnsiTheme="minorHAnsi" w:cstheme="minorHAnsi"/>
              </w:rPr>
            </w:pPr>
          </w:p>
        </w:tc>
        <w:tc>
          <w:tcPr>
            <w:tcW w:w="695" w:type="dxa"/>
            <w:noWrap/>
            <w:vAlign w:val="center"/>
          </w:tcPr>
          <w:p w14:paraId="2D5BEA0A" w14:textId="0ABDA6FD" w:rsidR="00040D6E" w:rsidRPr="00040D6E" w:rsidRDefault="00040D6E" w:rsidP="00040D6E">
            <w:pPr>
              <w:pStyle w:val="tabletextleft"/>
              <w:spacing w:before="60" w:after="60"/>
              <w:jc w:val="right"/>
              <w:rPr>
                <w:rFonts w:asciiTheme="minorHAnsi" w:hAnsiTheme="minorHAnsi" w:cstheme="minorHAnsi"/>
                <w:color w:val="000000"/>
                <w:szCs w:val="18"/>
              </w:rPr>
            </w:pPr>
            <w:r w:rsidRPr="00040D6E">
              <w:rPr>
                <w:rFonts w:asciiTheme="minorHAnsi" w:hAnsiTheme="minorHAnsi" w:cstheme="minorHAnsi"/>
                <w:color w:val="000000"/>
                <w:szCs w:val="18"/>
              </w:rPr>
              <w:t> </w:t>
            </w:r>
          </w:p>
        </w:tc>
        <w:tc>
          <w:tcPr>
            <w:tcW w:w="971" w:type="dxa"/>
            <w:noWrap/>
            <w:vAlign w:val="center"/>
          </w:tcPr>
          <w:p w14:paraId="3A2E54CE" w14:textId="397BA04A" w:rsidR="00040D6E" w:rsidRPr="00040D6E" w:rsidRDefault="00040D6E" w:rsidP="00040D6E">
            <w:pPr>
              <w:pStyle w:val="tabletextleft"/>
              <w:spacing w:before="60" w:after="60"/>
              <w:jc w:val="right"/>
              <w:rPr>
                <w:rFonts w:asciiTheme="minorHAnsi" w:hAnsiTheme="minorHAnsi" w:cstheme="minorHAnsi"/>
                <w:color w:val="000000"/>
                <w:szCs w:val="18"/>
              </w:rPr>
            </w:pPr>
          </w:p>
        </w:tc>
        <w:tc>
          <w:tcPr>
            <w:tcW w:w="1061" w:type="dxa"/>
            <w:noWrap/>
            <w:vAlign w:val="center"/>
          </w:tcPr>
          <w:p w14:paraId="1E782E24" w14:textId="18636DE5" w:rsidR="00040D6E" w:rsidRPr="00040D6E" w:rsidRDefault="00040D6E" w:rsidP="00040D6E">
            <w:pPr>
              <w:pStyle w:val="tabletextleft"/>
              <w:spacing w:before="60" w:after="60"/>
              <w:jc w:val="right"/>
              <w:rPr>
                <w:rFonts w:asciiTheme="minorHAnsi" w:hAnsiTheme="minorHAnsi" w:cstheme="minorHAnsi"/>
                <w:color w:val="000000"/>
                <w:szCs w:val="18"/>
              </w:rPr>
            </w:pPr>
          </w:p>
        </w:tc>
        <w:tc>
          <w:tcPr>
            <w:tcW w:w="1061" w:type="dxa"/>
            <w:noWrap/>
            <w:vAlign w:val="center"/>
          </w:tcPr>
          <w:p w14:paraId="038EE39D" w14:textId="4FAF6FDE" w:rsidR="00040D6E" w:rsidRPr="00040D6E" w:rsidRDefault="00040D6E" w:rsidP="00040D6E">
            <w:pPr>
              <w:pStyle w:val="tabletextleft"/>
              <w:spacing w:before="60" w:after="60"/>
              <w:jc w:val="right"/>
              <w:rPr>
                <w:rFonts w:asciiTheme="minorHAnsi" w:hAnsiTheme="minorHAnsi" w:cstheme="minorHAnsi"/>
                <w:color w:val="000000"/>
                <w:szCs w:val="18"/>
              </w:rPr>
            </w:pPr>
          </w:p>
        </w:tc>
        <w:tc>
          <w:tcPr>
            <w:tcW w:w="942" w:type="dxa"/>
            <w:noWrap/>
            <w:vAlign w:val="center"/>
          </w:tcPr>
          <w:p w14:paraId="1BBEAAEB" w14:textId="76EF26C6" w:rsidR="00040D6E" w:rsidRPr="00040D6E" w:rsidRDefault="00040D6E" w:rsidP="00040D6E">
            <w:pPr>
              <w:pStyle w:val="tabletextleft"/>
              <w:spacing w:before="60" w:after="60"/>
              <w:jc w:val="right"/>
              <w:rPr>
                <w:rFonts w:asciiTheme="minorHAnsi" w:hAnsiTheme="minorHAnsi" w:cstheme="minorHAnsi"/>
                <w:color w:val="000000"/>
                <w:szCs w:val="18"/>
              </w:rPr>
            </w:pPr>
          </w:p>
        </w:tc>
        <w:tc>
          <w:tcPr>
            <w:tcW w:w="695" w:type="dxa"/>
            <w:noWrap/>
            <w:vAlign w:val="center"/>
            <w:hideMark/>
          </w:tcPr>
          <w:p w14:paraId="7CAFCBA4" w14:textId="77777777" w:rsidR="00040D6E" w:rsidRPr="00933755" w:rsidRDefault="00040D6E" w:rsidP="00040D6E">
            <w:pPr>
              <w:pStyle w:val="tabletextleft"/>
              <w:spacing w:before="60" w:after="60"/>
              <w:jc w:val="right"/>
              <w:rPr>
                <w:rFonts w:asciiTheme="minorHAnsi" w:hAnsiTheme="minorHAnsi" w:cstheme="minorHAnsi"/>
                <w:szCs w:val="18"/>
              </w:rPr>
            </w:pPr>
            <w:r w:rsidRPr="00933755">
              <w:rPr>
                <w:rFonts w:asciiTheme="minorHAnsi" w:hAnsiTheme="minorHAnsi" w:cstheme="minorHAnsi"/>
                <w:szCs w:val="18"/>
              </w:rPr>
              <w:t> </w:t>
            </w:r>
          </w:p>
        </w:tc>
      </w:tr>
      <w:tr w:rsidR="00A407C5" w:rsidRPr="005B2032" w14:paraId="42BE0CFA" w14:textId="77777777" w:rsidTr="00C2491D">
        <w:trPr>
          <w:trHeight w:val="112"/>
          <w:jc w:val="center"/>
        </w:trPr>
        <w:tc>
          <w:tcPr>
            <w:tcW w:w="2894" w:type="dxa"/>
            <w:noWrap/>
            <w:hideMark/>
          </w:tcPr>
          <w:p w14:paraId="2C527964" w14:textId="77777777" w:rsidR="00A407C5" w:rsidRPr="005B2032" w:rsidRDefault="00A407C5" w:rsidP="00A407C5">
            <w:pPr>
              <w:pStyle w:val="tabletextleft"/>
              <w:spacing w:before="60" w:after="60"/>
              <w:rPr>
                <w:rFonts w:asciiTheme="minorHAnsi" w:hAnsiTheme="minorHAnsi" w:cstheme="minorHAnsi"/>
                <w:b/>
              </w:rPr>
            </w:pPr>
            <w:r w:rsidRPr="005B2032">
              <w:rPr>
                <w:rFonts w:asciiTheme="minorHAnsi" w:hAnsiTheme="minorHAnsi" w:cstheme="minorHAnsi"/>
                <w:b/>
              </w:rPr>
              <w:t xml:space="preserve">Общо текущи разходи </w:t>
            </w:r>
          </w:p>
        </w:tc>
        <w:tc>
          <w:tcPr>
            <w:tcW w:w="745" w:type="dxa"/>
            <w:shd w:val="clear" w:color="auto" w:fill="auto"/>
            <w:noWrap/>
            <w:vAlign w:val="center"/>
          </w:tcPr>
          <w:p w14:paraId="7307C71E" w14:textId="363A5524" w:rsidR="00A407C5" w:rsidRPr="005B2032" w:rsidRDefault="00A407C5" w:rsidP="00A407C5">
            <w:pPr>
              <w:pStyle w:val="tabletextleft"/>
              <w:spacing w:before="60" w:after="60"/>
              <w:jc w:val="right"/>
              <w:rPr>
                <w:rFonts w:asciiTheme="minorHAnsi" w:hAnsiTheme="minorHAnsi" w:cstheme="minorHAnsi"/>
              </w:rPr>
            </w:pPr>
          </w:p>
        </w:tc>
        <w:tc>
          <w:tcPr>
            <w:tcW w:w="695" w:type="dxa"/>
            <w:shd w:val="clear" w:color="auto" w:fill="auto"/>
            <w:noWrap/>
            <w:vAlign w:val="center"/>
          </w:tcPr>
          <w:p w14:paraId="0C6EC948" w14:textId="4A74D52C"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971" w:type="dxa"/>
            <w:shd w:val="clear" w:color="auto" w:fill="auto"/>
            <w:noWrap/>
            <w:vAlign w:val="center"/>
          </w:tcPr>
          <w:p w14:paraId="112C7A8B" w14:textId="0811ACFE"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0</w:t>
            </w:r>
            <w:r>
              <w:rPr>
                <w:rFonts w:asciiTheme="minorHAnsi" w:hAnsiTheme="minorHAnsi" w:cstheme="minorHAnsi"/>
                <w:iCs/>
              </w:rPr>
              <w:t>.</w:t>
            </w:r>
            <w:r w:rsidRPr="007173C7">
              <w:rPr>
                <w:rFonts w:asciiTheme="minorHAnsi" w:hAnsiTheme="minorHAnsi" w:cstheme="minorHAnsi"/>
                <w:iCs/>
              </w:rPr>
              <w:t>00</w:t>
            </w:r>
          </w:p>
        </w:tc>
        <w:tc>
          <w:tcPr>
            <w:tcW w:w="1061" w:type="dxa"/>
            <w:shd w:val="clear" w:color="auto" w:fill="auto"/>
            <w:noWrap/>
            <w:vAlign w:val="center"/>
          </w:tcPr>
          <w:p w14:paraId="7265E07D" w14:textId="0DAA07BD"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0</w:t>
            </w:r>
            <w:r>
              <w:rPr>
                <w:rFonts w:asciiTheme="minorHAnsi" w:hAnsiTheme="minorHAnsi" w:cstheme="minorHAnsi"/>
                <w:iCs/>
              </w:rPr>
              <w:t>.</w:t>
            </w:r>
            <w:r w:rsidRPr="007173C7">
              <w:rPr>
                <w:rFonts w:asciiTheme="minorHAnsi" w:hAnsiTheme="minorHAnsi" w:cstheme="minorHAnsi"/>
                <w:iCs/>
              </w:rPr>
              <w:t>03</w:t>
            </w:r>
          </w:p>
        </w:tc>
        <w:tc>
          <w:tcPr>
            <w:tcW w:w="1061" w:type="dxa"/>
            <w:shd w:val="clear" w:color="auto" w:fill="auto"/>
            <w:noWrap/>
            <w:vAlign w:val="center"/>
          </w:tcPr>
          <w:p w14:paraId="49620BE1" w14:textId="52B2F9EE"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0</w:t>
            </w:r>
            <w:r>
              <w:rPr>
                <w:rFonts w:asciiTheme="minorHAnsi" w:hAnsiTheme="minorHAnsi" w:cstheme="minorHAnsi"/>
                <w:iCs/>
              </w:rPr>
              <w:t>.</w:t>
            </w:r>
            <w:r w:rsidRPr="007173C7">
              <w:rPr>
                <w:rFonts w:asciiTheme="minorHAnsi" w:hAnsiTheme="minorHAnsi" w:cstheme="minorHAnsi"/>
                <w:iCs/>
              </w:rPr>
              <w:t>03</w:t>
            </w:r>
          </w:p>
        </w:tc>
        <w:tc>
          <w:tcPr>
            <w:tcW w:w="942" w:type="dxa"/>
            <w:shd w:val="clear" w:color="auto" w:fill="auto"/>
            <w:noWrap/>
            <w:vAlign w:val="center"/>
          </w:tcPr>
          <w:p w14:paraId="516E82F1" w14:textId="21DC1F16"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0</w:t>
            </w:r>
            <w:r>
              <w:rPr>
                <w:rFonts w:asciiTheme="minorHAnsi" w:hAnsiTheme="minorHAnsi" w:cstheme="minorHAnsi"/>
                <w:iCs/>
              </w:rPr>
              <w:t>.</w:t>
            </w:r>
            <w:r w:rsidRPr="007173C7">
              <w:rPr>
                <w:rFonts w:asciiTheme="minorHAnsi" w:hAnsiTheme="minorHAnsi" w:cstheme="minorHAnsi"/>
                <w:iCs/>
              </w:rPr>
              <w:t>03</w:t>
            </w:r>
          </w:p>
        </w:tc>
        <w:tc>
          <w:tcPr>
            <w:tcW w:w="695" w:type="dxa"/>
            <w:shd w:val="clear" w:color="auto" w:fill="auto"/>
            <w:noWrap/>
            <w:vAlign w:val="center"/>
          </w:tcPr>
          <w:p w14:paraId="17A226FA" w14:textId="2B2A5A32" w:rsidR="00A407C5" w:rsidRPr="00933755" w:rsidRDefault="00A407C5" w:rsidP="00A407C5">
            <w:pPr>
              <w:pStyle w:val="tabletextleft"/>
              <w:spacing w:before="60" w:after="60"/>
              <w:jc w:val="both"/>
              <w:rPr>
                <w:rFonts w:asciiTheme="minorHAnsi" w:hAnsiTheme="minorHAnsi" w:cstheme="minorHAnsi"/>
                <w:i/>
                <w:iCs/>
                <w:szCs w:val="18"/>
              </w:rPr>
            </w:pPr>
          </w:p>
        </w:tc>
      </w:tr>
      <w:tr w:rsidR="00A407C5" w:rsidRPr="005B2032" w14:paraId="719F6E44" w14:textId="77777777" w:rsidTr="00C2491D">
        <w:trPr>
          <w:trHeight w:val="112"/>
          <w:jc w:val="center"/>
        </w:trPr>
        <w:tc>
          <w:tcPr>
            <w:tcW w:w="2894" w:type="dxa"/>
            <w:noWrap/>
            <w:hideMark/>
          </w:tcPr>
          <w:p w14:paraId="1004A997" w14:textId="0ED14CBA" w:rsidR="00A407C5" w:rsidRPr="005B2032" w:rsidRDefault="00A407C5" w:rsidP="00A407C5">
            <w:pPr>
              <w:pStyle w:val="tabletextleft"/>
              <w:spacing w:before="60" w:after="60"/>
              <w:rPr>
                <w:rFonts w:asciiTheme="minorHAnsi" w:hAnsiTheme="minorHAnsi" w:cstheme="minorHAnsi"/>
                <w:b/>
              </w:rPr>
            </w:pPr>
            <w:r w:rsidRPr="005B2032">
              <w:rPr>
                <w:rFonts w:asciiTheme="minorHAnsi" w:hAnsiTheme="minorHAnsi" w:cstheme="minorHAnsi"/>
                <w:b/>
              </w:rPr>
              <w:t xml:space="preserve">Бруто образуване на основен </w:t>
            </w:r>
            <w:r>
              <w:rPr>
                <w:rFonts w:asciiTheme="minorHAnsi" w:hAnsiTheme="minorHAnsi" w:cstheme="minorHAnsi"/>
                <w:b/>
              </w:rPr>
              <w:br/>
            </w:r>
            <w:r w:rsidRPr="005B2032">
              <w:rPr>
                <w:rFonts w:asciiTheme="minorHAnsi" w:hAnsiTheme="minorHAnsi" w:cstheme="minorHAnsi"/>
                <w:b/>
              </w:rPr>
              <w:t xml:space="preserve">капитал P.51g </w:t>
            </w:r>
          </w:p>
        </w:tc>
        <w:tc>
          <w:tcPr>
            <w:tcW w:w="745" w:type="dxa"/>
            <w:shd w:val="clear" w:color="auto" w:fill="auto"/>
            <w:noWrap/>
            <w:vAlign w:val="center"/>
          </w:tcPr>
          <w:p w14:paraId="1DEAC65F" w14:textId="1DB7B0B0" w:rsidR="00A407C5" w:rsidRPr="005B2032" w:rsidRDefault="00A407C5" w:rsidP="00A407C5">
            <w:pPr>
              <w:pStyle w:val="tabletextleft"/>
              <w:spacing w:before="60" w:after="60"/>
              <w:jc w:val="right"/>
              <w:rPr>
                <w:rFonts w:asciiTheme="minorHAnsi" w:hAnsiTheme="minorHAnsi" w:cstheme="minorHAnsi"/>
              </w:rPr>
            </w:pPr>
          </w:p>
        </w:tc>
        <w:tc>
          <w:tcPr>
            <w:tcW w:w="695" w:type="dxa"/>
            <w:shd w:val="clear" w:color="auto" w:fill="auto"/>
            <w:noWrap/>
            <w:vAlign w:val="center"/>
          </w:tcPr>
          <w:p w14:paraId="52C8ED0C" w14:textId="03FF9AFC"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971" w:type="dxa"/>
            <w:shd w:val="clear" w:color="auto" w:fill="auto"/>
            <w:noWrap/>
            <w:vAlign w:val="center"/>
          </w:tcPr>
          <w:p w14:paraId="013ACA97" w14:textId="3632F579"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0</w:t>
            </w:r>
            <w:r>
              <w:rPr>
                <w:rFonts w:asciiTheme="minorHAnsi" w:hAnsiTheme="minorHAnsi" w:cstheme="minorHAnsi"/>
                <w:iCs/>
              </w:rPr>
              <w:t>.</w:t>
            </w:r>
            <w:r w:rsidRPr="007173C7">
              <w:rPr>
                <w:rFonts w:asciiTheme="minorHAnsi" w:hAnsiTheme="minorHAnsi" w:cstheme="minorHAnsi"/>
                <w:iCs/>
              </w:rPr>
              <w:t>51</w:t>
            </w:r>
          </w:p>
        </w:tc>
        <w:tc>
          <w:tcPr>
            <w:tcW w:w="1061" w:type="dxa"/>
            <w:shd w:val="clear" w:color="auto" w:fill="auto"/>
            <w:noWrap/>
            <w:vAlign w:val="center"/>
          </w:tcPr>
          <w:p w14:paraId="477AC58B" w14:textId="25940596"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1</w:t>
            </w:r>
            <w:r>
              <w:rPr>
                <w:rFonts w:asciiTheme="minorHAnsi" w:hAnsiTheme="minorHAnsi" w:cstheme="minorHAnsi"/>
                <w:iCs/>
              </w:rPr>
              <w:t>.</w:t>
            </w:r>
            <w:r w:rsidRPr="007173C7">
              <w:rPr>
                <w:rFonts w:asciiTheme="minorHAnsi" w:hAnsiTheme="minorHAnsi" w:cstheme="minorHAnsi"/>
                <w:iCs/>
              </w:rPr>
              <w:t>28</w:t>
            </w:r>
          </w:p>
        </w:tc>
        <w:tc>
          <w:tcPr>
            <w:tcW w:w="1061" w:type="dxa"/>
            <w:shd w:val="clear" w:color="auto" w:fill="auto"/>
            <w:noWrap/>
            <w:vAlign w:val="center"/>
          </w:tcPr>
          <w:p w14:paraId="4BF9324C" w14:textId="4D7871CD"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1</w:t>
            </w:r>
            <w:r>
              <w:rPr>
                <w:rFonts w:asciiTheme="minorHAnsi" w:hAnsiTheme="minorHAnsi" w:cstheme="minorHAnsi"/>
                <w:iCs/>
              </w:rPr>
              <w:t>.</w:t>
            </w:r>
            <w:r w:rsidRPr="007173C7">
              <w:rPr>
                <w:rFonts w:asciiTheme="minorHAnsi" w:hAnsiTheme="minorHAnsi" w:cstheme="minorHAnsi"/>
                <w:iCs/>
              </w:rPr>
              <w:t>07</w:t>
            </w:r>
          </w:p>
        </w:tc>
        <w:tc>
          <w:tcPr>
            <w:tcW w:w="942" w:type="dxa"/>
            <w:shd w:val="clear" w:color="auto" w:fill="auto"/>
            <w:noWrap/>
            <w:vAlign w:val="center"/>
          </w:tcPr>
          <w:p w14:paraId="320B79E2" w14:textId="025C7EFE"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1</w:t>
            </w:r>
            <w:r>
              <w:rPr>
                <w:rFonts w:asciiTheme="minorHAnsi" w:hAnsiTheme="minorHAnsi" w:cstheme="minorHAnsi"/>
                <w:iCs/>
              </w:rPr>
              <w:t>.</w:t>
            </w:r>
            <w:r w:rsidRPr="007173C7">
              <w:rPr>
                <w:rFonts w:asciiTheme="minorHAnsi" w:hAnsiTheme="minorHAnsi" w:cstheme="minorHAnsi"/>
                <w:iCs/>
              </w:rPr>
              <w:t>01</w:t>
            </w:r>
          </w:p>
        </w:tc>
        <w:tc>
          <w:tcPr>
            <w:tcW w:w="695" w:type="dxa"/>
            <w:shd w:val="clear" w:color="auto" w:fill="auto"/>
            <w:noWrap/>
            <w:vAlign w:val="center"/>
          </w:tcPr>
          <w:p w14:paraId="7D4F98A2" w14:textId="1EB0E045" w:rsidR="00A407C5" w:rsidRPr="00933755" w:rsidRDefault="00A407C5" w:rsidP="00A407C5">
            <w:pPr>
              <w:pStyle w:val="tabletextleft"/>
              <w:spacing w:before="60" w:after="60"/>
              <w:jc w:val="both"/>
              <w:rPr>
                <w:rFonts w:asciiTheme="minorHAnsi" w:hAnsiTheme="minorHAnsi" w:cstheme="minorHAnsi"/>
                <w:i/>
                <w:iCs/>
                <w:szCs w:val="18"/>
              </w:rPr>
            </w:pPr>
          </w:p>
        </w:tc>
      </w:tr>
      <w:tr w:rsidR="00A407C5" w:rsidRPr="005B2032" w14:paraId="3DA356BE" w14:textId="77777777" w:rsidTr="00C2491D">
        <w:trPr>
          <w:trHeight w:val="112"/>
          <w:jc w:val="center"/>
        </w:trPr>
        <w:tc>
          <w:tcPr>
            <w:tcW w:w="2894" w:type="dxa"/>
            <w:noWrap/>
            <w:hideMark/>
          </w:tcPr>
          <w:p w14:paraId="0C562ACE" w14:textId="77777777" w:rsidR="00A407C5" w:rsidRPr="005B2032" w:rsidRDefault="00A407C5" w:rsidP="00A407C5">
            <w:pPr>
              <w:pStyle w:val="tabletextleft"/>
              <w:spacing w:before="60" w:after="60"/>
              <w:rPr>
                <w:rFonts w:asciiTheme="minorHAnsi" w:hAnsiTheme="minorHAnsi" w:cstheme="minorHAnsi"/>
                <w:b/>
              </w:rPr>
            </w:pPr>
            <w:r w:rsidRPr="005B2032">
              <w:rPr>
                <w:rFonts w:asciiTheme="minorHAnsi" w:hAnsiTheme="minorHAnsi" w:cstheme="minorHAnsi"/>
                <w:b/>
              </w:rPr>
              <w:t xml:space="preserve">Капиталови трансфери D.9 </w:t>
            </w:r>
          </w:p>
        </w:tc>
        <w:tc>
          <w:tcPr>
            <w:tcW w:w="745" w:type="dxa"/>
            <w:shd w:val="clear" w:color="auto" w:fill="auto"/>
            <w:noWrap/>
            <w:vAlign w:val="center"/>
          </w:tcPr>
          <w:p w14:paraId="60B4DD4D" w14:textId="4261B77E" w:rsidR="00A407C5" w:rsidRPr="005B2032" w:rsidRDefault="00A407C5" w:rsidP="00A407C5">
            <w:pPr>
              <w:pStyle w:val="tabletextleft"/>
              <w:spacing w:before="60" w:after="60"/>
              <w:jc w:val="right"/>
              <w:rPr>
                <w:rFonts w:asciiTheme="minorHAnsi" w:hAnsiTheme="minorHAnsi" w:cstheme="minorHAnsi"/>
              </w:rPr>
            </w:pPr>
          </w:p>
        </w:tc>
        <w:tc>
          <w:tcPr>
            <w:tcW w:w="695" w:type="dxa"/>
            <w:shd w:val="clear" w:color="auto" w:fill="auto"/>
            <w:noWrap/>
            <w:vAlign w:val="center"/>
          </w:tcPr>
          <w:p w14:paraId="159AC338" w14:textId="4108D8B6"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971" w:type="dxa"/>
            <w:shd w:val="clear" w:color="auto" w:fill="auto"/>
            <w:noWrap/>
            <w:vAlign w:val="center"/>
          </w:tcPr>
          <w:p w14:paraId="6D3FF290" w14:textId="64197E22"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1061" w:type="dxa"/>
            <w:shd w:val="clear" w:color="auto" w:fill="auto"/>
            <w:noWrap/>
            <w:vAlign w:val="center"/>
          </w:tcPr>
          <w:p w14:paraId="4949797F" w14:textId="1FCF05AD"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1061" w:type="dxa"/>
            <w:shd w:val="clear" w:color="auto" w:fill="auto"/>
            <w:noWrap/>
            <w:vAlign w:val="center"/>
          </w:tcPr>
          <w:p w14:paraId="22C6C84B" w14:textId="38BF593B"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942" w:type="dxa"/>
            <w:shd w:val="clear" w:color="auto" w:fill="auto"/>
            <w:noWrap/>
            <w:vAlign w:val="center"/>
          </w:tcPr>
          <w:p w14:paraId="3EFE9FD7" w14:textId="7FE96B1E"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695" w:type="dxa"/>
            <w:shd w:val="clear" w:color="auto" w:fill="auto"/>
            <w:noWrap/>
            <w:vAlign w:val="center"/>
          </w:tcPr>
          <w:p w14:paraId="4946D698" w14:textId="0540F584" w:rsidR="00A407C5" w:rsidRPr="00933755" w:rsidRDefault="00A407C5" w:rsidP="00A407C5">
            <w:pPr>
              <w:pStyle w:val="tabletextleft"/>
              <w:spacing w:before="60" w:after="60"/>
              <w:jc w:val="both"/>
              <w:rPr>
                <w:rFonts w:asciiTheme="minorHAnsi" w:hAnsiTheme="minorHAnsi" w:cstheme="minorHAnsi"/>
                <w:szCs w:val="18"/>
              </w:rPr>
            </w:pPr>
          </w:p>
        </w:tc>
      </w:tr>
      <w:tr w:rsidR="00A407C5" w:rsidRPr="005B2032" w14:paraId="4F78D203" w14:textId="77777777" w:rsidTr="00C2491D">
        <w:trPr>
          <w:trHeight w:val="112"/>
          <w:jc w:val="center"/>
        </w:trPr>
        <w:tc>
          <w:tcPr>
            <w:tcW w:w="2894" w:type="dxa"/>
            <w:noWrap/>
            <w:hideMark/>
          </w:tcPr>
          <w:p w14:paraId="3E43827A" w14:textId="77777777" w:rsidR="00A407C5" w:rsidRPr="005B2032" w:rsidRDefault="00A407C5" w:rsidP="00A407C5">
            <w:pPr>
              <w:pStyle w:val="tabletextleft"/>
              <w:spacing w:before="60" w:after="60"/>
              <w:rPr>
                <w:rFonts w:asciiTheme="minorHAnsi" w:hAnsiTheme="minorHAnsi" w:cstheme="minorHAnsi"/>
                <w:b/>
              </w:rPr>
            </w:pPr>
            <w:r w:rsidRPr="005B2032">
              <w:rPr>
                <w:rFonts w:asciiTheme="minorHAnsi" w:hAnsiTheme="minorHAnsi" w:cstheme="minorHAnsi"/>
                <w:b/>
              </w:rPr>
              <w:t xml:space="preserve">Общо капиталови разходи </w:t>
            </w:r>
          </w:p>
        </w:tc>
        <w:tc>
          <w:tcPr>
            <w:tcW w:w="745" w:type="dxa"/>
            <w:shd w:val="clear" w:color="auto" w:fill="auto"/>
            <w:noWrap/>
            <w:vAlign w:val="center"/>
          </w:tcPr>
          <w:p w14:paraId="3EF158CA" w14:textId="2146C320" w:rsidR="00A407C5" w:rsidRPr="005B2032" w:rsidRDefault="00A407C5" w:rsidP="00A407C5">
            <w:pPr>
              <w:pStyle w:val="tabletextleft"/>
              <w:spacing w:before="60" w:after="60"/>
              <w:jc w:val="right"/>
              <w:rPr>
                <w:rFonts w:asciiTheme="minorHAnsi" w:hAnsiTheme="minorHAnsi" w:cstheme="minorHAnsi"/>
              </w:rPr>
            </w:pPr>
          </w:p>
        </w:tc>
        <w:tc>
          <w:tcPr>
            <w:tcW w:w="695" w:type="dxa"/>
            <w:shd w:val="clear" w:color="auto" w:fill="auto"/>
            <w:noWrap/>
            <w:vAlign w:val="center"/>
          </w:tcPr>
          <w:p w14:paraId="4BE80863" w14:textId="595DE3C3" w:rsidR="00A407C5" w:rsidRPr="00040D6E" w:rsidRDefault="00A407C5" w:rsidP="00A407C5">
            <w:pPr>
              <w:pStyle w:val="tabletextleft"/>
              <w:spacing w:before="60" w:after="60"/>
              <w:jc w:val="right"/>
              <w:rPr>
                <w:rFonts w:asciiTheme="minorHAnsi" w:hAnsiTheme="minorHAnsi" w:cstheme="minorHAnsi"/>
                <w:b/>
                <w:color w:val="000000"/>
                <w:szCs w:val="18"/>
              </w:rPr>
            </w:pPr>
          </w:p>
        </w:tc>
        <w:tc>
          <w:tcPr>
            <w:tcW w:w="971" w:type="dxa"/>
            <w:shd w:val="clear" w:color="auto" w:fill="auto"/>
            <w:noWrap/>
            <w:vAlign w:val="center"/>
          </w:tcPr>
          <w:p w14:paraId="1F9690FD" w14:textId="274560FC"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0</w:t>
            </w:r>
            <w:r>
              <w:rPr>
                <w:rFonts w:asciiTheme="minorHAnsi" w:hAnsiTheme="minorHAnsi" w:cstheme="minorHAnsi"/>
                <w:iCs/>
              </w:rPr>
              <w:t>.</w:t>
            </w:r>
            <w:r w:rsidRPr="007173C7">
              <w:rPr>
                <w:rFonts w:asciiTheme="minorHAnsi" w:hAnsiTheme="minorHAnsi" w:cstheme="minorHAnsi"/>
                <w:iCs/>
              </w:rPr>
              <w:t>51</w:t>
            </w:r>
          </w:p>
        </w:tc>
        <w:tc>
          <w:tcPr>
            <w:tcW w:w="1061" w:type="dxa"/>
            <w:shd w:val="clear" w:color="auto" w:fill="auto"/>
            <w:noWrap/>
            <w:vAlign w:val="center"/>
          </w:tcPr>
          <w:p w14:paraId="6E44F746" w14:textId="783BA640"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1</w:t>
            </w:r>
            <w:r>
              <w:rPr>
                <w:rFonts w:asciiTheme="minorHAnsi" w:hAnsiTheme="minorHAnsi" w:cstheme="minorHAnsi"/>
                <w:iCs/>
              </w:rPr>
              <w:t>.</w:t>
            </w:r>
            <w:r w:rsidRPr="007173C7">
              <w:rPr>
                <w:rFonts w:asciiTheme="minorHAnsi" w:hAnsiTheme="minorHAnsi" w:cstheme="minorHAnsi"/>
                <w:iCs/>
              </w:rPr>
              <w:t>28</w:t>
            </w:r>
          </w:p>
        </w:tc>
        <w:tc>
          <w:tcPr>
            <w:tcW w:w="1061" w:type="dxa"/>
            <w:shd w:val="clear" w:color="auto" w:fill="auto"/>
            <w:noWrap/>
            <w:vAlign w:val="center"/>
          </w:tcPr>
          <w:p w14:paraId="66CF2F90" w14:textId="356609A6"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1</w:t>
            </w:r>
            <w:r>
              <w:rPr>
                <w:rFonts w:asciiTheme="minorHAnsi" w:hAnsiTheme="minorHAnsi" w:cstheme="minorHAnsi"/>
                <w:iCs/>
              </w:rPr>
              <w:t>.</w:t>
            </w:r>
            <w:r w:rsidRPr="007173C7">
              <w:rPr>
                <w:rFonts w:asciiTheme="minorHAnsi" w:hAnsiTheme="minorHAnsi" w:cstheme="minorHAnsi"/>
                <w:iCs/>
              </w:rPr>
              <w:t>07</w:t>
            </w:r>
          </w:p>
        </w:tc>
        <w:tc>
          <w:tcPr>
            <w:tcW w:w="942" w:type="dxa"/>
            <w:shd w:val="clear" w:color="auto" w:fill="auto"/>
            <w:noWrap/>
            <w:vAlign w:val="center"/>
          </w:tcPr>
          <w:p w14:paraId="3560A053" w14:textId="31AB7B84" w:rsidR="00A407C5" w:rsidRPr="00040D6E" w:rsidRDefault="00A407C5" w:rsidP="00A407C5">
            <w:pPr>
              <w:pStyle w:val="tabletextleft"/>
              <w:spacing w:before="60" w:after="60"/>
              <w:jc w:val="right"/>
              <w:rPr>
                <w:rFonts w:asciiTheme="minorHAnsi" w:hAnsiTheme="minorHAnsi" w:cstheme="minorHAnsi"/>
                <w:b/>
                <w:color w:val="000000"/>
                <w:szCs w:val="18"/>
              </w:rPr>
            </w:pPr>
            <w:r w:rsidRPr="007173C7">
              <w:rPr>
                <w:rFonts w:asciiTheme="minorHAnsi" w:hAnsiTheme="minorHAnsi" w:cstheme="minorHAnsi"/>
                <w:iCs/>
              </w:rPr>
              <w:t>1</w:t>
            </w:r>
            <w:r>
              <w:rPr>
                <w:rFonts w:asciiTheme="minorHAnsi" w:hAnsiTheme="minorHAnsi" w:cstheme="minorHAnsi"/>
                <w:iCs/>
              </w:rPr>
              <w:t>.</w:t>
            </w:r>
            <w:r w:rsidRPr="007173C7">
              <w:rPr>
                <w:rFonts w:asciiTheme="minorHAnsi" w:hAnsiTheme="minorHAnsi" w:cstheme="minorHAnsi"/>
                <w:iCs/>
              </w:rPr>
              <w:t>01</w:t>
            </w:r>
          </w:p>
        </w:tc>
        <w:tc>
          <w:tcPr>
            <w:tcW w:w="695" w:type="dxa"/>
            <w:shd w:val="clear" w:color="auto" w:fill="auto"/>
            <w:noWrap/>
            <w:vAlign w:val="center"/>
          </w:tcPr>
          <w:p w14:paraId="56F3510A" w14:textId="35A8E4B4" w:rsidR="00A407C5" w:rsidRPr="00933755" w:rsidRDefault="00A407C5" w:rsidP="00A407C5">
            <w:pPr>
              <w:pStyle w:val="tabletextleft"/>
              <w:spacing w:before="60" w:after="60"/>
              <w:jc w:val="both"/>
              <w:rPr>
                <w:rFonts w:asciiTheme="minorHAnsi" w:hAnsiTheme="minorHAnsi" w:cstheme="minorHAnsi"/>
                <w:i/>
                <w:iCs/>
                <w:szCs w:val="18"/>
              </w:rPr>
            </w:pPr>
          </w:p>
        </w:tc>
      </w:tr>
      <w:tr w:rsidR="00A407C5" w:rsidRPr="005B2032" w14:paraId="2DD26A0B" w14:textId="77777777" w:rsidTr="00C2491D">
        <w:trPr>
          <w:trHeight w:val="241"/>
          <w:jc w:val="center"/>
        </w:trPr>
        <w:tc>
          <w:tcPr>
            <w:tcW w:w="9064" w:type="dxa"/>
            <w:gridSpan w:val="8"/>
            <w:noWrap/>
          </w:tcPr>
          <w:p w14:paraId="691D8DB6" w14:textId="77777777" w:rsidR="00A407C5" w:rsidRPr="005B2032" w:rsidRDefault="00A407C5" w:rsidP="00A407C5">
            <w:pPr>
              <w:pStyle w:val="tabletextleft"/>
              <w:spacing w:before="60" w:after="60"/>
              <w:rPr>
                <w:rFonts w:asciiTheme="minorHAnsi" w:hAnsiTheme="minorHAnsi" w:cstheme="minorHAnsi"/>
                <w:i/>
                <w:iCs/>
              </w:rPr>
            </w:pPr>
          </w:p>
        </w:tc>
      </w:tr>
      <w:tr w:rsidR="00A407C5" w:rsidRPr="005B2032" w14:paraId="7A2A954E" w14:textId="77777777" w:rsidTr="00C2491D">
        <w:trPr>
          <w:trHeight w:val="140"/>
          <w:jc w:val="center"/>
        </w:trPr>
        <w:tc>
          <w:tcPr>
            <w:tcW w:w="9064" w:type="dxa"/>
            <w:gridSpan w:val="8"/>
            <w:shd w:val="clear" w:color="auto" w:fill="D7D4F1"/>
            <w:noWrap/>
            <w:hideMark/>
          </w:tcPr>
          <w:p w14:paraId="7C3AE330" w14:textId="16615D2B" w:rsidR="00A407C5" w:rsidRPr="005B2032" w:rsidRDefault="00A407C5" w:rsidP="00A407C5">
            <w:pPr>
              <w:pStyle w:val="tabletextleft"/>
              <w:spacing w:before="60" w:after="60"/>
              <w:rPr>
                <w:rFonts w:asciiTheme="minorHAnsi" w:hAnsiTheme="minorHAnsi" w:cstheme="minorHAnsi"/>
                <w:b/>
              </w:rPr>
            </w:pPr>
            <w:r w:rsidRPr="005B2032">
              <w:rPr>
                <w:rFonts w:asciiTheme="minorHAnsi" w:hAnsiTheme="minorHAnsi" w:cstheme="minorHAnsi"/>
                <w:b/>
              </w:rPr>
              <w:t>Други разходи, финансирани чрез МВУ грантове (% от БВП)</w:t>
            </w:r>
            <w:r w:rsidRPr="005B2032">
              <w:rPr>
                <w:rFonts w:asciiTheme="minorHAnsi" w:hAnsiTheme="minorHAnsi" w:cstheme="minorHAnsi"/>
                <w:b/>
                <w:vertAlign w:val="superscript"/>
              </w:rPr>
              <w:t xml:space="preserve"> </w:t>
            </w:r>
            <w:r>
              <w:rPr>
                <w:rFonts w:asciiTheme="minorHAnsi" w:hAnsiTheme="minorHAnsi" w:cstheme="minorHAnsi"/>
                <w:b/>
                <w:vertAlign w:val="superscript"/>
              </w:rPr>
              <w:t>*</w:t>
            </w:r>
            <w:r w:rsidRPr="005B2032">
              <w:rPr>
                <w:rFonts w:asciiTheme="minorHAnsi" w:hAnsiTheme="minorHAnsi" w:cstheme="minorHAnsi"/>
                <w:b/>
                <w:vertAlign w:val="superscript"/>
              </w:rPr>
              <w:t xml:space="preserve"> </w:t>
            </w:r>
          </w:p>
        </w:tc>
      </w:tr>
      <w:tr w:rsidR="00A407C5" w:rsidRPr="005B2032" w14:paraId="27088CD2" w14:textId="77777777" w:rsidTr="00C2491D">
        <w:trPr>
          <w:trHeight w:val="112"/>
          <w:jc w:val="center"/>
        </w:trPr>
        <w:tc>
          <w:tcPr>
            <w:tcW w:w="2894" w:type="dxa"/>
            <w:shd w:val="clear" w:color="auto" w:fill="D7D4F1"/>
            <w:noWrap/>
            <w:hideMark/>
          </w:tcPr>
          <w:p w14:paraId="4EAECEB1" w14:textId="77777777" w:rsidR="00A407C5" w:rsidRPr="005B2032" w:rsidRDefault="00A407C5" w:rsidP="00A407C5">
            <w:pPr>
              <w:pStyle w:val="tabletextleft"/>
              <w:spacing w:before="60" w:after="60"/>
              <w:rPr>
                <w:rFonts w:asciiTheme="minorHAnsi" w:hAnsiTheme="minorHAnsi" w:cstheme="minorHAnsi"/>
                <w:b/>
                <w:i/>
                <w:iCs/>
              </w:rPr>
            </w:pPr>
            <w:r w:rsidRPr="005B2032">
              <w:rPr>
                <w:rFonts w:asciiTheme="minorHAnsi" w:hAnsiTheme="minorHAnsi" w:cstheme="minorHAnsi"/>
                <w:b/>
                <w:i/>
                <w:iCs/>
              </w:rPr>
              <w:t> </w:t>
            </w:r>
          </w:p>
        </w:tc>
        <w:tc>
          <w:tcPr>
            <w:tcW w:w="745" w:type="dxa"/>
            <w:shd w:val="clear" w:color="auto" w:fill="D7D4F1"/>
            <w:noWrap/>
            <w:vAlign w:val="center"/>
            <w:hideMark/>
          </w:tcPr>
          <w:p w14:paraId="233C31CC"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2020</w:t>
            </w:r>
          </w:p>
        </w:tc>
        <w:tc>
          <w:tcPr>
            <w:tcW w:w="695" w:type="dxa"/>
            <w:shd w:val="clear" w:color="auto" w:fill="D7D4F1"/>
            <w:noWrap/>
            <w:vAlign w:val="center"/>
            <w:hideMark/>
          </w:tcPr>
          <w:p w14:paraId="574F1C40"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2021</w:t>
            </w:r>
          </w:p>
        </w:tc>
        <w:tc>
          <w:tcPr>
            <w:tcW w:w="971" w:type="dxa"/>
            <w:shd w:val="clear" w:color="auto" w:fill="D7D4F1"/>
            <w:noWrap/>
            <w:vAlign w:val="center"/>
            <w:hideMark/>
          </w:tcPr>
          <w:p w14:paraId="10FBA57C"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2022</w:t>
            </w:r>
          </w:p>
        </w:tc>
        <w:tc>
          <w:tcPr>
            <w:tcW w:w="1061" w:type="dxa"/>
            <w:shd w:val="clear" w:color="auto" w:fill="D7D4F1"/>
            <w:noWrap/>
            <w:vAlign w:val="center"/>
            <w:hideMark/>
          </w:tcPr>
          <w:p w14:paraId="21083E8C"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2023</w:t>
            </w:r>
          </w:p>
        </w:tc>
        <w:tc>
          <w:tcPr>
            <w:tcW w:w="1061" w:type="dxa"/>
            <w:shd w:val="clear" w:color="auto" w:fill="D7D4F1"/>
            <w:noWrap/>
            <w:vAlign w:val="center"/>
            <w:hideMark/>
          </w:tcPr>
          <w:p w14:paraId="545432B0"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2024</w:t>
            </w:r>
          </w:p>
        </w:tc>
        <w:tc>
          <w:tcPr>
            <w:tcW w:w="942" w:type="dxa"/>
            <w:shd w:val="clear" w:color="auto" w:fill="D7D4F1"/>
            <w:noWrap/>
            <w:vAlign w:val="center"/>
            <w:hideMark/>
          </w:tcPr>
          <w:p w14:paraId="3D295BC2"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2025</w:t>
            </w:r>
          </w:p>
        </w:tc>
        <w:tc>
          <w:tcPr>
            <w:tcW w:w="695" w:type="dxa"/>
            <w:shd w:val="clear" w:color="auto" w:fill="D7D4F1"/>
            <w:noWrap/>
            <w:vAlign w:val="center"/>
            <w:hideMark/>
          </w:tcPr>
          <w:p w14:paraId="76B208CD" w14:textId="77777777" w:rsidR="00A407C5" w:rsidRPr="005B2032" w:rsidRDefault="00A407C5" w:rsidP="00A407C5">
            <w:pPr>
              <w:pStyle w:val="tabletextleft"/>
              <w:spacing w:before="60" w:after="60"/>
              <w:jc w:val="right"/>
              <w:rPr>
                <w:rFonts w:asciiTheme="minorHAnsi" w:hAnsiTheme="minorHAnsi" w:cstheme="minorHAnsi"/>
                <w:b/>
              </w:rPr>
            </w:pPr>
            <w:r w:rsidRPr="005B2032">
              <w:rPr>
                <w:rFonts w:asciiTheme="minorHAnsi" w:hAnsiTheme="minorHAnsi" w:cstheme="minorHAnsi"/>
                <w:b/>
              </w:rPr>
              <w:t>2026</w:t>
            </w:r>
          </w:p>
        </w:tc>
      </w:tr>
      <w:tr w:rsidR="00A407C5" w:rsidRPr="005B2032" w14:paraId="2583E5AB" w14:textId="77777777" w:rsidTr="00C2491D">
        <w:trPr>
          <w:trHeight w:val="112"/>
          <w:jc w:val="center"/>
        </w:trPr>
        <w:tc>
          <w:tcPr>
            <w:tcW w:w="2894" w:type="dxa"/>
            <w:noWrap/>
            <w:hideMark/>
          </w:tcPr>
          <w:p w14:paraId="0E0F20F2" w14:textId="77777777" w:rsidR="00A407C5" w:rsidRPr="005B2032" w:rsidRDefault="00A407C5" w:rsidP="00A407C5">
            <w:pPr>
              <w:pStyle w:val="tabletextleft"/>
              <w:spacing w:before="60" w:after="60"/>
              <w:rPr>
                <w:rFonts w:asciiTheme="minorHAnsi" w:hAnsiTheme="minorHAnsi" w:cstheme="minorHAnsi"/>
              </w:rPr>
            </w:pPr>
            <w:r w:rsidRPr="005B2032">
              <w:rPr>
                <w:rFonts w:asciiTheme="minorHAnsi" w:hAnsiTheme="minorHAnsi" w:cstheme="minorHAnsi"/>
              </w:rPr>
              <w:t xml:space="preserve">Спад в данъчни приходи </w:t>
            </w:r>
          </w:p>
        </w:tc>
        <w:tc>
          <w:tcPr>
            <w:tcW w:w="745" w:type="dxa"/>
            <w:noWrap/>
            <w:vAlign w:val="center"/>
            <w:hideMark/>
          </w:tcPr>
          <w:p w14:paraId="756F906B"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695" w:type="dxa"/>
            <w:noWrap/>
            <w:vAlign w:val="center"/>
            <w:hideMark/>
          </w:tcPr>
          <w:p w14:paraId="54045507"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971" w:type="dxa"/>
            <w:noWrap/>
            <w:vAlign w:val="center"/>
            <w:hideMark/>
          </w:tcPr>
          <w:p w14:paraId="453EC6A2"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1061" w:type="dxa"/>
            <w:noWrap/>
            <w:vAlign w:val="center"/>
            <w:hideMark/>
          </w:tcPr>
          <w:p w14:paraId="14570D92"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1061" w:type="dxa"/>
            <w:noWrap/>
            <w:vAlign w:val="center"/>
            <w:hideMark/>
          </w:tcPr>
          <w:p w14:paraId="6AB04FE9"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942" w:type="dxa"/>
            <w:noWrap/>
            <w:vAlign w:val="center"/>
            <w:hideMark/>
          </w:tcPr>
          <w:p w14:paraId="08F68E7D"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695" w:type="dxa"/>
            <w:noWrap/>
            <w:vAlign w:val="center"/>
            <w:hideMark/>
          </w:tcPr>
          <w:p w14:paraId="75C51A03"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r>
      <w:tr w:rsidR="00A407C5" w:rsidRPr="005B2032" w14:paraId="086DD0AD" w14:textId="77777777" w:rsidTr="00C2491D">
        <w:trPr>
          <w:trHeight w:val="112"/>
          <w:jc w:val="center"/>
        </w:trPr>
        <w:tc>
          <w:tcPr>
            <w:tcW w:w="2894" w:type="dxa"/>
            <w:noWrap/>
            <w:hideMark/>
          </w:tcPr>
          <w:p w14:paraId="500E9F45" w14:textId="77777777" w:rsidR="00A407C5" w:rsidRPr="005B2032" w:rsidRDefault="00A407C5" w:rsidP="00A407C5">
            <w:pPr>
              <w:pStyle w:val="tabletextleft"/>
              <w:spacing w:before="60" w:after="60"/>
              <w:rPr>
                <w:rFonts w:asciiTheme="minorHAnsi" w:hAnsiTheme="minorHAnsi" w:cstheme="minorHAnsi"/>
              </w:rPr>
            </w:pPr>
            <w:r w:rsidRPr="005B2032">
              <w:rPr>
                <w:rFonts w:asciiTheme="minorHAnsi" w:hAnsiTheme="minorHAnsi" w:cstheme="minorHAnsi"/>
              </w:rPr>
              <w:t xml:space="preserve">Други разходи с отражение върху приходите </w:t>
            </w:r>
          </w:p>
        </w:tc>
        <w:tc>
          <w:tcPr>
            <w:tcW w:w="745" w:type="dxa"/>
            <w:noWrap/>
            <w:vAlign w:val="center"/>
            <w:hideMark/>
          </w:tcPr>
          <w:p w14:paraId="5C010536"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695" w:type="dxa"/>
            <w:noWrap/>
            <w:vAlign w:val="center"/>
            <w:hideMark/>
          </w:tcPr>
          <w:p w14:paraId="2E31DF15"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971" w:type="dxa"/>
            <w:noWrap/>
            <w:vAlign w:val="center"/>
            <w:hideMark/>
          </w:tcPr>
          <w:p w14:paraId="4A47E2C6"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1061" w:type="dxa"/>
            <w:noWrap/>
            <w:vAlign w:val="center"/>
            <w:hideMark/>
          </w:tcPr>
          <w:p w14:paraId="42D39DF8"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1061" w:type="dxa"/>
            <w:noWrap/>
            <w:vAlign w:val="center"/>
            <w:hideMark/>
          </w:tcPr>
          <w:p w14:paraId="4B601D57"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942" w:type="dxa"/>
            <w:noWrap/>
            <w:vAlign w:val="center"/>
            <w:hideMark/>
          </w:tcPr>
          <w:p w14:paraId="4152822D"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695" w:type="dxa"/>
            <w:noWrap/>
            <w:vAlign w:val="center"/>
            <w:hideMark/>
          </w:tcPr>
          <w:p w14:paraId="1558BD96"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r>
      <w:tr w:rsidR="00A407C5" w:rsidRPr="005B2032" w14:paraId="690133FD" w14:textId="77777777" w:rsidTr="00C2491D">
        <w:trPr>
          <w:trHeight w:val="112"/>
          <w:jc w:val="center"/>
        </w:trPr>
        <w:tc>
          <w:tcPr>
            <w:tcW w:w="2894" w:type="dxa"/>
            <w:noWrap/>
            <w:hideMark/>
          </w:tcPr>
          <w:p w14:paraId="77EB44A0" w14:textId="77777777" w:rsidR="00A407C5" w:rsidRPr="005B2032" w:rsidRDefault="00A407C5" w:rsidP="00A407C5">
            <w:pPr>
              <w:pStyle w:val="tabletextleft"/>
              <w:spacing w:before="60" w:after="60"/>
              <w:rPr>
                <w:rFonts w:asciiTheme="minorHAnsi" w:hAnsiTheme="minorHAnsi" w:cstheme="minorHAnsi"/>
              </w:rPr>
            </w:pPr>
            <w:r w:rsidRPr="005B2032">
              <w:rPr>
                <w:rFonts w:asciiTheme="minorHAnsi" w:hAnsiTheme="minorHAnsi" w:cstheme="minorHAnsi"/>
              </w:rPr>
              <w:t xml:space="preserve">Финансови трансакции </w:t>
            </w:r>
          </w:p>
        </w:tc>
        <w:tc>
          <w:tcPr>
            <w:tcW w:w="745" w:type="dxa"/>
            <w:noWrap/>
            <w:vAlign w:val="center"/>
            <w:hideMark/>
          </w:tcPr>
          <w:p w14:paraId="17B4AEC8"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695" w:type="dxa"/>
            <w:noWrap/>
            <w:vAlign w:val="center"/>
            <w:hideMark/>
          </w:tcPr>
          <w:p w14:paraId="09A1DD7D"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971" w:type="dxa"/>
            <w:noWrap/>
            <w:vAlign w:val="center"/>
            <w:hideMark/>
          </w:tcPr>
          <w:p w14:paraId="21BACC0B"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1061" w:type="dxa"/>
            <w:noWrap/>
            <w:vAlign w:val="center"/>
            <w:hideMark/>
          </w:tcPr>
          <w:p w14:paraId="16328E5A"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1061" w:type="dxa"/>
            <w:noWrap/>
            <w:vAlign w:val="center"/>
            <w:hideMark/>
          </w:tcPr>
          <w:p w14:paraId="2C8BC9B2"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942" w:type="dxa"/>
            <w:noWrap/>
            <w:vAlign w:val="center"/>
            <w:hideMark/>
          </w:tcPr>
          <w:p w14:paraId="09C57195"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c>
          <w:tcPr>
            <w:tcW w:w="695" w:type="dxa"/>
            <w:noWrap/>
            <w:vAlign w:val="center"/>
            <w:hideMark/>
          </w:tcPr>
          <w:p w14:paraId="76A31247" w14:textId="77777777" w:rsidR="00A407C5" w:rsidRPr="005B2032" w:rsidRDefault="00A407C5" w:rsidP="00A407C5">
            <w:pPr>
              <w:pStyle w:val="tabletextleft"/>
              <w:spacing w:before="60" w:after="60"/>
              <w:jc w:val="right"/>
              <w:rPr>
                <w:rFonts w:asciiTheme="minorHAnsi" w:hAnsiTheme="minorHAnsi" w:cstheme="minorHAnsi"/>
                <w:i/>
                <w:iCs/>
              </w:rPr>
            </w:pPr>
            <w:r w:rsidRPr="005B2032">
              <w:rPr>
                <w:rFonts w:asciiTheme="minorHAnsi" w:hAnsiTheme="minorHAnsi" w:cstheme="minorHAnsi"/>
                <w:i/>
                <w:iCs/>
              </w:rPr>
              <w:t> </w:t>
            </w:r>
          </w:p>
        </w:tc>
      </w:tr>
    </w:tbl>
    <w:p w14:paraId="44CC5183" w14:textId="77777777" w:rsidR="00933755" w:rsidRDefault="00933755" w:rsidP="008966E7">
      <w:pPr>
        <w:pStyle w:val="tabletextleft"/>
        <w:rPr>
          <w:rFonts w:asciiTheme="minorHAnsi" w:hAnsiTheme="minorHAnsi" w:cstheme="minorHAnsi"/>
          <w:vertAlign w:val="superscript"/>
        </w:rPr>
      </w:pPr>
    </w:p>
    <w:p w14:paraId="1AA4A7D4" w14:textId="75A822B3" w:rsidR="00933755" w:rsidRPr="005B2032" w:rsidRDefault="00933755" w:rsidP="00933755">
      <w:pPr>
        <w:pStyle w:val="tabletextleft"/>
        <w:rPr>
          <w:rFonts w:asciiTheme="minorHAnsi" w:hAnsiTheme="minorHAnsi" w:cstheme="minorHAnsi"/>
        </w:rPr>
      </w:pPr>
      <w:r w:rsidRPr="00933755">
        <w:rPr>
          <w:rFonts w:asciiTheme="minorHAnsi" w:hAnsiTheme="minorHAnsi" w:cstheme="minorHAnsi"/>
          <w:vertAlign w:val="superscript"/>
        </w:rPr>
        <w:t>*</w:t>
      </w:r>
      <w:r>
        <w:rPr>
          <w:rFonts w:asciiTheme="minorHAnsi" w:hAnsiTheme="minorHAnsi" w:cstheme="minorHAnsi"/>
        </w:rPr>
        <w:t xml:space="preserve"> </w:t>
      </w:r>
      <w:r w:rsidRPr="005B2032">
        <w:rPr>
          <w:rFonts w:asciiTheme="minorHAnsi" w:hAnsiTheme="minorHAnsi" w:cstheme="minorHAnsi"/>
        </w:rPr>
        <w:t>Включва разходи, които не се отчитат като такива в националните сметки.</w:t>
      </w:r>
    </w:p>
    <w:p w14:paraId="39C73ADF" w14:textId="24D49BC1" w:rsidR="00933755" w:rsidRDefault="00933755" w:rsidP="008966E7">
      <w:pPr>
        <w:pStyle w:val="tabletextleft"/>
        <w:rPr>
          <w:rFonts w:asciiTheme="minorHAnsi" w:hAnsiTheme="minorHAnsi" w:cstheme="minorHAnsi"/>
        </w:rPr>
      </w:pPr>
      <w:r w:rsidRPr="005B2032">
        <w:rPr>
          <w:rFonts w:asciiTheme="minorHAnsi" w:hAnsiTheme="minorHAnsi" w:cstheme="minorHAnsi"/>
        </w:rPr>
        <w:t> Удебеленият шрифт обозначава задължителната информация.</w:t>
      </w:r>
    </w:p>
    <w:p w14:paraId="28F2B1B2" w14:textId="77777777" w:rsidR="00A407C5" w:rsidRPr="00120DDB" w:rsidRDefault="00A407C5" w:rsidP="00A407C5">
      <w:pPr>
        <w:pStyle w:val="tabletextleft"/>
        <w:rPr>
          <w:rFonts w:asciiTheme="minorHAnsi" w:hAnsiTheme="minorHAnsi" w:cstheme="minorHAnsi"/>
        </w:rPr>
      </w:pPr>
      <w:r w:rsidRPr="00120DDB">
        <w:rPr>
          <w:rFonts w:asciiTheme="minorHAnsi" w:hAnsiTheme="minorHAnsi" w:cstheme="minorHAnsi"/>
        </w:rPr>
        <w:t>Съгласно методологията ЕСА 2010, в прогнозата за сектор "Държавно управление", не са включени приходи и разходи за текущи и капиталови трансфери по МВУ в размер съответно на</w:t>
      </w:r>
    </w:p>
    <w:p w14:paraId="0197BCA7" w14:textId="592F2FD3" w:rsidR="00A407C5" w:rsidRPr="005B2032" w:rsidRDefault="00A407C5" w:rsidP="00A407C5">
      <w:pPr>
        <w:pStyle w:val="tabletextleft"/>
        <w:rPr>
          <w:rFonts w:asciiTheme="minorHAnsi" w:hAnsiTheme="minorHAnsi" w:cstheme="minorHAnsi"/>
        </w:rPr>
      </w:pPr>
      <w:r w:rsidRPr="00120DDB">
        <w:rPr>
          <w:rFonts w:asciiTheme="minorHAnsi" w:hAnsiTheme="minorHAnsi" w:cstheme="minorHAnsi"/>
        </w:rPr>
        <w:t>66</w:t>
      </w:r>
      <w:r>
        <w:rPr>
          <w:rFonts w:asciiTheme="minorHAnsi" w:hAnsiTheme="minorHAnsi" w:cstheme="minorHAnsi"/>
          <w:lang w:val="en-US"/>
        </w:rPr>
        <w:t>.</w:t>
      </w:r>
      <w:r w:rsidRPr="00120DDB">
        <w:rPr>
          <w:rFonts w:asciiTheme="minorHAnsi" w:hAnsiTheme="minorHAnsi" w:cstheme="minorHAnsi"/>
        </w:rPr>
        <w:t>4 млн.</w:t>
      </w:r>
      <w:r>
        <w:rPr>
          <w:rFonts w:asciiTheme="minorHAnsi" w:hAnsiTheme="minorHAnsi" w:cstheme="minorHAnsi"/>
        </w:rPr>
        <w:t xml:space="preserve"> </w:t>
      </w:r>
      <w:r w:rsidRPr="00120DDB">
        <w:rPr>
          <w:rFonts w:asciiTheme="minorHAnsi" w:hAnsiTheme="minorHAnsi" w:cstheme="minorHAnsi"/>
        </w:rPr>
        <w:t>лв. и 290</w:t>
      </w:r>
      <w:r>
        <w:rPr>
          <w:rFonts w:asciiTheme="minorHAnsi" w:hAnsiTheme="minorHAnsi" w:cstheme="minorHAnsi"/>
        </w:rPr>
        <w:t>.</w:t>
      </w:r>
      <w:r w:rsidRPr="00120DDB">
        <w:rPr>
          <w:rFonts w:asciiTheme="minorHAnsi" w:hAnsiTheme="minorHAnsi" w:cstheme="minorHAnsi"/>
        </w:rPr>
        <w:t>7 млн.</w:t>
      </w:r>
      <w:r>
        <w:rPr>
          <w:rFonts w:asciiTheme="minorHAnsi" w:hAnsiTheme="minorHAnsi" w:cstheme="minorHAnsi"/>
        </w:rPr>
        <w:t xml:space="preserve"> </w:t>
      </w:r>
      <w:r w:rsidRPr="00120DDB">
        <w:rPr>
          <w:rFonts w:asciiTheme="minorHAnsi" w:hAnsiTheme="minorHAnsi" w:cstheme="minorHAnsi"/>
        </w:rPr>
        <w:t>лв. за 2022 г.; 279</w:t>
      </w:r>
      <w:r>
        <w:rPr>
          <w:rFonts w:asciiTheme="minorHAnsi" w:hAnsiTheme="minorHAnsi" w:cstheme="minorHAnsi"/>
        </w:rPr>
        <w:t>.</w:t>
      </w:r>
      <w:r w:rsidRPr="00120DDB">
        <w:rPr>
          <w:rFonts w:asciiTheme="minorHAnsi" w:hAnsiTheme="minorHAnsi" w:cstheme="minorHAnsi"/>
        </w:rPr>
        <w:t>5 млн.</w:t>
      </w:r>
      <w:r>
        <w:rPr>
          <w:rFonts w:asciiTheme="minorHAnsi" w:hAnsiTheme="minorHAnsi" w:cstheme="minorHAnsi"/>
        </w:rPr>
        <w:t xml:space="preserve"> </w:t>
      </w:r>
      <w:r w:rsidRPr="00120DDB">
        <w:rPr>
          <w:rFonts w:asciiTheme="minorHAnsi" w:hAnsiTheme="minorHAnsi" w:cstheme="minorHAnsi"/>
        </w:rPr>
        <w:t>лв. и 887</w:t>
      </w:r>
      <w:r>
        <w:rPr>
          <w:rFonts w:asciiTheme="minorHAnsi" w:hAnsiTheme="minorHAnsi" w:cstheme="minorHAnsi"/>
        </w:rPr>
        <w:t>.</w:t>
      </w:r>
      <w:r w:rsidRPr="00120DDB">
        <w:rPr>
          <w:rFonts w:asciiTheme="minorHAnsi" w:hAnsiTheme="minorHAnsi" w:cstheme="minorHAnsi"/>
        </w:rPr>
        <w:t>3 млн.</w:t>
      </w:r>
      <w:r>
        <w:rPr>
          <w:rFonts w:asciiTheme="minorHAnsi" w:hAnsiTheme="minorHAnsi" w:cstheme="minorHAnsi"/>
        </w:rPr>
        <w:t xml:space="preserve"> </w:t>
      </w:r>
      <w:r w:rsidRPr="00120DDB">
        <w:rPr>
          <w:rFonts w:asciiTheme="minorHAnsi" w:hAnsiTheme="minorHAnsi" w:cstheme="minorHAnsi"/>
        </w:rPr>
        <w:t>лв. за 2023 г.; 202</w:t>
      </w:r>
      <w:r>
        <w:rPr>
          <w:rFonts w:asciiTheme="minorHAnsi" w:hAnsiTheme="minorHAnsi" w:cstheme="minorHAnsi"/>
        </w:rPr>
        <w:t>.</w:t>
      </w:r>
      <w:r w:rsidRPr="00120DDB">
        <w:rPr>
          <w:rFonts w:asciiTheme="minorHAnsi" w:hAnsiTheme="minorHAnsi" w:cstheme="minorHAnsi"/>
        </w:rPr>
        <w:t>8 и 1158</w:t>
      </w:r>
      <w:r>
        <w:rPr>
          <w:rFonts w:asciiTheme="minorHAnsi" w:hAnsiTheme="minorHAnsi" w:cstheme="minorHAnsi"/>
        </w:rPr>
        <w:t>.</w:t>
      </w:r>
      <w:r w:rsidRPr="00120DDB">
        <w:rPr>
          <w:rFonts w:asciiTheme="minorHAnsi" w:hAnsiTheme="minorHAnsi" w:cstheme="minorHAnsi"/>
        </w:rPr>
        <w:t>9 за 2024 и 202</w:t>
      </w:r>
      <w:r>
        <w:rPr>
          <w:rFonts w:asciiTheme="minorHAnsi" w:hAnsiTheme="minorHAnsi" w:cstheme="minorHAnsi"/>
        </w:rPr>
        <w:t>.</w:t>
      </w:r>
      <w:r w:rsidRPr="00120DDB">
        <w:rPr>
          <w:rFonts w:asciiTheme="minorHAnsi" w:hAnsiTheme="minorHAnsi" w:cstheme="minorHAnsi"/>
        </w:rPr>
        <w:t>8 и 1158</w:t>
      </w:r>
      <w:r>
        <w:rPr>
          <w:rFonts w:asciiTheme="minorHAnsi" w:hAnsiTheme="minorHAnsi" w:cstheme="minorHAnsi"/>
        </w:rPr>
        <w:t>.</w:t>
      </w:r>
      <w:r w:rsidRPr="00120DDB">
        <w:rPr>
          <w:rFonts w:asciiTheme="minorHAnsi" w:hAnsiTheme="minorHAnsi" w:cstheme="minorHAnsi"/>
        </w:rPr>
        <w:t>9 за  2024 г.</w:t>
      </w:r>
      <w:r>
        <w:rPr>
          <w:rFonts w:asciiTheme="minorHAnsi" w:hAnsiTheme="minorHAnsi" w:cstheme="minorHAnsi"/>
        </w:rPr>
        <w:t xml:space="preserve"> </w:t>
      </w:r>
    </w:p>
    <w:p w14:paraId="0B681269" w14:textId="77777777" w:rsidR="00A407C5" w:rsidRPr="005B2032" w:rsidRDefault="00A407C5" w:rsidP="008966E7">
      <w:pPr>
        <w:pStyle w:val="tabletextleft"/>
        <w:rPr>
          <w:rFonts w:asciiTheme="minorHAnsi" w:hAnsiTheme="minorHAnsi" w:cstheme="minorHAnsi"/>
        </w:rPr>
      </w:pPr>
    </w:p>
    <w:p w14:paraId="62434218" w14:textId="644C81DD" w:rsidR="00C928BB" w:rsidRPr="005B2032" w:rsidRDefault="00C928BB" w:rsidP="00C928BB">
      <w:pPr>
        <w:rPr>
          <w:rFonts w:asciiTheme="minorHAnsi" w:hAnsiTheme="minorHAnsi" w:cstheme="minorHAnsi"/>
        </w:rPr>
      </w:pPr>
    </w:p>
    <w:p w14:paraId="661EE83B" w14:textId="70B49FAE" w:rsidR="00C928BB" w:rsidRPr="005B2032" w:rsidRDefault="00C928BB" w:rsidP="00C928BB">
      <w:pPr>
        <w:rPr>
          <w:rFonts w:asciiTheme="minorHAnsi" w:hAnsiTheme="minorHAnsi" w:cstheme="minorHAnsi"/>
        </w:rPr>
      </w:pPr>
    </w:p>
    <w:p w14:paraId="5C5EC1E2" w14:textId="12C3D331" w:rsidR="00C928BB" w:rsidRPr="005B2032" w:rsidRDefault="00C928BB" w:rsidP="00C928BB">
      <w:pPr>
        <w:rPr>
          <w:rFonts w:asciiTheme="minorHAnsi" w:hAnsiTheme="minorHAnsi" w:cstheme="minorHAnsi"/>
        </w:rPr>
      </w:pPr>
    </w:p>
    <w:p w14:paraId="10C1D259" w14:textId="392CF6EF" w:rsidR="009D6C41" w:rsidRPr="00AA1841" w:rsidRDefault="00207054" w:rsidP="00AA1841">
      <w:pPr>
        <w:pStyle w:val="Heading2"/>
        <w:numPr>
          <w:ilvl w:val="0"/>
          <w:numId w:val="0"/>
        </w:numPr>
      </w:pPr>
      <w:bookmarkStart w:id="195" w:name="_Toc100906106"/>
      <w:r w:rsidRPr="00AA1841">
        <w:lastRenderedPageBreak/>
        <w:t>Табл</w:t>
      </w:r>
      <w:r w:rsidR="001A6846" w:rsidRPr="00AA1841">
        <w:t>.</w:t>
      </w:r>
      <w:r w:rsidRPr="00AA1841">
        <w:t xml:space="preserve"> </w:t>
      </w:r>
      <w:r w:rsidR="00697F78" w:rsidRPr="00AA1841">
        <w:t>2</w:t>
      </w:r>
      <w:r w:rsidRPr="00AA1841">
        <w:t>: Отражение на МВУ върху п</w:t>
      </w:r>
      <w:r w:rsidR="00D35480" w:rsidRPr="00AA1841">
        <w:t>рогнозите в програмата Заеми</w:t>
      </w:r>
      <w:bookmarkEnd w:id="195"/>
      <w:r w:rsidR="00D35480" w:rsidRPr="00AA1841">
        <w:t xml:space="preserve"> </w:t>
      </w:r>
    </w:p>
    <w:p w14:paraId="76AF61BE" w14:textId="0169F7A3" w:rsidR="00D35480" w:rsidRPr="00AA1841" w:rsidRDefault="000912EF" w:rsidP="00B7770D">
      <w:pPr>
        <w:pStyle w:val="Heading2"/>
        <w:numPr>
          <w:ilvl w:val="0"/>
          <w:numId w:val="0"/>
        </w:numPr>
        <w:jc w:val="both"/>
        <w:rPr>
          <w:rFonts w:asciiTheme="minorHAnsi" w:hAnsiTheme="minorHAnsi" w:cstheme="minorHAnsi"/>
          <w:b w:val="0"/>
          <w:color w:val="auto"/>
          <w:sz w:val="22"/>
        </w:rPr>
      </w:pPr>
      <w:bookmarkStart w:id="196" w:name="_Toc100906107"/>
      <w:r w:rsidRPr="00AA1841">
        <w:rPr>
          <w:rFonts w:asciiTheme="minorHAnsi" w:hAnsiTheme="minorHAnsi" w:cstheme="minorHAnsi"/>
          <w:b w:val="0"/>
          <w:color w:val="auto"/>
          <w:sz w:val="22"/>
        </w:rPr>
        <w:t>(В Националния план за възс</w:t>
      </w:r>
      <w:r w:rsidR="00E975E2" w:rsidRPr="00AA1841">
        <w:rPr>
          <w:rFonts w:asciiTheme="minorHAnsi" w:hAnsiTheme="minorHAnsi" w:cstheme="minorHAnsi"/>
          <w:b w:val="0"/>
          <w:color w:val="auto"/>
          <w:sz w:val="22"/>
        </w:rPr>
        <w:t>т</w:t>
      </w:r>
      <w:r w:rsidRPr="00AA1841">
        <w:rPr>
          <w:rFonts w:asciiTheme="minorHAnsi" w:hAnsiTheme="minorHAnsi" w:cstheme="minorHAnsi"/>
          <w:b w:val="0"/>
          <w:color w:val="auto"/>
          <w:sz w:val="22"/>
        </w:rPr>
        <w:t>ановяване и устойчивост няма предвид</w:t>
      </w:r>
      <w:r w:rsidR="00E975E2" w:rsidRPr="00AA1841">
        <w:rPr>
          <w:rFonts w:asciiTheme="minorHAnsi" w:hAnsiTheme="minorHAnsi" w:cstheme="minorHAnsi"/>
          <w:b w:val="0"/>
          <w:color w:val="auto"/>
          <w:sz w:val="22"/>
        </w:rPr>
        <w:t>ено</w:t>
      </w:r>
      <w:r w:rsidRPr="00AA1841">
        <w:rPr>
          <w:rFonts w:asciiTheme="minorHAnsi" w:hAnsiTheme="minorHAnsi" w:cstheme="minorHAnsi"/>
          <w:b w:val="0"/>
          <w:color w:val="auto"/>
          <w:sz w:val="22"/>
        </w:rPr>
        <w:t xml:space="preserve"> използване на заемна част от инструмента.)</w:t>
      </w:r>
      <w:bookmarkEnd w:id="196"/>
    </w:p>
    <w:tbl>
      <w:tblPr>
        <w:tblStyle w:val="TableGrid11"/>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4A0" w:firstRow="1" w:lastRow="0" w:firstColumn="1" w:lastColumn="0" w:noHBand="0" w:noVBand="1"/>
      </w:tblPr>
      <w:tblGrid>
        <w:gridCol w:w="4357"/>
        <w:gridCol w:w="673"/>
        <w:gridCol w:w="673"/>
        <w:gridCol w:w="672"/>
        <w:gridCol w:w="672"/>
        <w:gridCol w:w="672"/>
        <w:gridCol w:w="672"/>
        <w:gridCol w:w="673"/>
      </w:tblGrid>
      <w:tr w:rsidR="005B2032" w:rsidRPr="005B2032" w14:paraId="27F71D11" w14:textId="77777777" w:rsidTr="00C2491D">
        <w:trPr>
          <w:trHeight w:val="284"/>
          <w:jc w:val="center"/>
        </w:trPr>
        <w:tc>
          <w:tcPr>
            <w:tcW w:w="9064" w:type="dxa"/>
            <w:gridSpan w:val="8"/>
            <w:shd w:val="clear" w:color="auto" w:fill="EAE8F8"/>
            <w:noWrap/>
            <w:hideMark/>
          </w:tcPr>
          <w:p w14:paraId="4145A5D1" w14:textId="77777777" w:rsidR="00207054" w:rsidRPr="005B2032" w:rsidRDefault="00207054" w:rsidP="0023528E">
            <w:pPr>
              <w:pStyle w:val="tabletextleft"/>
              <w:spacing w:beforeLines="60" w:before="144" w:afterLines="60" w:after="144"/>
              <w:rPr>
                <w:rFonts w:asciiTheme="minorHAnsi" w:hAnsiTheme="minorHAnsi" w:cstheme="minorHAnsi"/>
                <w:b/>
              </w:rPr>
            </w:pPr>
            <w:r w:rsidRPr="005B2032">
              <w:rPr>
                <w:rFonts w:asciiTheme="minorHAnsi" w:hAnsiTheme="minorHAnsi" w:cstheme="minorHAnsi"/>
                <w:b/>
              </w:rPr>
              <w:t>Паричен поток от МВУ заеми според прогнозите в програмата (% от БВП)</w:t>
            </w:r>
          </w:p>
        </w:tc>
      </w:tr>
      <w:tr w:rsidR="005B2032" w:rsidRPr="005B2032" w14:paraId="6DB6F247" w14:textId="77777777" w:rsidTr="00C2491D">
        <w:trPr>
          <w:trHeight w:val="284"/>
          <w:jc w:val="center"/>
        </w:trPr>
        <w:tc>
          <w:tcPr>
            <w:tcW w:w="4357" w:type="dxa"/>
            <w:shd w:val="clear" w:color="auto" w:fill="EAE8F8"/>
            <w:noWrap/>
            <w:hideMark/>
          </w:tcPr>
          <w:p w14:paraId="4E22DC5B" w14:textId="77777777" w:rsidR="00207054" w:rsidRPr="005B2032" w:rsidRDefault="00207054" w:rsidP="0023528E">
            <w:pPr>
              <w:pStyle w:val="tabletextleft"/>
              <w:spacing w:beforeLines="60" w:before="144" w:afterLines="60" w:after="144"/>
              <w:rPr>
                <w:rFonts w:asciiTheme="minorHAnsi" w:hAnsiTheme="minorHAnsi" w:cstheme="minorHAnsi"/>
                <w:b/>
                <w:i/>
                <w:iCs/>
              </w:rPr>
            </w:pPr>
            <w:r w:rsidRPr="005B2032">
              <w:rPr>
                <w:rFonts w:asciiTheme="minorHAnsi" w:hAnsiTheme="minorHAnsi" w:cstheme="minorHAnsi"/>
                <w:b/>
                <w:i/>
                <w:iCs/>
              </w:rPr>
              <w:t> </w:t>
            </w:r>
          </w:p>
        </w:tc>
        <w:tc>
          <w:tcPr>
            <w:tcW w:w="673" w:type="dxa"/>
            <w:shd w:val="clear" w:color="auto" w:fill="EAE8F8"/>
            <w:noWrap/>
            <w:vAlign w:val="center"/>
            <w:hideMark/>
          </w:tcPr>
          <w:p w14:paraId="2A6C7E54"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2020</w:t>
            </w:r>
          </w:p>
        </w:tc>
        <w:tc>
          <w:tcPr>
            <w:tcW w:w="673" w:type="dxa"/>
            <w:shd w:val="clear" w:color="auto" w:fill="EAE8F8"/>
            <w:noWrap/>
            <w:vAlign w:val="center"/>
            <w:hideMark/>
          </w:tcPr>
          <w:p w14:paraId="1F372C3E"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2021</w:t>
            </w:r>
          </w:p>
        </w:tc>
        <w:tc>
          <w:tcPr>
            <w:tcW w:w="672" w:type="dxa"/>
            <w:shd w:val="clear" w:color="auto" w:fill="EAE8F8"/>
            <w:noWrap/>
            <w:vAlign w:val="center"/>
            <w:hideMark/>
          </w:tcPr>
          <w:p w14:paraId="22A90431"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2022</w:t>
            </w:r>
          </w:p>
        </w:tc>
        <w:tc>
          <w:tcPr>
            <w:tcW w:w="672" w:type="dxa"/>
            <w:shd w:val="clear" w:color="auto" w:fill="EAE8F8"/>
            <w:noWrap/>
            <w:vAlign w:val="center"/>
            <w:hideMark/>
          </w:tcPr>
          <w:p w14:paraId="49129215"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2023</w:t>
            </w:r>
          </w:p>
        </w:tc>
        <w:tc>
          <w:tcPr>
            <w:tcW w:w="672" w:type="dxa"/>
            <w:shd w:val="clear" w:color="auto" w:fill="EAE8F8"/>
            <w:noWrap/>
            <w:vAlign w:val="center"/>
            <w:hideMark/>
          </w:tcPr>
          <w:p w14:paraId="687B1800"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2024</w:t>
            </w:r>
          </w:p>
        </w:tc>
        <w:tc>
          <w:tcPr>
            <w:tcW w:w="672" w:type="dxa"/>
            <w:shd w:val="clear" w:color="auto" w:fill="EAE8F8"/>
            <w:noWrap/>
            <w:vAlign w:val="center"/>
            <w:hideMark/>
          </w:tcPr>
          <w:p w14:paraId="5554B92D"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2025</w:t>
            </w:r>
          </w:p>
        </w:tc>
        <w:tc>
          <w:tcPr>
            <w:tcW w:w="673" w:type="dxa"/>
            <w:shd w:val="clear" w:color="auto" w:fill="EAE8F8"/>
            <w:noWrap/>
            <w:vAlign w:val="center"/>
            <w:hideMark/>
          </w:tcPr>
          <w:p w14:paraId="2E50D2E2"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2026</w:t>
            </w:r>
          </w:p>
        </w:tc>
      </w:tr>
      <w:tr w:rsidR="005B2032" w:rsidRPr="005B2032" w14:paraId="215A1CEB" w14:textId="77777777" w:rsidTr="00C2491D">
        <w:trPr>
          <w:trHeight w:val="284"/>
          <w:jc w:val="center"/>
        </w:trPr>
        <w:tc>
          <w:tcPr>
            <w:tcW w:w="4357" w:type="dxa"/>
            <w:hideMark/>
          </w:tcPr>
          <w:p w14:paraId="1E798741"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Отпуснати заеми по линия на МВУ от ЕС </w:t>
            </w:r>
          </w:p>
        </w:tc>
        <w:tc>
          <w:tcPr>
            <w:tcW w:w="673" w:type="dxa"/>
            <w:noWrap/>
            <w:vAlign w:val="center"/>
            <w:hideMark/>
          </w:tcPr>
          <w:p w14:paraId="37468D0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r w:rsidR="00F00F2C" w:rsidRPr="005B2032">
              <w:rPr>
                <w:rFonts w:asciiTheme="minorHAnsi" w:hAnsiTheme="minorHAnsi" w:cstheme="minorHAnsi"/>
              </w:rPr>
              <w:t>0</w:t>
            </w:r>
          </w:p>
        </w:tc>
        <w:tc>
          <w:tcPr>
            <w:tcW w:w="673" w:type="dxa"/>
            <w:noWrap/>
            <w:vAlign w:val="center"/>
            <w:hideMark/>
          </w:tcPr>
          <w:p w14:paraId="289CF2CD" w14:textId="77777777" w:rsidR="00207054" w:rsidRPr="005B2032" w:rsidRDefault="00F00F2C" w:rsidP="0023528E">
            <w:pPr>
              <w:pStyle w:val="tabletextleft"/>
              <w:spacing w:beforeLines="60" w:before="144" w:afterLines="60" w:after="144"/>
              <w:jc w:val="right"/>
              <w:rPr>
                <w:rFonts w:asciiTheme="minorHAnsi" w:hAnsiTheme="minorHAnsi" w:cstheme="minorHAnsi"/>
                <w:iCs/>
              </w:rPr>
            </w:pPr>
            <w:r w:rsidRPr="005B2032">
              <w:rPr>
                <w:rFonts w:asciiTheme="minorHAnsi" w:hAnsiTheme="minorHAnsi" w:cstheme="minorHAnsi"/>
                <w:iCs/>
              </w:rPr>
              <w:t>0</w:t>
            </w:r>
          </w:p>
        </w:tc>
        <w:tc>
          <w:tcPr>
            <w:tcW w:w="672" w:type="dxa"/>
            <w:noWrap/>
            <w:vAlign w:val="center"/>
            <w:hideMark/>
          </w:tcPr>
          <w:p w14:paraId="281B7139"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FD36DE0"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2D2AFFDF"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65A6CB27"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4ACC796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47697B58" w14:textId="77777777" w:rsidTr="00C2491D">
        <w:trPr>
          <w:trHeight w:val="284"/>
          <w:jc w:val="center"/>
        </w:trPr>
        <w:tc>
          <w:tcPr>
            <w:tcW w:w="4357" w:type="dxa"/>
            <w:noWrap/>
            <w:hideMark/>
          </w:tcPr>
          <w:p w14:paraId="19141533"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Погашение на заеми по линия на МВУ от ЕС </w:t>
            </w:r>
          </w:p>
        </w:tc>
        <w:tc>
          <w:tcPr>
            <w:tcW w:w="673" w:type="dxa"/>
            <w:noWrap/>
            <w:vAlign w:val="center"/>
            <w:hideMark/>
          </w:tcPr>
          <w:p w14:paraId="327E175A"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2A5298A9"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DB75161"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CB9C2BE"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D70B7F5"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284E100A"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55CA27E6"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r w:rsidR="005B2032" w:rsidRPr="005B2032" w14:paraId="08FEFEB6" w14:textId="77777777" w:rsidTr="00C2491D">
        <w:trPr>
          <w:trHeight w:val="175"/>
          <w:jc w:val="center"/>
        </w:trPr>
        <w:tc>
          <w:tcPr>
            <w:tcW w:w="9064" w:type="dxa"/>
            <w:gridSpan w:val="8"/>
            <w:noWrap/>
            <w:hideMark/>
          </w:tcPr>
          <w:p w14:paraId="34ADC22D" w14:textId="77777777" w:rsidR="00207054" w:rsidRPr="005B2032" w:rsidRDefault="00207054" w:rsidP="0023528E">
            <w:pPr>
              <w:pStyle w:val="tabletextleft"/>
              <w:spacing w:beforeLines="60" w:before="144" w:afterLines="60" w:after="144"/>
              <w:rPr>
                <w:rFonts w:asciiTheme="minorHAnsi" w:hAnsiTheme="minorHAnsi" w:cstheme="minorHAnsi"/>
              </w:rPr>
            </w:pPr>
          </w:p>
        </w:tc>
      </w:tr>
      <w:tr w:rsidR="005B2032" w:rsidRPr="005B2032" w14:paraId="38D3B8FD" w14:textId="77777777" w:rsidTr="00C2491D">
        <w:trPr>
          <w:trHeight w:val="294"/>
          <w:jc w:val="center"/>
        </w:trPr>
        <w:tc>
          <w:tcPr>
            <w:tcW w:w="9064" w:type="dxa"/>
            <w:gridSpan w:val="8"/>
            <w:shd w:val="clear" w:color="auto" w:fill="EAE8F8"/>
            <w:noWrap/>
            <w:hideMark/>
          </w:tcPr>
          <w:p w14:paraId="397E2EBC" w14:textId="77777777" w:rsidR="00207054" w:rsidRPr="005B2032" w:rsidRDefault="00207054" w:rsidP="0023528E">
            <w:pPr>
              <w:pStyle w:val="tabletextleft"/>
              <w:spacing w:beforeLines="60" w:before="144" w:afterLines="60" w:after="144"/>
              <w:rPr>
                <w:rFonts w:asciiTheme="minorHAnsi" w:hAnsiTheme="minorHAnsi" w:cstheme="minorHAnsi"/>
                <w:b/>
              </w:rPr>
            </w:pPr>
            <w:r w:rsidRPr="005B2032">
              <w:rPr>
                <w:rFonts w:asciiTheme="minorHAnsi" w:hAnsiTheme="minorHAnsi" w:cstheme="minorHAnsi"/>
                <w:b/>
              </w:rPr>
              <w:t>Разходи финансирани от МВУ заеми (% от БВП)</w:t>
            </w:r>
          </w:p>
        </w:tc>
      </w:tr>
      <w:tr w:rsidR="005B2032" w:rsidRPr="005B2032" w14:paraId="3DE76DCD" w14:textId="77777777" w:rsidTr="00C2491D">
        <w:trPr>
          <w:trHeight w:val="284"/>
          <w:jc w:val="center"/>
        </w:trPr>
        <w:tc>
          <w:tcPr>
            <w:tcW w:w="4357" w:type="dxa"/>
            <w:shd w:val="clear" w:color="auto" w:fill="EAE8F8"/>
            <w:noWrap/>
            <w:hideMark/>
          </w:tcPr>
          <w:p w14:paraId="2D6CA1D2" w14:textId="77777777" w:rsidR="00207054" w:rsidRPr="005B2032" w:rsidRDefault="00207054" w:rsidP="0023528E">
            <w:pPr>
              <w:pStyle w:val="tabletextleft"/>
              <w:spacing w:beforeLines="60" w:before="144" w:afterLines="60" w:after="144"/>
              <w:rPr>
                <w:rFonts w:asciiTheme="minorHAnsi" w:hAnsiTheme="minorHAnsi" w:cstheme="minorHAnsi"/>
                <w:b/>
              </w:rPr>
            </w:pPr>
            <w:r w:rsidRPr="005B2032">
              <w:rPr>
                <w:rFonts w:asciiTheme="minorHAnsi" w:hAnsiTheme="minorHAnsi" w:cstheme="minorHAnsi"/>
                <w:b/>
              </w:rPr>
              <w:t> </w:t>
            </w:r>
          </w:p>
        </w:tc>
        <w:tc>
          <w:tcPr>
            <w:tcW w:w="673" w:type="dxa"/>
            <w:shd w:val="clear" w:color="auto" w:fill="EAE8F8"/>
            <w:noWrap/>
            <w:vAlign w:val="center"/>
            <w:hideMark/>
          </w:tcPr>
          <w:p w14:paraId="3B88BBF2"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2020</w:t>
            </w:r>
          </w:p>
        </w:tc>
        <w:tc>
          <w:tcPr>
            <w:tcW w:w="673" w:type="dxa"/>
            <w:shd w:val="clear" w:color="auto" w:fill="EAE8F8"/>
            <w:noWrap/>
            <w:vAlign w:val="center"/>
            <w:hideMark/>
          </w:tcPr>
          <w:p w14:paraId="079F17C5"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2021</w:t>
            </w:r>
          </w:p>
        </w:tc>
        <w:tc>
          <w:tcPr>
            <w:tcW w:w="672" w:type="dxa"/>
            <w:shd w:val="clear" w:color="auto" w:fill="EAE8F8"/>
            <w:noWrap/>
            <w:vAlign w:val="center"/>
            <w:hideMark/>
          </w:tcPr>
          <w:p w14:paraId="7D5FA6C5"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2022</w:t>
            </w:r>
          </w:p>
        </w:tc>
        <w:tc>
          <w:tcPr>
            <w:tcW w:w="672" w:type="dxa"/>
            <w:shd w:val="clear" w:color="auto" w:fill="EAE8F8"/>
            <w:noWrap/>
            <w:vAlign w:val="center"/>
            <w:hideMark/>
          </w:tcPr>
          <w:p w14:paraId="598DDB56"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2023</w:t>
            </w:r>
          </w:p>
        </w:tc>
        <w:tc>
          <w:tcPr>
            <w:tcW w:w="672" w:type="dxa"/>
            <w:shd w:val="clear" w:color="auto" w:fill="EAE8F8"/>
            <w:noWrap/>
            <w:vAlign w:val="center"/>
            <w:hideMark/>
          </w:tcPr>
          <w:p w14:paraId="3224512D"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2024</w:t>
            </w:r>
          </w:p>
        </w:tc>
        <w:tc>
          <w:tcPr>
            <w:tcW w:w="672" w:type="dxa"/>
            <w:shd w:val="clear" w:color="auto" w:fill="EAE8F8"/>
            <w:noWrap/>
            <w:vAlign w:val="center"/>
            <w:hideMark/>
          </w:tcPr>
          <w:p w14:paraId="364B0A82"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2025</w:t>
            </w:r>
          </w:p>
        </w:tc>
        <w:tc>
          <w:tcPr>
            <w:tcW w:w="673" w:type="dxa"/>
            <w:shd w:val="clear" w:color="auto" w:fill="EAE8F8"/>
            <w:noWrap/>
            <w:vAlign w:val="center"/>
            <w:hideMark/>
          </w:tcPr>
          <w:p w14:paraId="77DEEAED"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2026</w:t>
            </w:r>
          </w:p>
        </w:tc>
      </w:tr>
      <w:tr w:rsidR="005B2032" w:rsidRPr="005B2032" w14:paraId="6ACFED8E" w14:textId="77777777" w:rsidTr="00C2491D">
        <w:trPr>
          <w:trHeight w:val="284"/>
          <w:jc w:val="center"/>
        </w:trPr>
        <w:tc>
          <w:tcPr>
            <w:tcW w:w="4357" w:type="dxa"/>
            <w:noWrap/>
            <w:hideMark/>
          </w:tcPr>
          <w:p w14:paraId="726C13EE"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Компенсация на наетите лица D.1</w:t>
            </w:r>
          </w:p>
        </w:tc>
        <w:tc>
          <w:tcPr>
            <w:tcW w:w="673" w:type="dxa"/>
            <w:noWrap/>
            <w:vAlign w:val="center"/>
            <w:hideMark/>
          </w:tcPr>
          <w:p w14:paraId="3745961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039B90F4"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021494A5"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6A9733AA"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5A5E3AA"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081BD89D"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2F51A912"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7429B9B7" w14:textId="77777777" w:rsidTr="00C2491D">
        <w:trPr>
          <w:trHeight w:val="284"/>
          <w:jc w:val="center"/>
        </w:trPr>
        <w:tc>
          <w:tcPr>
            <w:tcW w:w="4357" w:type="dxa"/>
            <w:noWrap/>
            <w:hideMark/>
          </w:tcPr>
          <w:p w14:paraId="45D94E81"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Междинно потребление P.2</w:t>
            </w:r>
          </w:p>
        </w:tc>
        <w:tc>
          <w:tcPr>
            <w:tcW w:w="673" w:type="dxa"/>
            <w:noWrap/>
            <w:vAlign w:val="center"/>
            <w:hideMark/>
          </w:tcPr>
          <w:p w14:paraId="3CA596B0"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3792A00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0F11E7F7"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3CFCA3C8"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323FA3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5642B931"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58C762E4"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20BD5DC8" w14:textId="77777777" w:rsidTr="00C2491D">
        <w:trPr>
          <w:trHeight w:val="284"/>
          <w:jc w:val="center"/>
        </w:trPr>
        <w:tc>
          <w:tcPr>
            <w:tcW w:w="4357" w:type="dxa"/>
            <w:noWrap/>
            <w:hideMark/>
          </w:tcPr>
          <w:p w14:paraId="7FC6891A"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Социални трансфери D.62+D.632</w:t>
            </w:r>
          </w:p>
        </w:tc>
        <w:tc>
          <w:tcPr>
            <w:tcW w:w="673" w:type="dxa"/>
            <w:noWrap/>
            <w:vAlign w:val="center"/>
            <w:hideMark/>
          </w:tcPr>
          <w:p w14:paraId="7E86B2BD"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1083E61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2F1EA359"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56D6081"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101C002B"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1D3F3A27"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1DA6BD6A"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27A0FD1E" w14:textId="77777777" w:rsidTr="00C2491D">
        <w:trPr>
          <w:trHeight w:val="284"/>
          <w:jc w:val="center"/>
        </w:trPr>
        <w:tc>
          <w:tcPr>
            <w:tcW w:w="4357" w:type="dxa"/>
            <w:noWrap/>
            <w:hideMark/>
          </w:tcPr>
          <w:p w14:paraId="1BC38611"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Лихвени разходи D.41</w:t>
            </w:r>
          </w:p>
        </w:tc>
        <w:tc>
          <w:tcPr>
            <w:tcW w:w="673" w:type="dxa"/>
            <w:noWrap/>
            <w:vAlign w:val="center"/>
            <w:hideMark/>
          </w:tcPr>
          <w:p w14:paraId="36FB0DCC"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584D19DC"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20E5E317"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2E45BEDA"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4B76E5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C10BB79"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38F4EFD1"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21CDF1D0" w14:textId="77777777" w:rsidTr="00C2491D">
        <w:trPr>
          <w:trHeight w:val="284"/>
          <w:jc w:val="center"/>
        </w:trPr>
        <w:tc>
          <w:tcPr>
            <w:tcW w:w="4357" w:type="dxa"/>
            <w:noWrap/>
            <w:hideMark/>
          </w:tcPr>
          <w:p w14:paraId="661B39B8"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Субсидии D.3</w:t>
            </w:r>
          </w:p>
        </w:tc>
        <w:tc>
          <w:tcPr>
            <w:tcW w:w="673" w:type="dxa"/>
            <w:noWrap/>
            <w:vAlign w:val="center"/>
            <w:hideMark/>
          </w:tcPr>
          <w:p w14:paraId="3D822F2C"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465870F8"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9F2A698"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7CEE0083"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5196A5FD"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1B6AB341"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676B7E02"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1D4A98EA" w14:textId="77777777" w:rsidTr="00C2491D">
        <w:trPr>
          <w:trHeight w:val="284"/>
          <w:jc w:val="center"/>
        </w:trPr>
        <w:tc>
          <w:tcPr>
            <w:tcW w:w="4357" w:type="dxa"/>
            <w:noWrap/>
            <w:hideMark/>
          </w:tcPr>
          <w:p w14:paraId="74C27F4B"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Текущи трансфери D.7</w:t>
            </w:r>
          </w:p>
        </w:tc>
        <w:tc>
          <w:tcPr>
            <w:tcW w:w="673" w:type="dxa"/>
            <w:noWrap/>
            <w:vAlign w:val="center"/>
            <w:hideMark/>
          </w:tcPr>
          <w:p w14:paraId="649A4C11"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0E6510B4"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563E8BC7"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38852896"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6772CD6B"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3A3F744A"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2F5CFC5F"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6D2466CB" w14:textId="77777777" w:rsidTr="00C2491D">
        <w:trPr>
          <w:trHeight w:val="284"/>
          <w:jc w:val="center"/>
        </w:trPr>
        <w:tc>
          <w:tcPr>
            <w:tcW w:w="4357" w:type="dxa"/>
            <w:noWrap/>
            <w:hideMark/>
          </w:tcPr>
          <w:p w14:paraId="51D8F8A9"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Общо текущи разходи </w:t>
            </w:r>
          </w:p>
        </w:tc>
        <w:tc>
          <w:tcPr>
            <w:tcW w:w="673" w:type="dxa"/>
            <w:noWrap/>
            <w:vAlign w:val="center"/>
            <w:hideMark/>
          </w:tcPr>
          <w:p w14:paraId="0BC85951"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20173DD0"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6AB0FAF"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5B856C1D"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28916F93"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6E72287A"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2C87B480"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r w:rsidR="005B2032" w:rsidRPr="005B2032" w14:paraId="71F811CF" w14:textId="77777777" w:rsidTr="00C2491D">
        <w:trPr>
          <w:trHeight w:val="284"/>
          <w:jc w:val="center"/>
        </w:trPr>
        <w:tc>
          <w:tcPr>
            <w:tcW w:w="4357" w:type="dxa"/>
            <w:noWrap/>
            <w:hideMark/>
          </w:tcPr>
          <w:p w14:paraId="288860D9"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Бруто образуване на основен капитал P.51g </w:t>
            </w:r>
          </w:p>
        </w:tc>
        <w:tc>
          <w:tcPr>
            <w:tcW w:w="673" w:type="dxa"/>
            <w:noWrap/>
            <w:vAlign w:val="center"/>
            <w:hideMark/>
          </w:tcPr>
          <w:p w14:paraId="12F83C47"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582D224B"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5689816B"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7436CE78"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759BC14F"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7353ED4E"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75C3C20B"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r w:rsidR="005B2032" w:rsidRPr="005B2032" w14:paraId="09688D06" w14:textId="77777777" w:rsidTr="00C2491D">
        <w:trPr>
          <w:trHeight w:val="284"/>
          <w:jc w:val="center"/>
        </w:trPr>
        <w:tc>
          <w:tcPr>
            <w:tcW w:w="4357" w:type="dxa"/>
            <w:noWrap/>
            <w:hideMark/>
          </w:tcPr>
          <w:p w14:paraId="54D02F1B"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Капиталови трансфери D.9 </w:t>
            </w:r>
          </w:p>
        </w:tc>
        <w:tc>
          <w:tcPr>
            <w:tcW w:w="673" w:type="dxa"/>
            <w:noWrap/>
            <w:vAlign w:val="center"/>
            <w:hideMark/>
          </w:tcPr>
          <w:p w14:paraId="51ABF0DB"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4C43D76D"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61AC5094"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2A9C31C2"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452D99D9"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2" w:type="dxa"/>
            <w:noWrap/>
            <w:vAlign w:val="center"/>
            <w:hideMark/>
          </w:tcPr>
          <w:p w14:paraId="0173E06B"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55752064"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r>
      <w:tr w:rsidR="005B2032" w:rsidRPr="005B2032" w14:paraId="5BC683BD" w14:textId="77777777" w:rsidTr="00C2491D">
        <w:trPr>
          <w:trHeight w:val="284"/>
          <w:jc w:val="center"/>
        </w:trPr>
        <w:tc>
          <w:tcPr>
            <w:tcW w:w="4357" w:type="dxa"/>
            <w:noWrap/>
            <w:hideMark/>
          </w:tcPr>
          <w:p w14:paraId="0AF6E551"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Общо капиталови разходи </w:t>
            </w:r>
          </w:p>
        </w:tc>
        <w:tc>
          <w:tcPr>
            <w:tcW w:w="673" w:type="dxa"/>
            <w:noWrap/>
            <w:vAlign w:val="center"/>
            <w:hideMark/>
          </w:tcPr>
          <w:p w14:paraId="3CC80880" w14:textId="77777777" w:rsidR="00207054" w:rsidRPr="005B2032" w:rsidRDefault="00207054" w:rsidP="0023528E">
            <w:pPr>
              <w:pStyle w:val="tabletextleft"/>
              <w:spacing w:beforeLines="60" w:before="144" w:afterLines="60" w:after="144"/>
              <w:jc w:val="right"/>
              <w:rPr>
                <w:rFonts w:asciiTheme="minorHAnsi" w:hAnsiTheme="minorHAnsi" w:cstheme="minorHAnsi"/>
              </w:rPr>
            </w:pPr>
            <w:r w:rsidRPr="005B2032">
              <w:rPr>
                <w:rFonts w:asciiTheme="minorHAnsi" w:hAnsiTheme="minorHAnsi" w:cstheme="minorHAnsi"/>
              </w:rPr>
              <w:t> </w:t>
            </w:r>
          </w:p>
        </w:tc>
        <w:tc>
          <w:tcPr>
            <w:tcW w:w="673" w:type="dxa"/>
            <w:noWrap/>
            <w:vAlign w:val="center"/>
            <w:hideMark/>
          </w:tcPr>
          <w:p w14:paraId="60FAF98E"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17449B5F"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E095CBC"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08376E3E"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518D011C"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29707F0B"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r w:rsidR="005B2032" w:rsidRPr="005B2032" w14:paraId="7286BC45" w14:textId="77777777" w:rsidTr="00C2491D">
        <w:trPr>
          <w:trHeight w:val="220"/>
          <w:jc w:val="center"/>
        </w:trPr>
        <w:tc>
          <w:tcPr>
            <w:tcW w:w="9064" w:type="dxa"/>
            <w:gridSpan w:val="8"/>
            <w:noWrap/>
            <w:hideMark/>
          </w:tcPr>
          <w:p w14:paraId="69B8D315"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w:t>
            </w:r>
          </w:p>
        </w:tc>
      </w:tr>
      <w:tr w:rsidR="005B2032" w:rsidRPr="005B2032" w14:paraId="1006375B" w14:textId="77777777" w:rsidTr="00C2491D">
        <w:trPr>
          <w:trHeight w:val="353"/>
          <w:jc w:val="center"/>
        </w:trPr>
        <w:tc>
          <w:tcPr>
            <w:tcW w:w="9064" w:type="dxa"/>
            <w:gridSpan w:val="8"/>
            <w:shd w:val="clear" w:color="auto" w:fill="EAE8F8"/>
            <w:noWrap/>
            <w:hideMark/>
          </w:tcPr>
          <w:p w14:paraId="35F195A2" w14:textId="77777777" w:rsidR="00207054" w:rsidRPr="005B2032" w:rsidRDefault="00207054" w:rsidP="0023528E">
            <w:pPr>
              <w:pStyle w:val="tabletextleft"/>
              <w:spacing w:beforeLines="60" w:before="144" w:afterLines="60" w:after="144"/>
              <w:rPr>
                <w:rFonts w:asciiTheme="minorHAnsi" w:hAnsiTheme="minorHAnsi" w:cstheme="minorHAnsi"/>
                <w:b/>
              </w:rPr>
            </w:pPr>
            <w:r w:rsidRPr="005B2032">
              <w:rPr>
                <w:rFonts w:asciiTheme="minorHAnsi" w:hAnsiTheme="minorHAnsi" w:cstheme="minorHAnsi"/>
                <w:b/>
              </w:rPr>
              <w:t>Други разходи финансирани чрез МВУ заеми (% от БВП)</w:t>
            </w:r>
            <w:r w:rsidRPr="005B2032">
              <w:rPr>
                <w:rFonts w:asciiTheme="minorHAnsi" w:hAnsiTheme="minorHAnsi" w:cstheme="minorHAnsi"/>
                <w:b/>
                <w:vertAlign w:val="superscript"/>
              </w:rPr>
              <w:t xml:space="preserve"> 1</w:t>
            </w:r>
          </w:p>
        </w:tc>
      </w:tr>
      <w:tr w:rsidR="005B2032" w:rsidRPr="005B2032" w14:paraId="640C467E" w14:textId="77777777" w:rsidTr="00C2491D">
        <w:trPr>
          <w:trHeight w:val="284"/>
          <w:jc w:val="center"/>
        </w:trPr>
        <w:tc>
          <w:tcPr>
            <w:tcW w:w="4357" w:type="dxa"/>
            <w:shd w:val="clear" w:color="auto" w:fill="EAE8F8"/>
            <w:noWrap/>
            <w:hideMark/>
          </w:tcPr>
          <w:p w14:paraId="598646D1" w14:textId="77777777" w:rsidR="00207054" w:rsidRPr="005B2032" w:rsidRDefault="00207054" w:rsidP="0023528E">
            <w:pPr>
              <w:pStyle w:val="tabletextleft"/>
              <w:spacing w:beforeLines="60" w:before="144" w:afterLines="60" w:after="144"/>
              <w:rPr>
                <w:rFonts w:asciiTheme="minorHAnsi" w:hAnsiTheme="minorHAnsi" w:cstheme="minorHAnsi"/>
                <w:b/>
                <w:i/>
                <w:iCs/>
              </w:rPr>
            </w:pPr>
            <w:r w:rsidRPr="005B2032">
              <w:rPr>
                <w:rFonts w:asciiTheme="minorHAnsi" w:hAnsiTheme="minorHAnsi" w:cstheme="minorHAnsi"/>
                <w:b/>
                <w:i/>
                <w:iCs/>
              </w:rPr>
              <w:t> </w:t>
            </w:r>
          </w:p>
        </w:tc>
        <w:tc>
          <w:tcPr>
            <w:tcW w:w="673" w:type="dxa"/>
            <w:shd w:val="clear" w:color="auto" w:fill="EAE8F8"/>
            <w:noWrap/>
            <w:vAlign w:val="center"/>
            <w:hideMark/>
          </w:tcPr>
          <w:p w14:paraId="0F57B8F0"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2020</w:t>
            </w:r>
          </w:p>
        </w:tc>
        <w:tc>
          <w:tcPr>
            <w:tcW w:w="673" w:type="dxa"/>
            <w:shd w:val="clear" w:color="auto" w:fill="EAE8F8"/>
            <w:noWrap/>
            <w:vAlign w:val="center"/>
            <w:hideMark/>
          </w:tcPr>
          <w:p w14:paraId="335E9014"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2021</w:t>
            </w:r>
          </w:p>
        </w:tc>
        <w:tc>
          <w:tcPr>
            <w:tcW w:w="672" w:type="dxa"/>
            <w:shd w:val="clear" w:color="auto" w:fill="EAE8F8"/>
            <w:noWrap/>
            <w:vAlign w:val="center"/>
            <w:hideMark/>
          </w:tcPr>
          <w:p w14:paraId="4DCA0E48"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2022</w:t>
            </w:r>
          </w:p>
        </w:tc>
        <w:tc>
          <w:tcPr>
            <w:tcW w:w="672" w:type="dxa"/>
            <w:shd w:val="clear" w:color="auto" w:fill="EAE8F8"/>
            <w:noWrap/>
            <w:vAlign w:val="center"/>
            <w:hideMark/>
          </w:tcPr>
          <w:p w14:paraId="5B92B0C7"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2023</w:t>
            </w:r>
          </w:p>
        </w:tc>
        <w:tc>
          <w:tcPr>
            <w:tcW w:w="672" w:type="dxa"/>
            <w:shd w:val="clear" w:color="auto" w:fill="EAE8F8"/>
            <w:noWrap/>
            <w:vAlign w:val="center"/>
            <w:hideMark/>
          </w:tcPr>
          <w:p w14:paraId="2594AD38"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2024</w:t>
            </w:r>
          </w:p>
        </w:tc>
        <w:tc>
          <w:tcPr>
            <w:tcW w:w="672" w:type="dxa"/>
            <w:shd w:val="clear" w:color="auto" w:fill="EAE8F8"/>
            <w:noWrap/>
            <w:vAlign w:val="center"/>
            <w:hideMark/>
          </w:tcPr>
          <w:p w14:paraId="53C5F889"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2025</w:t>
            </w:r>
          </w:p>
        </w:tc>
        <w:tc>
          <w:tcPr>
            <w:tcW w:w="673" w:type="dxa"/>
            <w:shd w:val="clear" w:color="auto" w:fill="EAE8F8"/>
            <w:noWrap/>
            <w:vAlign w:val="center"/>
            <w:hideMark/>
          </w:tcPr>
          <w:p w14:paraId="6CDC8CA3" w14:textId="77777777" w:rsidR="00207054" w:rsidRPr="005B2032" w:rsidRDefault="00207054" w:rsidP="0023528E">
            <w:pPr>
              <w:pStyle w:val="tabletextleft"/>
              <w:spacing w:beforeLines="60" w:before="144" w:afterLines="60" w:after="144"/>
              <w:jc w:val="right"/>
              <w:rPr>
                <w:rFonts w:asciiTheme="minorHAnsi" w:hAnsiTheme="minorHAnsi" w:cstheme="minorHAnsi"/>
                <w:b/>
              </w:rPr>
            </w:pPr>
            <w:r w:rsidRPr="005B2032">
              <w:rPr>
                <w:rFonts w:asciiTheme="minorHAnsi" w:hAnsiTheme="minorHAnsi" w:cstheme="minorHAnsi"/>
                <w:b/>
              </w:rPr>
              <w:t>2026</w:t>
            </w:r>
          </w:p>
        </w:tc>
      </w:tr>
      <w:tr w:rsidR="005B2032" w:rsidRPr="005B2032" w14:paraId="68128F61" w14:textId="77777777" w:rsidTr="00C2491D">
        <w:trPr>
          <w:trHeight w:val="284"/>
          <w:jc w:val="center"/>
        </w:trPr>
        <w:tc>
          <w:tcPr>
            <w:tcW w:w="4357" w:type="dxa"/>
            <w:noWrap/>
            <w:hideMark/>
          </w:tcPr>
          <w:p w14:paraId="45F94496"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Спад в данъчни приходи </w:t>
            </w:r>
          </w:p>
        </w:tc>
        <w:tc>
          <w:tcPr>
            <w:tcW w:w="673" w:type="dxa"/>
            <w:noWrap/>
            <w:vAlign w:val="center"/>
            <w:hideMark/>
          </w:tcPr>
          <w:p w14:paraId="06C90F27"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6A570AC8"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28457CAA"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0CCC4FB7"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151ADDAD"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42B6E02F"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7CC33699"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r w:rsidR="005B2032" w:rsidRPr="005B2032" w14:paraId="49AEFE38" w14:textId="77777777" w:rsidTr="00C2491D">
        <w:trPr>
          <w:trHeight w:val="284"/>
          <w:jc w:val="center"/>
        </w:trPr>
        <w:tc>
          <w:tcPr>
            <w:tcW w:w="4357" w:type="dxa"/>
            <w:noWrap/>
            <w:hideMark/>
          </w:tcPr>
          <w:p w14:paraId="2B13698F"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Други разходи с отражение върху приходите </w:t>
            </w:r>
          </w:p>
        </w:tc>
        <w:tc>
          <w:tcPr>
            <w:tcW w:w="673" w:type="dxa"/>
            <w:noWrap/>
            <w:vAlign w:val="center"/>
            <w:hideMark/>
          </w:tcPr>
          <w:p w14:paraId="22C56D51"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0AFF7227"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04CAFEB7"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7A9A5CF6"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0EED4933"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401DD882"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5407C8CB"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r w:rsidR="005B2032" w:rsidRPr="005B2032" w14:paraId="6A26B875" w14:textId="77777777" w:rsidTr="00C2491D">
        <w:trPr>
          <w:trHeight w:val="284"/>
          <w:jc w:val="center"/>
        </w:trPr>
        <w:tc>
          <w:tcPr>
            <w:tcW w:w="4357" w:type="dxa"/>
            <w:noWrap/>
            <w:hideMark/>
          </w:tcPr>
          <w:p w14:paraId="595B8874" w14:textId="77777777" w:rsidR="00207054" w:rsidRPr="005B2032" w:rsidRDefault="00207054" w:rsidP="0023528E">
            <w:pPr>
              <w:pStyle w:val="tabletextleft"/>
              <w:spacing w:beforeLines="60" w:before="144" w:afterLines="60" w:after="144"/>
              <w:rPr>
                <w:rFonts w:asciiTheme="minorHAnsi" w:hAnsiTheme="minorHAnsi" w:cstheme="minorHAnsi"/>
              </w:rPr>
            </w:pPr>
            <w:r w:rsidRPr="005B2032">
              <w:rPr>
                <w:rFonts w:asciiTheme="minorHAnsi" w:hAnsiTheme="minorHAnsi" w:cstheme="minorHAnsi"/>
              </w:rPr>
              <w:t xml:space="preserve">Финансови трансакции </w:t>
            </w:r>
          </w:p>
        </w:tc>
        <w:tc>
          <w:tcPr>
            <w:tcW w:w="673" w:type="dxa"/>
            <w:noWrap/>
            <w:vAlign w:val="center"/>
            <w:hideMark/>
          </w:tcPr>
          <w:p w14:paraId="278EA960"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27049C8C"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76F66413"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656A161A"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31DEBE2F"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2" w:type="dxa"/>
            <w:noWrap/>
            <w:vAlign w:val="center"/>
            <w:hideMark/>
          </w:tcPr>
          <w:p w14:paraId="4932E9A4"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c>
          <w:tcPr>
            <w:tcW w:w="673" w:type="dxa"/>
            <w:noWrap/>
            <w:vAlign w:val="center"/>
            <w:hideMark/>
          </w:tcPr>
          <w:p w14:paraId="413A06E1" w14:textId="77777777" w:rsidR="00207054" w:rsidRPr="005B2032" w:rsidRDefault="00207054" w:rsidP="0023528E">
            <w:pPr>
              <w:pStyle w:val="tabletextleft"/>
              <w:spacing w:beforeLines="60" w:before="144" w:afterLines="60" w:after="144"/>
              <w:jc w:val="right"/>
              <w:rPr>
                <w:rFonts w:asciiTheme="minorHAnsi" w:hAnsiTheme="minorHAnsi" w:cstheme="minorHAnsi"/>
                <w:i/>
                <w:iCs/>
              </w:rPr>
            </w:pPr>
            <w:r w:rsidRPr="005B2032">
              <w:rPr>
                <w:rFonts w:asciiTheme="minorHAnsi" w:hAnsiTheme="minorHAnsi" w:cstheme="minorHAnsi"/>
                <w:i/>
                <w:iCs/>
              </w:rPr>
              <w:t> </w:t>
            </w:r>
          </w:p>
        </w:tc>
      </w:tr>
    </w:tbl>
    <w:p w14:paraId="7C6BDA5F" w14:textId="77777777" w:rsidR="0023528E" w:rsidRDefault="0023528E" w:rsidP="00725152">
      <w:pPr>
        <w:pStyle w:val="tabletextleft"/>
        <w:rPr>
          <w:rFonts w:asciiTheme="minorHAnsi" w:hAnsiTheme="minorHAnsi" w:cstheme="minorHAnsi"/>
          <w:vertAlign w:val="superscript"/>
        </w:rPr>
      </w:pPr>
    </w:p>
    <w:p w14:paraId="11061630" w14:textId="18767E9A" w:rsidR="0023528E" w:rsidRPr="005B2032" w:rsidRDefault="0023528E" w:rsidP="00725152">
      <w:pPr>
        <w:pStyle w:val="tabletextleft"/>
        <w:rPr>
          <w:rFonts w:asciiTheme="minorHAnsi" w:hAnsiTheme="minorHAnsi" w:cstheme="minorHAnsi"/>
        </w:rPr>
      </w:pPr>
      <w:r>
        <w:rPr>
          <w:rFonts w:asciiTheme="minorHAnsi" w:hAnsiTheme="minorHAnsi" w:cstheme="minorHAnsi"/>
          <w:vertAlign w:val="superscript"/>
        </w:rPr>
        <w:t>*</w:t>
      </w:r>
      <w:r w:rsidRPr="005B2032">
        <w:rPr>
          <w:rFonts w:asciiTheme="minorHAnsi" w:hAnsiTheme="minorHAnsi" w:cstheme="minorHAnsi"/>
        </w:rPr>
        <w:t xml:space="preserve"> Включва разходи, които не се отчитат като такива в националните сметки.</w:t>
      </w:r>
    </w:p>
    <w:p w14:paraId="318DE802" w14:textId="77777777" w:rsidR="0023528E" w:rsidRPr="005B2032" w:rsidRDefault="0023528E" w:rsidP="00725152">
      <w:pPr>
        <w:pStyle w:val="tabletextleft"/>
        <w:rPr>
          <w:rFonts w:asciiTheme="minorHAnsi" w:hAnsiTheme="minorHAnsi" w:cstheme="minorHAnsi"/>
        </w:rPr>
      </w:pPr>
      <w:r w:rsidRPr="005B2032">
        <w:rPr>
          <w:rFonts w:asciiTheme="minorHAnsi" w:hAnsiTheme="minorHAnsi" w:cstheme="minorHAnsi"/>
        </w:rPr>
        <w:t>Удебеленият шрифт обозначава задължителната информация.</w:t>
      </w:r>
    </w:p>
    <w:p w14:paraId="4B7E062D" w14:textId="6AE6CB5B" w:rsidR="00C928BB" w:rsidRPr="005B2032" w:rsidRDefault="00C928BB" w:rsidP="00C928BB">
      <w:pPr>
        <w:rPr>
          <w:rFonts w:asciiTheme="minorHAnsi" w:hAnsiTheme="minorHAnsi" w:cstheme="minorHAnsi"/>
        </w:rPr>
      </w:pPr>
    </w:p>
    <w:p w14:paraId="33145FDD" w14:textId="1D9386A9" w:rsidR="00C928BB" w:rsidRPr="005B2032" w:rsidRDefault="00C928BB" w:rsidP="00C928BB">
      <w:pPr>
        <w:rPr>
          <w:rFonts w:asciiTheme="minorHAnsi" w:hAnsiTheme="minorHAnsi" w:cstheme="minorHAnsi"/>
        </w:rPr>
      </w:pPr>
    </w:p>
    <w:p w14:paraId="1FD4473F" w14:textId="49CB8DB4" w:rsidR="00697F78" w:rsidRPr="00AA1841" w:rsidRDefault="00697F78" w:rsidP="00AA1841">
      <w:pPr>
        <w:pStyle w:val="Heading2"/>
        <w:numPr>
          <w:ilvl w:val="0"/>
          <w:numId w:val="0"/>
        </w:numPr>
      </w:pPr>
      <w:bookmarkStart w:id="197" w:name="_Toc100906108"/>
      <w:r w:rsidRPr="00AA1841">
        <w:lastRenderedPageBreak/>
        <w:t>Табл. 3: Приети/обявени гаранции към</w:t>
      </w:r>
      <w:r w:rsidR="00FC0B65">
        <w:t xml:space="preserve"> 15.04.2022 г.</w:t>
      </w:r>
      <w:r w:rsidRPr="00AA1841">
        <w:t xml:space="preserve"> според Конвергентната програма</w:t>
      </w:r>
      <w:bookmarkEnd w:id="197"/>
      <w:r w:rsidRPr="00AA1841">
        <w:t xml:space="preserve"> </w:t>
      </w:r>
    </w:p>
    <w:tbl>
      <w:tblPr>
        <w:tblStyle w:val="TableGrid8"/>
        <w:tblW w:w="5000" w:type="pct"/>
        <w:jc w:val="center"/>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ook w:val="04A0" w:firstRow="1" w:lastRow="0" w:firstColumn="1" w:lastColumn="0" w:noHBand="0" w:noVBand="1"/>
      </w:tblPr>
      <w:tblGrid>
        <w:gridCol w:w="1262"/>
        <w:gridCol w:w="3255"/>
        <w:gridCol w:w="1292"/>
        <w:gridCol w:w="1830"/>
        <w:gridCol w:w="1425"/>
      </w:tblGrid>
      <w:tr w:rsidR="005B2032" w:rsidRPr="0023528E" w14:paraId="1137737D" w14:textId="77777777" w:rsidTr="00C2491D">
        <w:trPr>
          <w:trHeight w:val="810"/>
          <w:jc w:val="center"/>
        </w:trPr>
        <w:tc>
          <w:tcPr>
            <w:tcW w:w="1262" w:type="dxa"/>
            <w:shd w:val="clear" w:color="auto" w:fill="D7D4F1"/>
            <w:noWrap/>
            <w:hideMark/>
          </w:tcPr>
          <w:p w14:paraId="6EE182EC" w14:textId="77777777" w:rsidR="00697F78" w:rsidRPr="0023528E" w:rsidRDefault="00697F78" w:rsidP="0023528E">
            <w:pPr>
              <w:pStyle w:val="tabletextleft"/>
              <w:spacing w:beforeLines="60" w:before="144" w:afterLines="60" w:after="144"/>
              <w:rPr>
                <w:rFonts w:asciiTheme="minorHAnsi" w:hAnsiTheme="minorHAnsi" w:cstheme="minorHAnsi"/>
                <w:szCs w:val="18"/>
              </w:rPr>
            </w:pPr>
          </w:p>
        </w:tc>
        <w:tc>
          <w:tcPr>
            <w:tcW w:w="3255" w:type="dxa"/>
            <w:shd w:val="clear" w:color="auto" w:fill="D7D4F1"/>
            <w:noWrap/>
            <w:hideMark/>
          </w:tcPr>
          <w:p w14:paraId="5C689204" w14:textId="77777777" w:rsidR="00697F78" w:rsidRPr="0023528E" w:rsidRDefault="00697F78" w:rsidP="0023528E">
            <w:pPr>
              <w:pStyle w:val="tabletextleft"/>
              <w:spacing w:beforeLines="60" w:before="144" w:afterLines="60" w:after="144"/>
              <w:rPr>
                <w:rFonts w:asciiTheme="minorHAnsi" w:hAnsiTheme="minorHAnsi" w:cstheme="minorHAnsi"/>
                <w:b/>
                <w:bCs/>
                <w:szCs w:val="18"/>
              </w:rPr>
            </w:pPr>
            <w:r w:rsidRPr="0023528E">
              <w:rPr>
                <w:rFonts w:asciiTheme="minorHAnsi" w:hAnsiTheme="minorHAnsi" w:cstheme="minorHAnsi"/>
                <w:b/>
                <w:bCs/>
                <w:szCs w:val="18"/>
              </w:rPr>
              <w:t>Мерки</w:t>
            </w:r>
          </w:p>
        </w:tc>
        <w:tc>
          <w:tcPr>
            <w:tcW w:w="1292" w:type="dxa"/>
            <w:shd w:val="clear" w:color="auto" w:fill="D7D4F1"/>
            <w:hideMark/>
          </w:tcPr>
          <w:p w14:paraId="32B68E14" w14:textId="77777777" w:rsidR="00697F78" w:rsidRPr="0023528E" w:rsidRDefault="00697F78" w:rsidP="0023528E">
            <w:pPr>
              <w:pStyle w:val="tabletextleft"/>
              <w:spacing w:beforeLines="60" w:before="144" w:afterLines="60" w:after="144"/>
              <w:rPr>
                <w:rFonts w:asciiTheme="minorHAnsi" w:hAnsiTheme="minorHAnsi" w:cstheme="minorHAnsi"/>
                <w:b/>
                <w:bCs/>
                <w:szCs w:val="18"/>
              </w:rPr>
            </w:pPr>
            <w:r w:rsidRPr="0023528E">
              <w:rPr>
                <w:rFonts w:asciiTheme="minorHAnsi" w:hAnsiTheme="minorHAnsi" w:cstheme="minorHAnsi"/>
                <w:b/>
                <w:bCs/>
                <w:szCs w:val="18"/>
              </w:rPr>
              <w:t xml:space="preserve">Дата на </w:t>
            </w:r>
            <w:r w:rsidRPr="0023528E">
              <w:rPr>
                <w:rFonts w:asciiTheme="minorHAnsi" w:hAnsiTheme="minorHAnsi" w:cstheme="minorHAnsi"/>
                <w:b/>
                <w:bCs/>
                <w:szCs w:val="18"/>
              </w:rPr>
              <w:br/>
              <w:t xml:space="preserve">приемане </w:t>
            </w:r>
          </w:p>
        </w:tc>
        <w:tc>
          <w:tcPr>
            <w:tcW w:w="1830" w:type="dxa"/>
            <w:shd w:val="clear" w:color="auto" w:fill="D7D4F1"/>
            <w:hideMark/>
          </w:tcPr>
          <w:p w14:paraId="20755AF4" w14:textId="1AF0F9AD" w:rsidR="00697F78" w:rsidRPr="0023528E" w:rsidRDefault="00697F78" w:rsidP="0023528E">
            <w:pPr>
              <w:pStyle w:val="tabletextleft"/>
              <w:spacing w:beforeLines="60" w:before="144" w:afterLines="60" w:after="144"/>
              <w:rPr>
                <w:rFonts w:asciiTheme="minorHAnsi" w:hAnsiTheme="minorHAnsi" w:cstheme="minorHAnsi"/>
                <w:b/>
                <w:bCs/>
                <w:szCs w:val="18"/>
              </w:rPr>
            </w:pPr>
            <w:r w:rsidRPr="0023528E">
              <w:rPr>
                <w:rFonts w:asciiTheme="minorHAnsi" w:hAnsiTheme="minorHAnsi" w:cstheme="minorHAnsi"/>
                <w:b/>
                <w:bCs/>
                <w:szCs w:val="18"/>
              </w:rPr>
              <w:t>Максимален размер на условните задължения</w:t>
            </w:r>
            <w:r w:rsidR="009C0E16" w:rsidRPr="0023528E">
              <w:rPr>
                <w:rFonts w:asciiTheme="minorHAnsi" w:hAnsiTheme="minorHAnsi" w:cstheme="minorHAnsi"/>
                <w:b/>
                <w:bCs/>
                <w:szCs w:val="18"/>
              </w:rPr>
              <w:t xml:space="preserve"> </w:t>
            </w:r>
            <w:r w:rsidRPr="0023528E">
              <w:rPr>
                <w:rFonts w:asciiTheme="minorHAnsi" w:hAnsiTheme="minorHAnsi" w:cstheme="minorHAnsi"/>
                <w:b/>
                <w:bCs/>
                <w:szCs w:val="18"/>
              </w:rPr>
              <w:br/>
            </w:r>
            <w:r w:rsidRPr="0023528E">
              <w:rPr>
                <w:rFonts w:asciiTheme="minorHAnsi" w:hAnsiTheme="minorHAnsi" w:cstheme="minorHAnsi"/>
                <w:szCs w:val="18"/>
              </w:rPr>
              <w:t>(% от БВП)</w:t>
            </w:r>
          </w:p>
        </w:tc>
        <w:tc>
          <w:tcPr>
            <w:tcW w:w="1425" w:type="dxa"/>
            <w:shd w:val="clear" w:color="auto" w:fill="D7D4F1"/>
            <w:hideMark/>
          </w:tcPr>
          <w:p w14:paraId="512EF345" w14:textId="77777777" w:rsidR="00697F78" w:rsidRPr="0023528E" w:rsidRDefault="00697F78" w:rsidP="0023528E">
            <w:pPr>
              <w:pStyle w:val="tabletextleft"/>
              <w:spacing w:beforeLines="60" w:before="144" w:afterLines="60" w:after="144"/>
              <w:rPr>
                <w:rFonts w:asciiTheme="minorHAnsi" w:hAnsiTheme="minorHAnsi" w:cstheme="minorHAnsi"/>
                <w:b/>
                <w:bCs/>
                <w:szCs w:val="18"/>
              </w:rPr>
            </w:pPr>
            <w:r w:rsidRPr="0023528E">
              <w:rPr>
                <w:rFonts w:asciiTheme="minorHAnsi" w:hAnsiTheme="minorHAnsi" w:cstheme="minorHAnsi"/>
                <w:b/>
                <w:bCs/>
                <w:szCs w:val="18"/>
              </w:rPr>
              <w:t xml:space="preserve">Очаквано </w:t>
            </w:r>
            <w:r w:rsidRPr="0023528E">
              <w:rPr>
                <w:rFonts w:asciiTheme="minorHAnsi" w:hAnsiTheme="minorHAnsi" w:cstheme="minorHAnsi"/>
                <w:b/>
                <w:bCs/>
                <w:szCs w:val="18"/>
              </w:rPr>
              <w:br/>
              <w:t xml:space="preserve">усвояване </w:t>
            </w:r>
            <w:r w:rsidRPr="0023528E">
              <w:rPr>
                <w:rFonts w:asciiTheme="minorHAnsi" w:hAnsiTheme="minorHAnsi" w:cstheme="minorHAnsi"/>
                <w:b/>
                <w:bCs/>
                <w:szCs w:val="18"/>
              </w:rPr>
              <w:br/>
            </w:r>
            <w:r w:rsidRPr="0023528E">
              <w:rPr>
                <w:rFonts w:asciiTheme="minorHAnsi" w:hAnsiTheme="minorHAnsi" w:cstheme="minorHAnsi"/>
                <w:szCs w:val="18"/>
              </w:rPr>
              <w:t>(% от БВП)</w:t>
            </w:r>
          </w:p>
        </w:tc>
      </w:tr>
      <w:tr w:rsidR="005B2032" w:rsidRPr="0023528E" w14:paraId="3969F4CA" w14:textId="77777777" w:rsidTr="00C2491D">
        <w:trPr>
          <w:trHeight w:val="155"/>
          <w:jc w:val="center"/>
        </w:trPr>
        <w:tc>
          <w:tcPr>
            <w:tcW w:w="1262" w:type="dxa"/>
            <w:vMerge w:val="restart"/>
            <w:noWrap/>
            <w:hideMark/>
          </w:tcPr>
          <w:p w14:paraId="17563896" w14:textId="77777777"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В отговор на COVID-19</w:t>
            </w:r>
          </w:p>
        </w:tc>
        <w:tc>
          <w:tcPr>
            <w:tcW w:w="3255" w:type="dxa"/>
            <w:shd w:val="clear" w:color="auto" w:fill="auto"/>
            <w:noWrap/>
            <w:vAlign w:val="bottom"/>
          </w:tcPr>
          <w:p w14:paraId="61C5927B" w14:textId="0249A92D"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1. Европейски инструмент за временна подкрепа с цел смекчаване на рисковете от безработица при извънредно положение в следствие на избухването на COVID-19, между Европейската комисия и Република България.</w:t>
            </w:r>
          </w:p>
        </w:tc>
        <w:tc>
          <w:tcPr>
            <w:tcW w:w="1292" w:type="dxa"/>
            <w:shd w:val="clear" w:color="auto" w:fill="auto"/>
            <w:noWrap/>
            <w:vAlign w:val="bottom"/>
          </w:tcPr>
          <w:p w14:paraId="7391572A" w14:textId="5EEBDE9D"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9.окт.20</w:t>
            </w:r>
          </w:p>
        </w:tc>
        <w:tc>
          <w:tcPr>
            <w:tcW w:w="1830" w:type="dxa"/>
            <w:shd w:val="clear" w:color="auto" w:fill="auto"/>
            <w:noWrap/>
            <w:vAlign w:val="bottom"/>
          </w:tcPr>
          <w:p w14:paraId="29C9E856" w14:textId="747A1FB0"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14</w:t>
            </w:r>
          </w:p>
        </w:tc>
        <w:tc>
          <w:tcPr>
            <w:tcW w:w="1425" w:type="dxa"/>
            <w:noWrap/>
            <w:vAlign w:val="bottom"/>
          </w:tcPr>
          <w:p w14:paraId="41E2EB4E" w14:textId="6A99F836"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08</w:t>
            </w:r>
          </w:p>
        </w:tc>
      </w:tr>
      <w:tr w:rsidR="005B2032" w:rsidRPr="0023528E" w14:paraId="5A967552" w14:textId="77777777" w:rsidTr="00C2491D">
        <w:trPr>
          <w:trHeight w:val="155"/>
          <w:jc w:val="center"/>
        </w:trPr>
        <w:tc>
          <w:tcPr>
            <w:tcW w:w="1262" w:type="dxa"/>
            <w:vMerge/>
            <w:noWrap/>
            <w:hideMark/>
          </w:tcPr>
          <w:p w14:paraId="30E0C0FA"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shd w:val="clear" w:color="auto" w:fill="auto"/>
            <w:noWrap/>
            <w:vAlign w:val="bottom"/>
          </w:tcPr>
          <w:p w14:paraId="3957F742" w14:textId="3EF9531B"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2. Споразумението за принос между Република България и ЕИБ по отношение на Паневропейския гаранционен фон.</w:t>
            </w:r>
          </w:p>
        </w:tc>
        <w:tc>
          <w:tcPr>
            <w:tcW w:w="1292" w:type="dxa"/>
            <w:shd w:val="clear" w:color="auto" w:fill="auto"/>
            <w:noWrap/>
            <w:vAlign w:val="bottom"/>
          </w:tcPr>
          <w:p w14:paraId="7EB580E8" w14:textId="7DF610C4"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9.окт.20</w:t>
            </w:r>
          </w:p>
        </w:tc>
        <w:tc>
          <w:tcPr>
            <w:tcW w:w="1830" w:type="dxa"/>
            <w:shd w:val="clear" w:color="auto" w:fill="auto"/>
            <w:noWrap/>
            <w:vAlign w:val="bottom"/>
          </w:tcPr>
          <w:p w14:paraId="141F2DA2" w14:textId="1D103F7A"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08</w:t>
            </w:r>
          </w:p>
        </w:tc>
        <w:tc>
          <w:tcPr>
            <w:tcW w:w="1425" w:type="dxa"/>
            <w:noWrap/>
            <w:vAlign w:val="bottom"/>
          </w:tcPr>
          <w:p w14:paraId="0B266251" w14:textId="01323F84"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08</w:t>
            </w:r>
          </w:p>
        </w:tc>
      </w:tr>
      <w:tr w:rsidR="005B2032" w:rsidRPr="0023528E" w14:paraId="5A0B07EA" w14:textId="77777777" w:rsidTr="00C2491D">
        <w:trPr>
          <w:trHeight w:val="163"/>
          <w:jc w:val="center"/>
        </w:trPr>
        <w:tc>
          <w:tcPr>
            <w:tcW w:w="1262" w:type="dxa"/>
            <w:vMerge/>
            <w:noWrap/>
            <w:hideMark/>
          </w:tcPr>
          <w:p w14:paraId="591FB7F5"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hideMark/>
          </w:tcPr>
          <w:p w14:paraId="30E124CC" w14:textId="0810A67B" w:rsidR="00CE44DB" w:rsidRPr="0023528E" w:rsidRDefault="00CE44DB" w:rsidP="0023528E">
            <w:pPr>
              <w:pStyle w:val="tabletextleft"/>
              <w:spacing w:beforeLines="60" w:before="144" w:afterLines="60" w:after="144"/>
              <w:rPr>
                <w:rFonts w:asciiTheme="minorHAnsi" w:hAnsiTheme="minorHAnsi" w:cstheme="minorHAnsi"/>
                <w:b/>
                <w:szCs w:val="18"/>
              </w:rPr>
            </w:pPr>
            <w:r w:rsidRPr="0023528E">
              <w:rPr>
                <w:rFonts w:asciiTheme="minorHAnsi" w:hAnsiTheme="minorHAnsi" w:cstheme="minorHAnsi"/>
                <w:b/>
                <w:szCs w:val="18"/>
              </w:rPr>
              <w:t xml:space="preserve">Междинна сума </w:t>
            </w:r>
          </w:p>
        </w:tc>
        <w:tc>
          <w:tcPr>
            <w:tcW w:w="1292" w:type="dxa"/>
            <w:noWrap/>
            <w:hideMark/>
          </w:tcPr>
          <w:p w14:paraId="484D6413" w14:textId="77777777"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 </w:t>
            </w:r>
          </w:p>
        </w:tc>
        <w:tc>
          <w:tcPr>
            <w:tcW w:w="1830" w:type="dxa"/>
            <w:noWrap/>
            <w:vAlign w:val="bottom"/>
          </w:tcPr>
          <w:p w14:paraId="5C050F0F" w14:textId="240E9D77"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b/>
                <w:bCs/>
                <w:szCs w:val="18"/>
              </w:rPr>
              <w:t>0</w:t>
            </w:r>
            <w:r w:rsidR="000B3666" w:rsidRPr="0023528E">
              <w:rPr>
                <w:rFonts w:asciiTheme="minorHAnsi" w:hAnsiTheme="minorHAnsi" w:cstheme="minorHAnsi"/>
                <w:b/>
                <w:bCs/>
                <w:szCs w:val="18"/>
              </w:rPr>
              <w:t>.</w:t>
            </w:r>
            <w:r w:rsidRPr="0023528E">
              <w:rPr>
                <w:rFonts w:asciiTheme="minorHAnsi" w:hAnsiTheme="minorHAnsi" w:cstheme="minorHAnsi"/>
                <w:b/>
                <w:bCs/>
                <w:szCs w:val="18"/>
              </w:rPr>
              <w:t>22</w:t>
            </w:r>
          </w:p>
        </w:tc>
        <w:tc>
          <w:tcPr>
            <w:tcW w:w="1425" w:type="dxa"/>
            <w:noWrap/>
            <w:vAlign w:val="bottom"/>
          </w:tcPr>
          <w:p w14:paraId="491F8A57" w14:textId="570C85A0"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b/>
                <w:bCs/>
                <w:szCs w:val="18"/>
              </w:rPr>
              <w:t>0</w:t>
            </w:r>
            <w:r w:rsidR="000B3666" w:rsidRPr="0023528E">
              <w:rPr>
                <w:rFonts w:asciiTheme="minorHAnsi" w:hAnsiTheme="minorHAnsi" w:cstheme="minorHAnsi"/>
                <w:b/>
                <w:bCs/>
                <w:szCs w:val="18"/>
              </w:rPr>
              <w:t>.</w:t>
            </w:r>
            <w:r w:rsidRPr="0023528E">
              <w:rPr>
                <w:rFonts w:asciiTheme="minorHAnsi" w:hAnsiTheme="minorHAnsi" w:cstheme="minorHAnsi"/>
                <w:b/>
                <w:bCs/>
                <w:szCs w:val="18"/>
              </w:rPr>
              <w:t>15</w:t>
            </w:r>
          </w:p>
        </w:tc>
      </w:tr>
      <w:tr w:rsidR="005B2032" w:rsidRPr="0023528E" w14:paraId="7BD8559E" w14:textId="77777777" w:rsidTr="00C2491D">
        <w:trPr>
          <w:trHeight w:val="155"/>
          <w:jc w:val="center"/>
        </w:trPr>
        <w:tc>
          <w:tcPr>
            <w:tcW w:w="1262" w:type="dxa"/>
            <w:vMerge w:val="restart"/>
            <w:noWrap/>
            <w:hideMark/>
          </w:tcPr>
          <w:p w14:paraId="743B93D1" w14:textId="77777777"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 Други</w:t>
            </w:r>
          </w:p>
        </w:tc>
        <w:tc>
          <w:tcPr>
            <w:tcW w:w="3255" w:type="dxa"/>
            <w:shd w:val="clear" w:color="auto" w:fill="auto"/>
            <w:noWrap/>
            <w:vAlign w:val="bottom"/>
          </w:tcPr>
          <w:p w14:paraId="2CA2A3C6" w14:textId="2A7DBCFD"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1. Гаранция за финансиране на проект за изграждане на трансграничен тръбопровод между газопреносните системи на Гърция и България</w:t>
            </w:r>
          </w:p>
        </w:tc>
        <w:tc>
          <w:tcPr>
            <w:tcW w:w="1292" w:type="dxa"/>
            <w:shd w:val="clear" w:color="auto" w:fill="auto"/>
            <w:noWrap/>
            <w:vAlign w:val="bottom"/>
          </w:tcPr>
          <w:p w14:paraId="7671BDAA" w14:textId="34C7F227"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дек.19</w:t>
            </w:r>
          </w:p>
        </w:tc>
        <w:tc>
          <w:tcPr>
            <w:tcW w:w="1830" w:type="dxa"/>
            <w:shd w:val="clear" w:color="auto" w:fill="auto"/>
            <w:noWrap/>
            <w:vAlign w:val="bottom"/>
          </w:tcPr>
          <w:p w14:paraId="048621B1" w14:textId="5290AD7B"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13</w:t>
            </w:r>
          </w:p>
        </w:tc>
        <w:tc>
          <w:tcPr>
            <w:tcW w:w="1425" w:type="dxa"/>
            <w:shd w:val="clear" w:color="auto" w:fill="auto"/>
            <w:noWrap/>
            <w:vAlign w:val="bottom"/>
          </w:tcPr>
          <w:p w14:paraId="28C72B64" w14:textId="5EF525AC"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09</w:t>
            </w:r>
          </w:p>
        </w:tc>
      </w:tr>
      <w:tr w:rsidR="005B2032" w:rsidRPr="0023528E" w14:paraId="64013FC9" w14:textId="77777777" w:rsidTr="00C2491D">
        <w:trPr>
          <w:trHeight w:val="155"/>
          <w:jc w:val="center"/>
        </w:trPr>
        <w:tc>
          <w:tcPr>
            <w:tcW w:w="1262" w:type="dxa"/>
            <w:vMerge/>
            <w:noWrap/>
            <w:hideMark/>
          </w:tcPr>
          <w:p w14:paraId="35599ABD"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shd w:val="clear" w:color="auto" w:fill="auto"/>
            <w:noWrap/>
            <w:vAlign w:val="bottom"/>
          </w:tcPr>
          <w:p w14:paraId="499226BE" w14:textId="0EE3CA69"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2. Гаранционно споразумение КОТОНУ II</w:t>
            </w:r>
          </w:p>
        </w:tc>
        <w:tc>
          <w:tcPr>
            <w:tcW w:w="1292" w:type="dxa"/>
            <w:shd w:val="clear" w:color="auto" w:fill="auto"/>
            <w:noWrap/>
            <w:vAlign w:val="bottom"/>
          </w:tcPr>
          <w:p w14:paraId="06E517F3" w14:textId="53D8DB6F"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мар.09</w:t>
            </w:r>
          </w:p>
        </w:tc>
        <w:tc>
          <w:tcPr>
            <w:tcW w:w="1830" w:type="dxa"/>
            <w:shd w:val="clear" w:color="auto" w:fill="auto"/>
            <w:noWrap/>
            <w:vAlign w:val="bottom"/>
          </w:tcPr>
          <w:p w14:paraId="1DD47F59" w14:textId="0065F25F"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c>
          <w:tcPr>
            <w:tcW w:w="1425" w:type="dxa"/>
            <w:shd w:val="clear" w:color="auto" w:fill="auto"/>
            <w:noWrap/>
            <w:vAlign w:val="bottom"/>
          </w:tcPr>
          <w:p w14:paraId="7C264A67" w14:textId="6E50FE9E"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r>
      <w:tr w:rsidR="005B2032" w:rsidRPr="0023528E" w14:paraId="78FBCEEA" w14:textId="77777777" w:rsidTr="00C2491D">
        <w:trPr>
          <w:trHeight w:val="155"/>
          <w:jc w:val="center"/>
        </w:trPr>
        <w:tc>
          <w:tcPr>
            <w:tcW w:w="1262" w:type="dxa"/>
            <w:vMerge/>
            <w:noWrap/>
          </w:tcPr>
          <w:p w14:paraId="1EF8F14A"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shd w:val="clear" w:color="auto" w:fill="auto"/>
            <w:noWrap/>
            <w:vAlign w:val="bottom"/>
          </w:tcPr>
          <w:p w14:paraId="4F4D739B" w14:textId="6CB99FB5"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3. Гаранционно споразумение за реконструкция на "КЦМ ЕАД</w:t>
            </w:r>
            <w:r w:rsidR="00DF07FD" w:rsidRPr="0023528E">
              <w:rPr>
                <w:rFonts w:asciiTheme="minorHAnsi" w:hAnsiTheme="minorHAnsi" w:cstheme="minorHAnsi"/>
                <w:szCs w:val="18"/>
              </w:rPr>
              <w:t xml:space="preserve"> – </w:t>
            </w:r>
            <w:r w:rsidRPr="0023528E">
              <w:rPr>
                <w:rFonts w:asciiTheme="minorHAnsi" w:hAnsiTheme="minorHAnsi" w:cstheme="minorHAnsi"/>
                <w:szCs w:val="18"/>
              </w:rPr>
              <w:t>Пловдив" за намаляване на промишленото замърсяване</w:t>
            </w:r>
          </w:p>
        </w:tc>
        <w:tc>
          <w:tcPr>
            <w:tcW w:w="1292" w:type="dxa"/>
            <w:shd w:val="clear" w:color="auto" w:fill="auto"/>
            <w:noWrap/>
            <w:vAlign w:val="bottom"/>
          </w:tcPr>
          <w:p w14:paraId="6958E556" w14:textId="205C9FD9"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ное.95</w:t>
            </w:r>
          </w:p>
        </w:tc>
        <w:tc>
          <w:tcPr>
            <w:tcW w:w="1830" w:type="dxa"/>
            <w:shd w:val="clear" w:color="auto" w:fill="auto"/>
            <w:noWrap/>
            <w:vAlign w:val="bottom"/>
          </w:tcPr>
          <w:p w14:paraId="126300E4" w14:textId="60F1E30F"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01</w:t>
            </w:r>
          </w:p>
        </w:tc>
        <w:tc>
          <w:tcPr>
            <w:tcW w:w="1425" w:type="dxa"/>
            <w:shd w:val="clear" w:color="auto" w:fill="auto"/>
            <w:noWrap/>
            <w:vAlign w:val="bottom"/>
          </w:tcPr>
          <w:p w14:paraId="7B25ECD6" w14:textId="1C161A71"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r>
      <w:tr w:rsidR="005B2032" w:rsidRPr="0023528E" w14:paraId="3473AE76" w14:textId="77777777" w:rsidTr="00C2491D">
        <w:trPr>
          <w:trHeight w:val="155"/>
          <w:jc w:val="center"/>
        </w:trPr>
        <w:tc>
          <w:tcPr>
            <w:tcW w:w="1262" w:type="dxa"/>
            <w:vMerge/>
            <w:noWrap/>
          </w:tcPr>
          <w:p w14:paraId="6F3DECE7"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shd w:val="clear" w:color="auto" w:fill="auto"/>
            <w:noWrap/>
            <w:vAlign w:val="bottom"/>
          </w:tcPr>
          <w:p w14:paraId="35B64A89" w14:textId="52EEED60"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5. Гаранции по Закона за кредитиране на студенти и докторанти</w:t>
            </w:r>
          </w:p>
        </w:tc>
        <w:tc>
          <w:tcPr>
            <w:tcW w:w="1292" w:type="dxa"/>
            <w:shd w:val="clear" w:color="auto" w:fill="auto"/>
            <w:noWrap/>
            <w:vAlign w:val="bottom"/>
          </w:tcPr>
          <w:p w14:paraId="2D5643E9" w14:textId="331558F0"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авг.09</w:t>
            </w:r>
          </w:p>
        </w:tc>
        <w:tc>
          <w:tcPr>
            <w:tcW w:w="1830" w:type="dxa"/>
            <w:shd w:val="clear" w:color="auto" w:fill="auto"/>
            <w:noWrap/>
            <w:vAlign w:val="bottom"/>
          </w:tcPr>
          <w:p w14:paraId="617808D3" w14:textId="39082E0E"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05</w:t>
            </w:r>
          </w:p>
        </w:tc>
        <w:tc>
          <w:tcPr>
            <w:tcW w:w="1425" w:type="dxa"/>
            <w:shd w:val="clear" w:color="auto" w:fill="auto"/>
            <w:noWrap/>
            <w:vAlign w:val="bottom"/>
          </w:tcPr>
          <w:p w14:paraId="54F775EB" w14:textId="7CF4CC04"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01</w:t>
            </w:r>
          </w:p>
        </w:tc>
      </w:tr>
      <w:tr w:rsidR="005B2032" w:rsidRPr="0023528E" w14:paraId="718529BF" w14:textId="77777777" w:rsidTr="00C2491D">
        <w:trPr>
          <w:trHeight w:val="155"/>
          <w:jc w:val="center"/>
        </w:trPr>
        <w:tc>
          <w:tcPr>
            <w:tcW w:w="1262" w:type="dxa"/>
            <w:vMerge/>
            <w:noWrap/>
            <w:hideMark/>
          </w:tcPr>
          <w:p w14:paraId="54F8A288"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shd w:val="clear" w:color="auto" w:fill="auto"/>
            <w:noWrap/>
            <w:vAlign w:val="bottom"/>
          </w:tcPr>
          <w:p w14:paraId="6180280D" w14:textId="483558E5"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6. Общинска гаранция за "Общински пътнически транспорт ЕООД" гр. Габрово</w:t>
            </w:r>
          </w:p>
        </w:tc>
        <w:tc>
          <w:tcPr>
            <w:tcW w:w="1292" w:type="dxa"/>
            <w:shd w:val="clear" w:color="auto" w:fill="auto"/>
            <w:noWrap/>
            <w:vAlign w:val="bottom"/>
          </w:tcPr>
          <w:p w14:paraId="0C8D631A" w14:textId="41A016F8"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2020</w:t>
            </w:r>
          </w:p>
        </w:tc>
        <w:tc>
          <w:tcPr>
            <w:tcW w:w="1830" w:type="dxa"/>
            <w:shd w:val="clear" w:color="auto" w:fill="auto"/>
            <w:noWrap/>
            <w:vAlign w:val="bottom"/>
          </w:tcPr>
          <w:p w14:paraId="271F90E6" w14:textId="2D9C197C"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c>
          <w:tcPr>
            <w:tcW w:w="1425" w:type="dxa"/>
            <w:shd w:val="clear" w:color="auto" w:fill="auto"/>
            <w:noWrap/>
            <w:vAlign w:val="bottom"/>
          </w:tcPr>
          <w:p w14:paraId="010680BB" w14:textId="43F6FA86"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r>
      <w:tr w:rsidR="005B2032" w:rsidRPr="0023528E" w14:paraId="0779796B" w14:textId="77777777" w:rsidTr="00C2491D">
        <w:trPr>
          <w:trHeight w:val="155"/>
          <w:jc w:val="center"/>
        </w:trPr>
        <w:tc>
          <w:tcPr>
            <w:tcW w:w="1262" w:type="dxa"/>
            <w:vMerge/>
            <w:noWrap/>
            <w:hideMark/>
          </w:tcPr>
          <w:p w14:paraId="1C9F7DD9"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shd w:val="clear" w:color="auto" w:fill="auto"/>
            <w:noWrap/>
            <w:vAlign w:val="bottom"/>
          </w:tcPr>
          <w:p w14:paraId="2DABBDC8" w14:textId="6645BA1C"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7. Общинска гаранция за "Диагностично-консултативен център II" гр. Добрич</w:t>
            </w:r>
          </w:p>
        </w:tc>
        <w:tc>
          <w:tcPr>
            <w:tcW w:w="1292" w:type="dxa"/>
            <w:shd w:val="clear" w:color="auto" w:fill="auto"/>
            <w:noWrap/>
            <w:vAlign w:val="bottom"/>
          </w:tcPr>
          <w:p w14:paraId="309C743A" w14:textId="1C01ADD3"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авг.19</w:t>
            </w:r>
          </w:p>
        </w:tc>
        <w:tc>
          <w:tcPr>
            <w:tcW w:w="1830" w:type="dxa"/>
            <w:shd w:val="clear" w:color="auto" w:fill="auto"/>
            <w:noWrap/>
            <w:vAlign w:val="bottom"/>
          </w:tcPr>
          <w:p w14:paraId="7D23B55A" w14:textId="54476070"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c>
          <w:tcPr>
            <w:tcW w:w="1425" w:type="dxa"/>
            <w:shd w:val="clear" w:color="auto" w:fill="auto"/>
            <w:noWrap/>
            <w:vAlign w:val="bottom"/>
          </w:tcPr>
          <w:p w14:paraId="5DF12731" w14:textId="6BAAA68E"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szCs w:val="18"/>
              </w:rPr>
              <w:t>0</w:t>
            </w:r>
            <w:r w:rsidR="000B3666" w:rsidRPr="0023528E">
              <w:rPr>
                <w:rFonts w:asciiTheme="minorHAnsi" w:hAnsiTheme="minorHAnsi" w:cstheme="minorHAnsi"/>
                <w:szCs w:val="18"/>
              </w:rPr>
              <w:t>.</w:t>
            </w:r>
            <w:r w:rsidRPr="0023528E">
              <w:rPr>
                <w:rFonts w:asciiTheme="minorHAnsi" w:hAnsiTheme="minorHAnsi" w:cstheme="minorHAnsi"/>
                <w:szCs w:val="18"/>
              </w:rPr>
              <w:t>00</w:t>
            </w:r>
          </w:p>
        </w:tc>
      </w:tr>
      <w:tr w:rsidR="005B2032" w:rsidRPr="0023528E" w14:paraId="70C9F805" w14:textId="77777777" w:rsidTr="00C2491D">
        <w:trPr>
          <w:trHeight w:val="239"/>
          <w:jc w:val="center"/>
        </w:trPr>
        <w:tc>
          <w:tcPr>
            <w:tcW w:w="1262" w:type="dxa"/>
            <w:vMerge/>
            <w:noWrap/>
            <w:hideMark/>
          </w:tcPr>
          <w:p w14:paraId="17FEC555" w14:textId="77777777" w:rsidR="00CE44DB" w:rsidRPr="0023528E" w:rsidRDefault="00CE44DB" w:rsidP="0023528E">
            <w:pPr>
              <w:pStyle w:val="tabletextleft"/>
              <w:spacing w:beforeLines="60" w:before="144" w:afterLines="60" w:after="144"/>
              <w:rPr>
                <w:rFonts w:asciiTheme="minorHAnsi" w:hAnsiTheme="minorHAnsi" w:cstheme="minorHAnsi"/>
                <w:szCs w:val="18"/>
              </w:rPr>
            </w:pPr>
          </w:p>
        </w:tc>
        <w:tc>
          <w:tcPr>
            <w:tcW w:w="3255" w:type="dxa"/>
            <w:vAlign w:val="bottom"/>
            <w:hideMark/>
          </w:tcPr>
          <w:p w14:paraId="23E519EF" w14:textId="4CC90432"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b/>
                <w:bCs/>
                <w:szCs w:val="18"/>
              </w:rPr>
              <w:t>Междинна сума</w:t>
            </w:r>
          </w:p>
        </w:tc>
        <w:tc>
          <w:tcPr>
            <w:tcW w:w="1292" w:type="dxa"/>
            <w:noWrap/>
            <w:vAlign w:val="bottom"/>
            <w:hideMark/>
          </w:tcPr>
          <w:p w14:paraId="2720A750" w14:textId="22FBA30A"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 </w:t>
            </w:r>
          </w:p>
        </w:tc>
        <w:tc>
          <w:tcPr>
            <w:tcW w:w="1830" w:type="dxa"/>
            <w:shd w:val="clear" w:color="auto" w:fill="EAE8F8"/>
            <w:noWrap/>
            <w:vAlign w:val="bottom"/>
          </w:tcPr>
          <w:p w14:paraId="2ABF7876" w14:textId="32E1C609"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b/>
                <w:bCs/>
                <w:szCs w:val="18"/>
              </w:rPr>
              <w:t>0</w:t>
            </w:r>
            <w:r w:rsidR="000B3666" w:rsidRPr="0023528E">
              <w:rPr>
                <w:rFonts w:asciiTheme="minorHAnsi" w:hAnsiTheme="minorHAnsi" w:cstheme="minorHAnsi"/>
                <w:b/>
                <w:bCs/>
                <w:szCs w:val="18"/>
              </w:rPr>
              <w:t>.</w:t>
            </w:r>
            <w:r w:rsidRPr="0023528E">
              <w:rPr>
                <w:rFonts w:asciiTheme="minorHAnsi" w:hAnsiTheme="minorHAnsi" w:cstheme="minorHAnsi"/>
                <w:b/>
                <w:bCs/>
                <w:szCs w:val="18"/>
              </w:rPr>
              <w:t>20</w:t>
            </w:r>
          </w:p>
        </w:tc>
        <w:tc>
          <w:tcPr>
            <w:tcW w:w="1425" w:type="dxa"/>
            <w:shd w:val="clear" w:color="auto" w:fill="EAE8F8"/>
            <w:noWrap/>
            <w:vAlign w:val="bottom"/>
          </w:tcPr>
          <w:p w14:paraId="0E7D1CE3" w14:textId="57D1E749"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b/>
                <w:bCs/>
                <w:szCs w:val="18"/>
              </w:rPr>
              <w:t>0</w:t>
            </w:r>
            <w:r w:rsidR="000B3666" w:rsidRPr="0023528E">
              <w:rPr>
                <w:rFonts w:asciiTheme="minorHAnsi" w:hAnsiTheme="minorHAnsi" w:cstheme="minorHAnsi"/>
                <w:b/>
                <w:bCs/>
                <w:szCs w:val="18"/>
              </w:rPr>
              <w:t>.</w:t>
            </w:r>
            <w:r w:rsidRPr="0023528E">
              <w:rPr>
                <w:rFonts w:asciiTheme="minorHAnsi" w:hAnsiTheme="minorHAnsi" w:cstheme="minorHAnsi"/>
                <w:b/>
                <w:bCs/>
                <w:szCs w:val="18"/>
              </w:rPr>
              <w:t>10</w:t>
            </w:r>
          </w:p>
        </w:tc>
      </w:tr>
      <w:tr w:rsidR="005B2032" w:rsidRPr="0023528E" w14:paraId="17EDF2EA" w14:textId="77777777" w:rsidTr="00C2491D">
        <w:trPr>
          <w:trHeight w:val="258"/>
          <w:jc w:val="center"/>
        </w:trPr>
        <w:tc>
          <w:tcPr>
            <w:tcW w:w="1262" w:type="dxa"/>
            <w:noWrap/>
            <w:hideMark/>
          </w:tcPr>
          <w:p w14:paraId="0F3CC391" w14:textId="77777777"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 </w:t>
            </w:r>
          </w:p>
        </w:tc>
        <w:tc>
          <w:tcPr>
            <w:tcW w:w="3255" w:type="dxa"/>
            <w:noWrap/>
            <w:vAlign w:val="bottom"/>
            <w:hideMark/>
          </w:tcPr>
          <w:p w14:paraId="29274CF2" w14:textId="0A0B3CC9"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b/>
                <w:bCs/>
                <w:szCs w:val="18"/>
              </w:rPr>
              <w:t>Общо</w:t>
            </w:r>
          </w:p>
        </w:tc>
        <w:tc>
          <w:tcPr>
            <w:tcW w:w="1292" w:type="dxa"/>
            <w:noWrap/>
            <w:vAlign w:val="bottom"/>
            <w:hideMark/>
          </w:tcPr>
          <w:p w14:paraId="63BFAD63" w14:textId="49FA9D26" w:rsidR="00CE44DB" w:rsidRPr="0023528E" w:rsidRDefault="00CE44DB" w:rsidP="0023528E">
            <w:pPr>
              <w:pStyle w:val="tabletextleft"/>
              <w:spacing w:beforeLines="60" w:before="144" w:afterLines="60" w:after="144"/>
              <w:rPr>
                <w:rFonts w:asciiTheme="minorHAnsi" w:hAnsiTheme="minorHAnsi" w:cstheme="minorHAnsi"/>
                <w:szCs w:val="18"/>
              </w:rPr>
            </w:pPr>
            <w:r w:rsidRPr="0023528E">
              <w:rPr>
                <w:rFonts w:asciiTheme="minorHAnsi" w:hAnsiTheme="minorHAnsi" w:cstheme="minorHAnsi"/>
                <w:szCs w:val="18"/>
              </w:rPr>
              <w:t> </w:t>
            </w:r>
          </w:p>
        </w:tc>
        <w:tc>
          <w:tcPr>
            <w:tcW w:w="1830" w:type="dxa"/>
            <w:shd w:val="clear" w:color="auto" w:fill="D7D4F1"/>
            <w:noWrap/>
            <w:vAlign w:val="bottom"/>
          </w:tcPr>
          <w:p w14:paraId="4B6BA820" w14:textId="018B9C3E"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b/>
                <w:bCs/>
                <w:szCs w:val="18"/>
              </w:rPr>
              <w:t>0</w:t>
            </w:r>
            <w:r w:rsidR="000B3666" w:rsidRPr="0023528E">
              <w:rPr>
                <w:rFonts w:asciiTheme="minorHAnsi" w:hAnsiTheme="minorHAnsi" w:cstheme="minorHAnsi"/>
                <w:b/>
                <w:bCs/>
                <w:szCs w:val="18"/>
              </w:rPr>
              <w:t>.</w:t>
            </w:r>
            <w:r w:rsidRPr="0023528E">
              <w:rPr>
                <w:rFonts w:asciiTheme="minorHAnsi" w:hAnsiTheme="minorHAnsi" w:cstheme="minorHAnsi"/>
                <w:b/>
                <w:bCs/>
                <w:szCs w:val="18"/>
              </w:rPr>
              <w:t>42</w:t>
            </w:r>
          </w:p>
        </w:tc>
        <w:tc>
          <w:tcPr>
            <w:tcW w:w="1425" w:type="dxa"/>
            <w:shd w:val="clear" w:color="auto" w:fill="D7D4F1"/>
            <w:noWrap/>
            <w:vAlign w:val="bottom"/>
          </w:tcPr>
          <w:p w14:paraId="7C1DA272" w14:textId="322A25D7" w:rsidR="00CE44DB" w:rsidRPr="0023528E" w:rsidRDefault="00CE44DB" w:rsidP="0023528E">
            <w:pPr>
              <w:pStyle w:val="tabletextleft"/>
              <w:spacing w:beforeLines="60" w:before="144" w:afterLines="60" w:after="144"/>
              <w:jc w:val="right"/>
              <w:rPr>
                <w:rFonts w:asciiTheme="minorHAnsi" w:hAnsiTheme="minorHAnsi" w:cstheme="minorHAnsi"/>
                <w:szCs w:val="18"/>
              </w:rPr>
            </w:pPr>
            <w:r w:rsidRPr="0023528E">
              <w:rPr>
                <w:rFonts w:asciiTheme="minorHAnsi" w:hAnsiTheme="minorHAnsi" w:cstheme="minorHAnsi"/>
                <w:b/>
                <w:bCs/>
                <w:szCs w:val="18"/>
              </w:rPr>
              <w:t>0</w:t>
            </w:r>
            <w:r w:rsidR="000B3666" w:rsidRPr="0023528E">
              <w:rPr>
                <w:rFonts w:asciiTheme="minorHAnsi" w:hAnsiTheme="minorHAnsi" w:cstheme="minorHAnsi"/>
                <w:b/>
                <w:bCs/>
                <w:szCs w:val="18"/>
              </w:rPr>
              <w:t>.</w:t>
            </w:r>
            <w:r w:rsidRPr="0023528E">
              <w:rPr>
                <w:rFonts w:asciiTheme="minorHAnsi" w:hAnsiTheme="minorHAnsi" w:cstheme="minorHAnsi"/>
                <w:b/>
                <w:bCs/>
                <w:szCs w:val="18"/>
              </w:rPr>
              <w:t>25</w:t>
            </w:r>
          </w:p>
        </w:tc>
      </w:tr>
    </w:tbl>
    <w:p w14:paraId="17A48C80" w14:textId="77777777" w:rsidR="00697F78" w:rsidRPr="005B2032" w:rsidRDefault="00697F78" w:rsidP="00697F78">
      <w:pPr>
        <w:rPr>
          <w:rFonts w:asciiTheme="minorHAnsi" w:hAnsiTheme="minorHAnsi" w:cstheme="minorHAnsi"/>
        </w:rPr>
      </w:pPr>
    </w:p>
    <w:p w14:paraId="30DBD51F" w14:textId="4DCC64F0" w:rsidR="00697F78" w:rsidRPr="00E46E3C" w:rsidRDefault="00E46E3C" w:rsidP="00E46E3C">
      <w:pPr>
        <w:jc w:val="right"/>
        <w:rPr>
          <w:rFonts w:asciiTheme="minorHAnsi" w:hAnsiTheme="minorHAnsi" w:cstheme="minorHAnsi"/>
          <w:color w:val="6768AB"/>
        </w:rPr>
      </w:pPr>
      <w:r w:rsidRPr="00E46E3C">
        <w:rPr>
          <w:rFonts w:asciiTheme="minorHAnsi" w:hAnsiTheme="minorHAnsi" w:cstheme="minorHAnsi"/>
          <w:color w:val="6768AB"/>
        </w:rPr>
        <w:t>■</w:t>
      </w:r>
    </w:p>
    <w:sectPr w:rsidR="00697F78" w:rsidRPr="00E46E3C" w:rsidSect="009C5BD7">
      <w:headerReference w:type="default" r:id="rId62"/>
      <w:pgSz w:w="11906" w:h="16838" w:code="9"/>
      <w:pgMar w:top="1418" w:right="1418" w:bottom="851" w:left="1418"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5AD9E4" w14:textId="77777777" w:rsidR="00E613BE" w:rsidRDefault="00E613BE" w:rsidP="00D359FF">
      <w:pPr>
        <w:spacing w:after="0"/>
      </w:pPr>
      <w:r>
        <w:separator/>
      </w:r>
    </w:p>
    <w:p w14:paraId="4865D014" w14:textId="77777777" w:rsidR="00E613BE" w:rsidRDefault="00E613BE"/>
  </w:endnote>
  <w:endnote w:type="continuationSeparator" w:id="0">
    <w:p w14:paraId="7BF38934" w14:textId="77777777" w:rsidR="00E613BE" w:rsidRDefault="00E613BE" w:rsidP="00D359FF">
      <w:pPr>
        <w:spacing w:after="0"/>
      </w:pPr>
      <w:r>
        <w:continuationSeparator/>
      </w:r>
    </w:p>
    <w:p w14:paraId="48E37FC2" w14:textId="77777777" w:rsidR="00E613BE" w:rsidRDefault="00E613BE"/>
  </w:endnote>
  <w:endnote w:type="continuationNotice" w:id="1">
    <w:p w14:paraId="23D71B6D" w14:textId="77777777" w:rsidR="00E613BE" w:rsidRDefault="00E613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7581A7" w14:textId="77777777" w:rsidR="00C47B43" w:rsidRDefault="00C47B43" w:rsidP="00D829F1">
    <w:pPr>
      <w:pStyle w:val="Footer"/>
      <w:ind w:left="-85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43E6F" w14:textId="77777777" w:rsidR="00C47B43" w:rsidRDefault="00C47B43" w:rsidP="00D829F1">
    <w:pPr>
      <w:pStyle w:val="Footer"/>
      <w:ind w:right="-85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075926" w14:textId="77777777" w:rsidR="00C47B43" w:rsidRPr="001745DE" w:rsidRDefault="00C47B43" w:rsidP="001745DE">
    <w:pPr>
      <w:pStyle w:val="Footer"/>
      <w:rPr>
        <w:rStyle w:val="PageNumber"/>
        <w:rFonts w:ascii="Verdana" w:hAnsi="Verdana"/>
        <w:color w:val="404040" w:themeColor="text1" w:themeTint="BF"/>
        <w:sz w:val="18"/>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6E3215" w14:textId="77777777" w:rsidR="00C47B43" w:rsidRPr="001745DE" w:rsidRDefault="00C47B43" w:rsidP="001745DE">
    <w:pPr>
      <w:pStyle w:val="Footer"/>
      <w:rPr>
        <w:rStyle w:val="PageNumber"/>
        <w:rFonts w:ascii="Verdana" w:hAnsi="Verdana"/>
        <w:color w:val="404040" w:themeColor="text1" w:themeTint="BF"/>
        <w:sz w:val="18"/>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B4BFCA" w14:textId="6177DEE4" w:rsidR="00C47B43" w:rsidRPr="009A3730" w:rsidRDefault="00C47B43" w:rsidP="00925CEB">
    <w:pPr>
      <w:pStyle w:val="Footer"/>
      <w:spacing w:before="240"/>
      <w:ind w:left="0"/>
      <w:jc w:val="left"/>
      <w:rPr>
        <w:color w:val="6768AB"/>
        <w:sz w:val="20"/>
        <w:szCs w:val="20"/>
      </w:rPr>
    </w:pPr>
    <w:r w:rsidRPr="009A3730">
      <w:rPr>
        <w:color w:val="6768AB"/>
        <w:sz w:val="20"/>
        <w:szCs w:val="20"/>
      </w:rPr>
      <w:fldChar w:fldCharType="begin"/>
    </w:r>
    <w:r w:rsidRPr="009A3730">
      <w:rPr>
        <w:color w:val="6768AB"/>
        <w:sz w:val="20"/>
        <w:szCs w:val="20"/>
      </w:rPr>
      <w:instrText>PAGE   \* MERGEFORMAT</w:instrText>
    </w:r>
    <w:r w:rsidRPr="009A3730">
      <w:rPr>
        <w:color w:val="6768AB"/>
        <w:sz w:val="20"/>
        <w:szCs w:val="20"/>
      </w:rPr>
      <w:fldChar w:fldCharType="separate"/>
    </w:r>
    <w:r w:rsidR="0046210A">
      <w:rPr>
        <w:noProof/>
        <w:color w:val="6768AB"/>
        <w:sz w:val="20"/>
        <w:szCs w:val="20"/>
      </w:rPr>
      <w:t>22</w:t>
    </w:r>
    <w:r w:rsidRPr="009A3730">
      <w:rPr>
        <w:color w:val="6768AB"/>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E0D79" w14:textId="7843564D" w:rsidR="00C47B43" w:rsidRPr="00E8359A" w:rsidRDefault="00C47B43" w:rsidP="00925CEB">
    <w:pPr>
      <w:pStyle w:val="Footer"/>
      <w:spacing w:before="240"/>
      <w:ind w:left="0" w:right="0"/>
      <w:jc w:val="right"/>
      <w:rPr>
        <w:rStyle w:val="PageNumber"/>
        <w:color w:val="6768AB"/>
      </w:rPr>
    </w:pPr>
    <w:r w:rsidRPr="00E8359A">
      <w:rPr>
        <w:rStyle w:val="PageNumber"/>
        <w:color w:val="6768AB"/>
      </w:rPr>
      <w:fldChar w:fldCharType="begin"/>
    </w:r>
    <w:r w:rsidRPr="00E8359A">
      <w:rPr>
        <w:rStyle w:val="PageNumber"/>
        <w:color w:val="6768AB"/>
      </w:rPr>
      <w:instrText>PAGE   \* MERGEFORMAT</w:instrText>
    </w:r>
    <w:r w:rsidRPr="00E8359A">
      <w:rPr>
        <w:rStyle w:val="PageNumber"/>
        <w:color w:val="6768AB"/>
      </w:rPr>
      <w:fldChar w:fldCharType="separate"/>
    </w:r>
    <w:r w:rsidR="0046210A">
      <w:rPr>
        <w:rStyle w:val="PageNumber"/>
        <w:noProof/>
        <w:color w:val="6768AB"/>
      </w:rPr>
      <w:t>21</w:t>
    </w:r>
    <w:r w:rsidRPr="00E8359A">
      <w:rPr>
        <w:rStyle w:val="PageNumber"/>
        <w:color w:val="6768A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197909" w14:textId="77777777" w:rsidR="00E613BE" w:rsidRDefault="00E613BE" w:rsidP="0072763F">
      <w:pPr>
        <w:spacing w:before="120" w:after="0"/>
      </w:pPr>
      <w:r>
        <w:separator/>
      </w:r>
    </w:p>
  </w:footnote>
  <w:footnote w:type="continuationSeparator" w:id="0">
    <w:p w14:paraId="3E7B03EB" w14:textId="77777777" w:rsidR="00E613BE" w:rsidRDefault="00E613BE" w:rsidP="00D359FF">
      <w:pPr>
        <w:spacing w:after="0"/>
      </w:pPr>
      <w:r>
        <w:continuationSeparator/>
      </w:r>
    </w:p>
  </w:footnote>
  <w:footnote w:type="continuationNotice" w:id="1">
    <w:p w14:paraId="3962025C" w14:textId="77777777" w:rsidR="00E613BE" w:rsidRDefault="00E613BE">
      <w:pPr>
        <w:spacing w:after="0"/>
      </w:pPr>
    </w:p>
  </w:footnote>
  <w:footnote w:id="2">
    <w:p w14:paraId="0B2D95BA" w14:textId="77777777" w:rsidR="00C47B43" w:rsidRDefault="00C47B43" w:rsidP="00681F70">
      <w:pPr>
        <w:pStyle w:val="FootnoteText"/>
      </w:pPr>
      <w:r>
        <w:rPr>
          <w:rStyle w:val="FootnoteReference"/>
        </w:rPr>
        <w:footnoteRef/>
      </w:r>
      <w:r>
        <w:t xml:space="preserve"> </w:t>
      </w:r>
      <w:r>
        <w:tab/>
      </w:r>
      <w:hyperlink r:id="rId1" w:history="1">
        <w:r w:rsidRPr="009E6EB9">
          <w:rPr>
            <w:rStyle w:val="Hyperlink"/>
          </w:rPr>
          <w:t>http://data.consilium.europa.eu/doc/document/ST-9344-2017-INIT/en/pdf</w:t>
        </w:r>
      </w:hyperlink>
    </w:p>
  </w:footnote>
  <w:footnote w:id="3">
    <w:p w14:paraId="2ADC260E" w14:textId="77777777" w:rsidR="00C47B43" w:rsidRPr="008764B6" w:rsidRDefault="00C47B43" w:rsidP="008764B6">
      <w:pPr>
        <w:pStyle w:val="FootnoteText"/>
      </w:pPr>
      <w:r>
        <w:rPr>
          <w:rStyle w:val="FootnoteReference"/>
        </w:rPr>
        <w:footnoteRef/>
      </w:r>
      <w:r>
        <w:t xml:space="preserve"> </w:t>
      </w:r>
      <w:hyperlink r:id="rId2" w:history="1">
        <w:r w:rsidRPr="008764B6">
          <w:rPr>
            <w:rStyle w:val="Hyperlink"/>
          </w:rPr>
          <w:t>https://eur-lex.europa.eu/legal-content/BG/TXT/HTML/?uri=CELEX:32021H0729(02)&amp;from=EN</w:t>
        </w:r>
      </w:hyperlink>
    </w:p>
    <w:p w14:paraId="3658B8E6" w14:textId="71BF3CCC" w:rsidR="00C47B43" w:rsidRDefault="00C47B43">
      <w:pPr>
        <w:pStyle w:val="FootnoteText"/>
      </w:pPr>
    </w:p>
  </w:footnote>
  <w:footnote w:id="4">
    <w:p w14:paraId="28BF17C4" w14:textId="77777777" w:rsidR="00C47B43" w:rsidRPr="007B1D84" w:rsidRDefault="00C47B43" w:rsidP="007B1D84">
      <w:pPr>
        <w:pStyle w:val="FootnoteText"/>
      </w:pPr>
      <w:r w:rsidRPr="007B1D84">
        <w:rPr>
          <w:rStyle w:val="FootnoteReference"/>
        </w:rPr>
        <w:footnoteRef/>
      </w:r>
      <w:r w:rsidRPr="007B1D84">
        <w:t xml:space="preserve"> </w:t>
      </w:r>
      <w:r>
        <w:rPr>
          <w:lang w:val="en-GB"/>
        </w:rPr>
        <w:tab/>
      </w:r>
      <w:r w:rsidRPr="007B1D84">
        <w:t>Цикличното развитие на икономиката се измерва с индикатора отклонение от потенциала. Той се изчислява като разлика между фактическия и потенциалния БВП в съотношение към потенциалния. Потенциалният БВП за българската икономика е изчислен с помощта на производствена функция по методология, разработена от ЕК: Havik, K., &amp; Kieran Mc Morrow, K., &amp; Fabrice Orlandi, F., Christophe Planas, C., Rafal Raciborski, R., Werner Roeger, W., Alessandro Rossi, A., Anna Thum-Thysen, A. &amp; Valerie Vandermeulen, V.,"The Production Function Methodology for Calculating Potential Growth Rates &amp; Output Gaps," European Economy – Economic Papers 535, 2014.</w:t>
      </w:r>
    </w:p>
  </w:footnote>
  <w:footnote w:id="5">
    <w:p w14:paraId="2AFC0770" w14:textId="1609DDCC" w:rsidR="00C47B43" w:rsidRPr="004018C2" w:rsidRDefault="00C47B43" w:rsidP="004018C2">
      <w:pPr>
        <w:pStyle w:val="FootnoteText"/>
      </w:pPr>
      <w:r w:rsidRPr="004018C2">
        <w:rPr>
          <w:rStyle w:val="FootnoteReference"/>
        </w:rPr>
        <w:footnoteRef/>
      </w:r>
      <w:r w:rsidRPr="004018C2">
        <w:t xml:space="preserve"> </w:t>
      </w:r>
      <w:r>
        <w:tab/>
      </w:r>
      <w:r w:rsidRPr="004018C2">
        <w:t>Поради методологични промени, извършени в НРС в началото на 2021</w:t>
      </w:r>
      <w:r>
        <w:t> г.</w:t>
      </w:r>
      <w:r w:rsidRPr="004018C2">
        <w:t>, има прекъсване на динамичния ред. Към датата на подготовка на този документ все още няма публикувани данни за предишни години, съпоставими с тези за 2021</w:t>
      </w:r>
      <w:r>
        <w:t> г.</w:t>
      </w:r>
    </w:p>
  </w:footnote>
  <w:footnote w:id="6">
    <w:p w14:paraId="321E8754" w14:textId="72902B84" w:rsidR="00C47B43" w:rsidRPr="004018C2" w:rsidRDefault="00C47B43" w:rsidP="004018C2">
      <w:pPr>
        <w:pStyle w:val="FootnoteText"/>
      </w:pPr>
      <w:r w:rsidRPr="004018C2">
        <w:rPr>
          <w:rStyle w:val="FootnoteReference"/>
        </w:rPr>
        <w:footnoteRef/>
      </w:r>
      <w:r w:rsidRPr="004018C2">
        <w:t xml:space="preserve"> </w:t>
      </w:r>
      <w:r>
        <w:tab/>
      </w:r>
      <w:r w:rsidRPr="004018C2">
        <w:t>От общата инфлация е изключена динамиката на енергийните стоки и непреработените храни.</w:t>
      </w:r>
    </w:p>
  </w:footnote>
  <w:footnote w:id="7">
    <w:p w14:paraId="7453100B" w14:textId="79DCEDB5" w:rsidR="00C47B43" w:rsidRDefault="00C47B43" w:rsidP="006152DC">
      <w:pPr>
        <w:pStyle w:val="FootnoteText"/>
      </w:pPr>
      <w:r>
        <w:rPr>
          <w:rStyle w:val="FootnoteReference"/>
        </w:rPr>
        <w:footnoteRef/>
      </w:r>
      <w:r>
        <w:t xml:space="preserve"> </w:t>
      </w:r>
      <w:r>
        <w:tab/>
        <w:t>Анализът за Външен сектор е разработен със статистически данни за Платежния баланс (аналитично представяне), с изключение на графиките и данните, за които изрично е посочен различен източник.</w:t>
      </w:r>
    </w:p>
  </w:footnote>
  <w:footnote w:id="8">
    <w:p w14:paraId="13528978" w14:textId="09A5AC2C" w:rsidR="00C47B43" w:rsidRDefault="00C47B43" w:rsidP="001473CD">
      <w:pPr>
        <w:pStyle w:val="FootnoteText"/>
      </w:pPr>
      <w:r>
        <w:rPr>
          <w:rStyle w:val="FootnoteReference"/>
        </w:rPr>
        <w:footnoteRef/>
      </w:r>
      <w:r>
        <w:t xml:space="preserve"> </w:t>
      </w:r>
      <w:r>
        <w:tab/>
        <w:t>Аналитично представяне на платежния баланс</w:t>
      </w:r>
    </w:p>
  </w:footnote>
  <w:footnote w:id="9">
    <w:p w14:paraId="1975406E" w14:textId="1A9C8C70" w:rsidR="00C47B43" w:rsidRDefault="00C47B43" w:rsidP="007918DA">
      <w:pPr>
        <w:pStyle w:val="FootnoteText"/>
      </w:pPr>
      <w:r>
        <w:rPr>
          <w:rStyle w:val="FootnoteReference"/>
        </w:rPr>
        <w:footnoteRef/>
      </w:r>
      <w:r>
        <w:t xml:space="preserve"> </w:t>
      </w:r>
      <w:r>
        <w:tab/>
      </w:r>
      <w:r w:rsidRPr="00D367E4">
        <w:t>Пазарната стойност на международните валутни резерви включва измененията от трансакции, валутнокурсови разлики и ценови преоценки.</w:t>
      </w:r>
    </w:p>
  </w:footnote>
  <w:footnote w:id="10">
    <w:p w14:paraId="44E7A739" w14:textId="77777777" w:rsidR="00C47B43" w:rsidRDefault="00C47B43" w:rsidP="005459BA">
      <w:pPr>
        <w:pStyle w:val="FootnoteText"/>
      </w:pPr>
      <w:r>
        <w:rPr>
          <w:rStyle w:val="FootnoteReference"/>
        </w:rPr>
        <w:footnoteRef/>
      </w:r>
      <w:r>
        <w:t xml:space="preserve"> </w:t>
      </w:r>
      <w:r w:rsidRPr="00D367E4">
        <w:t>Термините „нови“ депозити и „нови“ кредити се отнасят за статистическата категория „нов бизнес“.</w:t>
      </w:r>
    </w:p>
  </w:footnote>
  <w:footnote w:id="11">
    <w:p w14:paraId="42A0C2AE" w14:textId="55C01841" w:rsidR="00C47B43" w:rsidRDefault="00C47B43" w:rsidP="00C47B43">
      <w:pPr>
        <w:pStyle w:val="FootnoteText"/>
        <w:spacing w:after="40"/>
      </w:pPr>
      <w:r>
        <w:rPr>
          <w:rStyle w:val="FootnoteReference"/>
        </w:rPr>
        <w:footnoteRef/>
      </w:r>
      <w:r>
        <w:t xml:space="preserve"> </w:t>
      </w:r>
      <w:r>
        <w:tab/>
      </w:r>
      <w:r w:rsidRPr="00D367E4">
        <w:t>Оценката за състоянието на банковата система е въз основа на данни от надзорните отчети на индивидуална база към края на декември 2021 г., получени до 17 февруари 2022 г. и към края на декември 2020 г., актуализирани до 24 февруари 2022 г.</w:t>
      </w:r>
    </w:p>
  </w:footnote>
  <w:footnote w:id="12">
    <w:p w14:paraId="2EF2888E" w14:textId="340296E0" w:rsidR="00C47B43" w:rsidRDefault="00C47B43" w:rsidP="00C47B43">
      <w:pPr>
        <w:pStyle w:val="FootnoteText"/>
        <w:spacing w:after="40"/>
      </w:pPr>
      <w:r>
        <w:rPr>
          <w:rStyle w:val="FootnoteReference"/>
        </w:rPr>
        <w:footnoteRef/>
      </w:r>
      <w:r>
        <w:t xml:space="preserve"> </w:t>
      </w:r>
      <w:r>
        <w:tab/>
      </w:r>
      <w:r w:rsidRPr="00A87146">
        <w:t>„Ред за отсрочване и уреждане на изискуеми задължения към банки и дъщерните им дружества – финансови институции“. В края на март 2021 г. изтече срокът за подаване и одобрение на заявленията за разсрочване, а съобразно заложения максимален период на отсрочване – до 9 месеца, крайният срок на действие на Реда за отсрочване и уреждане на изискуеми задължения към банки и дъщерните им дружества – финансови институции, изтече на 31 декември 2021 г.</w:t>
      </w:r>
    </w:p>
  </w:footnote>
  <w:footnote w:id="13">
    <w:p w14:paraId="6D293E59" w14:textId="41986A52" w:rsidR="00C47B43" w:rsidRDefault="00C47B43" w:rsidP="00C47B43">
      <w:pPr>
        <w:pStyle w:val="FootnoteText"/>
        <w:spacing w:after="40"/>
      </w:pPr>
      <w:r>
        <w:rPr>
          <w:rStyle w:val="FootnoteReference"/>
        </w:rPr>
        <w:footnoteRef/>
      </w:r>
      <w:r>
        <w:t xml:space="preserve"> </w:t>
      </w:r>
      <w:r>
        <w:tab/>
      </w:r>
      <w:r w:rsidRPr="00A87146">
        <w:t>Експозициите са определени въз основа на най-широката дефиниция по методологията на Европейския банков орган (ЕБО), която включва както брутните кредити и аванси, заедно с парични салда при централни банки и други депозити на виждане, така и дълговите ценни книжа, различни от „държани за търгуване“.</w:t>
      </w:r>
    </w:p>
  </w:footnote>
  <w:footnote w:id="14">
    <w:p w14:paraId="02A2665F" w14:textId="4223B2AF" w:rsidR="00C47B43" w:rsidRDefault="00C47B43" w:rsidP="00C47B43">
      <w:pPr>
        <w:pStyle w:val="FootnoteText"/>
        <w:spacing w:after="40"/>
      </w:pPr>
      <w:r>
        <w:rPr>
          <w:rStyle w:val="FootnoteReference"/>
        </w:rPr>
        <w:footnoteRef/>
      </w:r>
      <w:r>
        <w:t xml:space="preserve"> </w:t>
      </w:r>
      <w:r>
        <w:tab/>
      </w:r>
      <w:r w:rsidRPr="00A87146">
        <w:t>Промените са съгласно Регламент за изпълнение (ЕС) 2020/429 на Комисията от 14 февруари 2020 г. за изменение на Регламент за изпълнение (ЕС) № 680/2014 за предоставянето на информация от институциите на надзорните органи. Съгласно измененията, за разлика от периода юни 2015 г. – март 2020 г., „парични салда при централни банки и други депозити на виждане“ не следва да се включват в обхвата на брутните кредити и аванси, а се докладват отделно.</w:t>
      </w:r>
    </w:p>
  </w:footnote>
  <w:footnote w:id="15">
    <w:p w14:paraId="3C451A23" w14:textId="7CDAA6D3" w:rsidR="00C47B43" w:rsidRDefault="00C47B43" w:rsidP="00C47B43">
      <w:pPr>
        <w:pStyle w:val="FootnoteText"/>
        <w:spacing w:after="40"/>
      </w:pPr>
      <w:r>
        <w:rPr>
          <w:rStyle w:val="FootnoteReference"/>
        </w:rPr>
        <w:footnoteRef/>
      </w:r>
      <w:r>
        <w:t xml:space="preserve"> </w:t>
      </w:r>
      <w:r>
        <w:tab/>
      </w:r>
      <w:r w:rsidRPr="00A87146">
        <w:t>Индикаторът, използван от ЕБО за дял на брутните необслужвани кредити и аванси, се базира на широка дефиниция, обхващаща всички контрагенти по кредити и аванси, включително „парични салда при централни банки“ и „други депозити на виждане“.</w:t>
      </w:r>
    </w:p>
  </w:footnote>
  <w:footnote w:id="16">
    <w:p w14:paraId="379C8474" w14:textId="01D59430" w:rsidR="00C47B43" w:rsidRDefault="00C47B43" w:rsidP="00C47B43">
      <w:pPr>
        <w:pStyle w:val="FootnoteText"/>
        <w:spacing w:after="40"/>
      </w:pPr>
      <w:r>
        <w:rPr>
          <w:rStyle w:val="FootnoteReference"/>
        </w:rPr>
        <w:footnoteRef/>
      </w:r>
      <w:r>
        <w:t xml:space="preserve"> </w:t>
      </w:r>
      <w:r>
        <w:tab/>
      </w:r>
      <w:r w:rsidRPr="00A87146">
        <w:t>Нетната стойност на необслужваните кредити и аванси е изчислена по методиката на ЕБО, като брутният им размер е намален с натрупаната за тях обезценка. При изчисляването на дела на нетните необслужвани кредити и аванси се използва както тяхната нетна стойност, така и тази на общите кредити и аванси.</w:t>
      </w:r>
    </w:p>
  </w:footnote>
  <w:footnote w:id="17">
    <w:p w14:paraId="4B5BD806" w14:textId="6A257C60" w:rsidR="00C47B43" w:rsidRDefault="00C47B43" w:rsidP="005459BA">
      <w:pPr>
        <w:pStyle w:val="FootnoteText"/>
      </w:pPr>
      <w:r>
        <w:rPr>
          <w:rStyle w:val="FootnoteReference"/>
        </w:rPr>
        <w:footnoteRef/>
      </w:r>
      <w:r>
        <w:t xml:space="preserve"> </w:t>
      </w:r>
      <w:r>
        <w:tab/>
      </w:r>
      <w:r w:rsidRPr="008755F8">
        <w:t>Регулаторното изискване за отношение на ливъридж (при „напълно въведено“ определение на капитала от първи ред) е въведено съгласно Регламент (ЕС) 2019/876 на Европейския парламент и на Съвета от 20 май 2019 г. за изменение на Регламент (ЕС) №575/2013 и се прилага считано от 28 юни 2021  г. Нивото от 3% е дефинирано съобразно стойността в регулаторната рамка Базел III.</w:t>
      </w:r>
    </w:p>
  </w:footnote>
  <w:footnote w:id="18">
    <w:p w14:paraId="7E3B0EDC" w14:textId="55E4A4EE" w:rsidR="00C47B43" w:rsidRDefault="00C47B43" w:rsidP="005459BA">
      <w:pPr>
        <w:pStyle w:val="FootnoteText"/>
      </w:pPr>
      <w:r>
        <w:rPr>
          <w:rStyle w:val="FootnoteReference"/>
        </w:rPr>
        <w:footnoteRef/>
      </w:r>
      <w:r>
        <w:t xml:space="preserve"> </w:t>
      </w:r>
      <w:r>
        <w:tab/>
      </w:r>
      <w:r w:rsidRPr="008755F8">
        <w:t>Повече информация за актуалните нива на капиталовите буфери се намира на интернет страницата на БНБ: http://www.bnb.bg/BankSupervision/BSCapitalBuffers/index.htm</w:t>
      </w:r>
    </w:p>
  </w:footnote>
  <w:footnote w:id="19">
    <w:p w14:paraId="732A1B40" w14:textId="47EF55B2" w:rsidR="00C47B43" w:rsidRDefault="00C47B43" w:rsidP="005459BA">
      <w:pPr>
        <w:pStyle w:val="FootnoteText"/>
      </w:pPr>
      <w:r>
        <w:rPr>
          <w:rStyle w:val="FootnoteReference"/>
        </w:rPr>
        <w:footnoteRef/>
      </w:r>
      <w:r>
        <w:t xml:space="preserve"> </w:t>
      </w:r>
      <w:r>
        <w:tab/>
      </w:r>
      <w:r w:rsidRPr="008755F8">
        <w:t>Отношението на ликвидно покритие за банковата система се изчислява като съотношение между ликвидния буфер и нетните изходящи ликвидни потоци.</w:t>
      </w:r>
    </w:p>
  </w:footnote>
  <w:footnote w:id="20">
    <w:p w14:paraId="68861F2F" w14:textId="76B424F1" w:rsidR="00C47B43" w:rsidRDefault="00C47B43" w:rsidP="005459BA">
      <w:pPr>
        <w:pStyle w:val="FootnoteText"/>
      </w:pPr>
      <w:r>
        <w:rPr>
          <w:rStyle w:val="FootnoteReference"/>
        </w:rPr>
        <w:footnoteRef/>
      </w:r>
      <w:r>
        <w:t xml:space="preserve"> </w:t>
      </w:r>
      <w:r>
        <w:tab/>
      </w:r>
      <w:r w:rsidRPr="008755F8">
        <w:t>Регулаторното изискване е въведено съгласно Регламент (ЕС) 2019/876 на Европейския парламент и на Съвета от 20 май 2019 г. за изменение на Регламент (ЕС) № 575/2013 и се прилага считано от 28 юни 2021  г.</w:t>
      </w:r>
    </w:p>
  </w:footnote>
  <w:footnote w:id="21">
    <w:p w14:paraId="5EF4E513" w14:textId="75BF5614" w:rsidR="00C47B43" w:rsidRDefault="00C47B43" w:rsidP="005459BA">
      <w:pPr>
        <w:pStyle w:val="FootnoteText"/>
      </w:pPr>
      <w:r>
        <w:rPr>
          <w:rStyle w:val="FootnoteReference"/>
        </w:rPr>
        <w:footnoteRef/>
      </w:r>
      <w:r>
        <w:t xml:space="preserve"> </w:t>
      </w:r>
      <w:r>
        <w:tab/>
      </w:r>
      <w:r w:rsidRPr="008755F8">
        <w:t>Като част от внесения в Народното събрание проект на Закон за изменение и допълнение на Закона за пазарите на финансови инструменти.</w:t>
      </w:r>
    </w:p>
  </w:footnote>
  <w:footnote w:id="22">
    <w:p w14:paraId="5A01FA51" w14:textId="748D4459" w:rsidR="00C47B43" w:rsidRDefault="00C47B43" w:rsidP="001473CD">
      <w:pPr>
        <w:pStyle w:val="FootnoteText"/>
      </w:pPr>
      <w:r>
        <w:rPr>
          <w:rStyle w:val="FootnoteReference"/>
        </w:rPr>
        <w:footnoteRef/>
      </w:r>
      <w:r>
        <w:t xml:space="preserve"> </w:t>
      </w:r>
      <w:r>
        <w:tab/>
        <w:t>Данните се отнасят за нефинансови и финансови предприятия от паричната статистика на БНБ.</w:t>
      </w:r>
    </w:p>
  </w:footnote>
  <w:footnote w:id="23">
    <w:p w14:paraId="434B2828" w14:textId="5C611B48" w:rsidR="00C47B43" w:rsidRDefault="00C47B43" w:rsidP="00713B5F">
      <w:pPr>
        <w:pStyle w:val="FootnoteText"/>
      </w:pPr>
      <w:r>
        <w:rPr>
          <w:rStyle w:val="FootnoteReference"/>
          <w:sz w:val="22"/>
          <w:szCs w:val="22"/>
        </w:rPr>
        <w:footnoteRef/>
      </w:r>
      <w:r>
        <w:t xml:space="preserve"> </w:t>
      </w:r>
      <w:r>
        <w:tab/>
        <w:t>Данните до 202</w:t>
      </w:r>
      <w:r>
        <w:rPr>
          <w:lang w:val="en-US"/>
        </w:rPr>
        <w:t>5</w:t>
      </w:r>
      <w:r>
        <w:t> г. се основават на прогнозата за приходите и разходите на консолидирания бюджет на ДОО за 202</w:t>
      </w:r>
      <w:r>
        <w:rPr>
          <w:lang w:val="en-US"/>
        </w:rPr>
        <w:t>3</w:t>
      </w:r>
      <w:r>
        <w:t xml:space="preserve"> – 202</w:t>
      </w:r>
      <w:r>
        <w:rPr>
          <w:lang w:val="en-US"/>
        </w:rPr>
        <w:t>5</w:t>
      </w:r>
      <w:r>
        <w:t> г. от месец април 202</w:t>
      </w:r>
      <w:r>
        <w:rPr>
          <w:lang w:val="en-US"/>
        </w:rPr>
        <w:t>2</w:t>
      </w:r>
      <w:r>
        <w:t>г.</w:t>
      </w:r>
    </w:p>
  </w:footnote>
  <w:footnote w:id="24">
    <w:p w14:paraId="193E7F12" w14:textId="4D94E896" w:rsidR="00C47B43" w:rsidRDefault="00C47B43" w:rsidP="008B5C4D">
      <w:pPr>
        <w:pStyle w:val="FootnoteText"/>
        <w:rPr>
          <w:color w:val="404040" w:themeColor="text1" w:themeTint="BF"/>
          <w:lang w:eastAsia="en-US"/>
        </w:rPr>
      </w:pPr>
      <w:r>
        <w:rPr>
          <w:rStyle w:val="FootnoteReference"/>
        </w:rPr>
        <w:footnoteRef/>
      </w:r>
      <w:r>
        <w:t xml:space="preserve"> </w:t>
      </w:r>
      <w:r>
        <w:tab/>
        <w:t>Приложение 2 от Fiscal Sustainability Report 2018.</w:t>
      </w:r>
    </w:p>
  </w:footnote>
  <w:footnote w:id="25">
    <w:p w14:paraId="625F33C9" w14:textId="77777777" w:rsidR="00C47B43" w:rsidRDefault="00C47B43" w:rsidP="00D661BA">
      <w:pPr>
        <w:pStyle w:val="FootnoteText"/>
        <w:spacing w:after="0"/>
        <w:rPr>
          <w:lang w:val="en-US"/>
        </w:rPr>
      </w:pPr>
      <w:r>
        <w:rPr>
          <w:rStyle w:val="FootnoteReference"/>
        </w:rPr>
        <w:footnoteRef/>
      </w:r>
      <w:r>
        <w:t xml:space="preserve"> </w:t>
      </w:r>
      <w:r>
        <w:tab/>
        <w:t>За оценка на чувствителността на дълга са използвани подходи на ЕК</w:t>
      </w:r>
      <w:r>
        <w:rPr>
          <w:lang w:val="en-US"/>
        </w:rPr>
        <w:t xml:space="preserve"> </w:t>
      </w:r>
      <w:r>
        <w:t>и МВФ</w:t>
      </w:r>
      <w:r>
        <w:rPr>
          <w:lang w:val="en-US"/>
        </w:rPr>
        <w:t>:</w:t>
      </w:r>
    </w:p>
    <w:p w14:paraId="6F92B0A4" w14:textId="26B8846B" w:rsidR="00C47B43" w:rsidRDefault="00C47B43" w:rsidP="00D661BA">
      <w:pPr>
        <w:pStyle w:val="FootnoteText"/>
        <w:spacing w:after="0"/>
      </w:pPr>
      <w:r>
        <w:rPr>
          <w:lang w:val="en-US"/>
        </w:rPr>
        <w:tab/>
      </w:r>
      <w:r>
        <w:t>European Commission (2014)</w:t>
      </w:r>
      <w:r>
        <w:rPr>
          <w:lang w:val="en-US"/>
        </w:rPr>
        <w:t>.</w:t>
      </w:r>
      <w:r>
        <w:t xml:space="preserve"> ”Assessing Public Debt Sustainability in EU Member States: A Guide. European Economy”. Occasional Working Paper No. 200.</w:t>
      </w:r>
    </w:p>
    <w:p w14:paraId="698F6D73" w14:textId="5EA3F28A" w:rsidR="00C47B43" w:rsidRDefault="00C47B43" w:rsidP="00D661BA">
      <w:pPr>
        <w:pStyle w:val="FootnoteText"/>
        <w:spacing w:after="0"/>
        <w:rPr>
          <w:lang w:val="en-US"/>
        </w:rPr>
      </w:pPr>
      <w:r>
        <w:tab/>
        <w:t>European Commission (2019)</w:t>
      </w:r>
      <w:r>
        <w:rPr>
          <w:lang w:val="en-US"/>
        </w:rPr>
        <w:t xml:space="preserve">. “Fiscal Sustainability Report 2018”. Institutional Paper 094. </w:t>
      </w:r>
    </w:p>
    <w:p w14:paraId="3E66C7F1" w14:textId="4886C619" w:rsidR="00C47B43" w:rsidRDefault="00C47B43" w:rsidP="00D661BA">
      <w:pPr>
        <w:pStyle w:val="FootnoteText"/>
        <w:spacing w:after="0"/>
        <w:rPr>
          <w:lang w:val="en-US"/>
        </w:rPr>
      </w:pPr>
      <w:r>
        <w:rPr>
          <w:lang w:val="en-US"/>
        </w:rPr>
        <w:tab/>
        <w:t>European Commission (2021). “Debt Sustainability Monitor 2020”. Institutional Paper 143.</w:t>
      </w:r>
    </w:p>
    <w:p w14:paraId="0811495D" w14:textId="000388A6" w:rsidR="00C47B43" w:rsidRDefault="00C47B43" w:rsidP="00D661BA">
      <w:pPr>
        <w:pStyle w:val="FootnoteText"/>
        <w:rPr>
          <w:lang w:val="en-US"/>
        </w:rPr>
      </w:pPr>
      <w:r>
        <w:rPr>
          <w:lang w:val="en-US"/>
        </w:rPr>
        <w:tab/>
        <w:t>International Monetary Fund. (2013). “Staff Guidance Note for Public Debt Sustainability Analysis in Market-Access Countries”.</w:t>
      </w:r>
    </w:p>
    <w:p w14:paraId="1A381BFA" w14:textId="5C6DB553" w:rsidR="00C47B43" w:rsidRDefault="00C47B43" w:rsidP="00D661BA">
      <w:pPr>
        <w:pStyle w:val="FootnoteText"/>
        <w:rPr>
          <w:szCs w:val="18"/>
        </w:rPr>
      </w:pPr>
      <w:r>
        <w:rPr>
          <w:szCs w:val="18"/>
          <w:lang w:val="en-US"/>
        </w:rPr>
        <w:tab/>
        <w:t xml:space="preserve">IMF Debt Sustainability Analysis for Market-Access Countries </w:t>
      </w:r>
      <w:hyperlink r:id="rId3" w:history="1">
        <w:r>
          <w:rPr>
            <w:rStyle w:val="Hyperlink"/>
            <w:szCs w:val="18"/>
            <w:lang w:val="en-US"/>
          </w:rPr>
          <w:t>https://www.imf.org/external/pubs/ft/dsa/mac.htm</w:t>
        </w:r>
      </w:hyperlink>
    </w:p>
  </w:footnote>
  <w:footnote w:id="26">
    <w:p w14:paraId="7595F938" w14:textId="39487D2D" w:rsidR="00C47B43" w:rsidRDefault="00C47B43" w:rsidP="00D661BA">
      <w:pPr>
        <w:pStyle w:val="FootnoteText"/>
        <w:rPr>
          <w:lang w:val="en-US"/>
        </w:rPr>
      </w:pPr>
      <w:r>
        <w:rPr>
          <w:rStyle w:val="FootnoteReference"/>
        </w:rPr>
        <w:footnoteRef/>
      </w:r>
      <w:r>
        <w:t xml:space="preserve"> </w:t>
      </w:r>
      <w:r>
        <w:tab/>
        <w:t xml:space="preserve">Висок риск - при дълг/БВП </w:t>
      </w:r>
      <w:r>
        <w:rPr>
          <w:lang w:val="en-US"/>
        </w:rPr>
        <w:t>&gt;90%</w:t>
      </w:r>
      <w:r>
        <w:t>; среден риск - при 60%</w:t>
      </w:r>
      <w:r>
        <w:rPr>
          <w:lang w:val="en-US"/>
        </w:rPr>
        <w:t xml:space="preserve"> &lt; </w:t>
      </w:r>
      <w:r>
        <w:t xml:space="preserve">дълг/БВП </w:t>
      </w:r>
      <w:r>
        <w:rPr>
          <w:lang w:val="en-US"/>
        </w:rPr>
        <w:t>&lt; 90%</w:t>
      </w:r>
      <w:r>
        <w:t>; нисък риск при дълг/БВП </w:t>
      </w:r>
      <w:r>
        <w:rPr>
          <w:lang w:val="en-US"/>
        </w:rPr>
        <w:t>&lt;</w:t>
      </w:r>
      <w:r>
        <w:t> </w:t>
      </w:r>
      <w:r>
        <w:rPr>
          <w:lang w:val="en-US"/>
        </w:rPr>
        <w:t>60%</w:t>
      </w:r>
    </w:p>
  </w:footnote>
  <w:footnote w:id="27">
    <w:p w14:paraId="1586CA6A" w14:textId="7748E229" w:rsidR="00C47B43" w:rsidRDefault="00C47B43" w:rsidP="00D661BA">
      <w:pPr>
        <w:pStyle w:val="FootnoteText"/>
      </w:pPr>
      <w:r>
        <w:rPr>
          <w:rStyle w:val="FootnoteReference"/>
        </w:rPr>
        <w:footnoteRef/>
      </w:r>
      <w:r>
        <w:t xml:space="preserve"> </w:t>
      </w:r>
      <w:r>
        <w:tab/>
        <w:t xml:space="preserve">Поради факта, че над 99% от държавния дълг е в рисково неутрални валути </w:t>
      </w:r>
      <w:r>
        <w:rPr>
          <w:lang w:val="en-US"/>
        </w:rPr>
        <w:t>(</w:t>
      </w:r>
      <w:r>
        <w:t>лева и евро</w:t>
      </w:r>
      <w:r>
        <w:rPr>
          <w:lang w:val="en-US"/>
        </w:rPr>
        <w:t>)</w:t>
      </w:r>
      <w:r>
        <w:t xml:space="preserve"> не е разгледан сценарий с </w:t>
      </w:r>
      <w:r w:rsidRPr="00D661BA">
        <w:t>шок</w:t>
      </w:r>
      <w:r>
        <w:t xml:space="preserve"> върху валутния курс.</w:t>
      </w:r>
    </w:p>
  </w:footnote>
  <w:footnote w:id="28">
    <w:p w14:paraId="6F0FFBBA" w14:textId="1EA3607B" w:rsidR="00C47B43" w:rsidRDefault="00C47B43" w:rsidP="00D661BA">
      <w:pPr>
        <w:pStyle w:val="FootnoteText"/>
      </w:pPr>
      <w:r>
        <w:rPr>
          <w:rStyle w:val="FootnoteReference"/>
        </w:rPr>
        <w:footnoteRef/>
      </w:r>
      <w:r>
        <w:t xml:space="preserve"> </w:t>
      </w:r>
      <w:r>
        <w:tab/>
        <w:t>Изчислен е имплицитен лихвен процент като лихвени разходи, разделени на нивото на дълга за предходната година.</w:t>
      </w:r>
    </w:p>
  </w:footnote>
  <w:footnote w:id="29">
    <w:p w14:paraId="2CA6536F" w14:textId="52C0F6F7" w:rsidR="00C47B43" w:rsidRDefault="00C47B43" w:rsidP="003A3017">
      <w:pPr>
        <w:pStyle w:val="FootnoteText"/>
      </w:pPr>
      <w:r>
        <w:rPr>
          <w:rStyle w:val="FootnoteReference"/>
        </w:rPr>
        <w:footnoteRef/>
      </w:r>
      <w:r>
        <w:t xml:space="preserve"> </w:t>
      </w:r>
      <w:r>
        <w:tab/>
        <w:t xml:space="preserve">В допусканията не е взета предвид разпоредбата по чл. 68, ал. 5 от Кодекса за социално осигуряване относно обвързването след 31 декември 2037 г., на възрастта за пенсиониране с нарастването на средната продължителност на живота поради факта, че към момента липсва консенсусно определен и нормативно регламентиран механизъм. </w:t>
      </w:r>
    </w:p>
  </w:footnote>
  <w:footnote w:id="30">
    <w:p w14:paraId="03DB9767" w14:textId="12E9FFCA" w:rsidR="00C47B43" w:rsidRDefault="00C47B43" w:rsidP="003A3017">
      <w:pPr>
        <w:pStyle w:val="FootnoteText"/>
        <w:rPr>
          <w:rFonts w:asciiTheme="minorHAnsi" w:hAnsiTheme="minorHAnsi"/>
        </w:rPr>
      </w:pPr>
      <w:r>
        <w:rPr>
          <w:rStyle w:val="FootnoteReference"/>
        </w:rPr>
        <w:footnoteRef/>
      </w:r>
      <w:r>
        <w:t xml:space="preserve"> </w:t>
      </w:r>
      <w:r>
        <w:tab/>
      </w:r>
      <w:r>
        <w:rPr>
          <w:rFonts w:eastAsia="MS Mincho"/>
          <w:szCs w:val="18"/>
        </w:rPr>
        <w:t>102,0 млн. лв. са предвидени в централния бюджет за изплащане на допълнителни суми, представляващи компенсация за разликата между дохода от пенсии преди и след 25 декември 2021 г. (с включени еднократни суми от 120 лв. за декември 2022 г. и 60 лв. – за януари-юни 2022 г. и 142,9 млн. лв. за еднократно изплащане на допълнителна суми в размер на 70 лв. през април 2022 г. към пенсиите на всички пенсионери по ПМС № 43 от април 2022 г.</w:t>
      </w:r>
    </w:p>
  </w:footnote>
  <w:footnote w:id="31">
    <w:p w14:paraId="1A4C083D" w14:textId="28586188" w:rsidR="00C47B43" w:rsidRDefault="00C47B43" w:rsidP="003A3017">
      <w:pPr>
        <w:pStyle w:val="FootnoteText"/>
        <w:rPr>
          <w:sz w:val="20"/>
        </w:rPr>
      </w:pPr>
      <w:r w:rsidRPr="008010F6">
        <w:rPr>
          <w:rFonts w:eastAsia="MS Mincho" w:cstheme="minorHAnsi"/>
          <w:bCs/>
          <w:sz w:val="20"/>
          <w:vertAlign w:val="superscript"/>
        </w:rPr>
        <w:footnoteRef/>
      </w:r>
      <w:r w:rsidRPr="008010F6">
        <w:rPr>
          <w:rFonts w:eastAsia="MS Mincho" w:cstheme="minorHAnsi"/>
          <w:bCs/>
          <w:sz w:val="20"/>
        </w:rPr>
        <w:t xml:space="preserve"> </w:t>
      </w:r>
      <w:r>
        <w:rPr>
          <w:rFonts w:eastAsia="MS Mincho" w:cstheme="minorHAnsi"/>
          <w:bCs/>
          <w:sz w:val="20"/>
        </w:rPr>
        <w:tab/>
      </w:r>
      <w:r w:rsidR="00EC7010">
        <w:rPr>
          <w:rFonts w:eastAsia="MS Mincho" w:cstheme="minorHAnsi"/>
          <w:bCs/>
          <w:sz w:val="20"/>
        </w:rPr>
        <w:t>С</w:t>
      </w:r>
      <w:r>
        <w:rPr>
          <w:rFonts w:eastAsia="MS Mincho" w:cstheme="minorHAnsi"/>
          <w:bCs/>
          <w:sz w:val="20"/>
        </w:rPr>
        <w:t>ъотношението на средната пенсия за трудова дейност към средния осигурителен доход на осигурените лица за съответната календарна година</w:t>
      </w:r>
    </w:p>
  </w:footnote>
  <w:footnote w:id="32">
    <w:p w14:paraId="43959980" w14:textId="58543E27" w:rsidR="00C47B43" w:rsidRPr="00E360FF" w:rsidRDefault="00C47B43" w:rsidP="00E360FF">
      <w:pPr>
        <w:pStyle w:val="FootnoteText"/>
      </w:pPr>
      <w:r w:rsidRPr="00E360FF">
        <w:rPr>
          <w:rStyle w:val="FootnoteReference"/>
        </w:rPr>
        <w:footnoteRef/>
      </w:r>
      <w:r w:rsidRPr="00E360FF">
        <w:t xml:space="preserve"> </w:t>
      </w:r>
      <w:r>
        <w:tab/>
      </w:r>
      <w:r w:rsidRPr="00E360FF">
        <w:t>Стойностите от докладите по застаряване представляват сума от разходи за здравеопазване и разходи за дългосрочна грижа. Прогнозите от Доклада се базират на данни от Системата за здравни сметки (System of Health Accounts), докато прогнозите на МФ се базират на данни от разходи на сектор “Държавно управление” по функции (COFOG)</w:t>
      </w:r>
    </w:p>
  </w:footnote>
  <w:footnote w:id="33">
    <w:p w14:paraId="47E0CC4F" w14:textId="1BBA2930" w:rsidR="00C47B43" w:rsidRPr="00E360FF" w:rsidRDefault="00C47B43" w:rsidP="00E360FF">
      <w:pPr>
        <w:pStyle w:val="FootnoteText"/>
      </w:pPr>
      <w:r w:rsidRPr="00E360FF">
        <w:rPr>
          <w:rStyle w:val="FootnoteReference"/>
        </w:rPr>
        <w:footnoteRef/>
      </w:r>
      <w:r w:rsidRPr="00E360FF">
        <w:t xml:space="preserve"> </w:t>
      </w:r>
      <w:r>
        <w:tab/>
      </w:r>
      <w:r w:rsidRPr="00E360FF">
        <w:t>Разходи на сектор “Държавно управление” по функции (COFOG)</w:t>
      </w:r>
    </w:p>
  </w:footnote>
  <w:footnote w:id="34">
    <w:p w14:paraId="18E1559A" w14:textId="77777777" w:rsidR="00C47B43" w:rsidRDefault="00C47B43" w:rsidP="00A964EF">
      <w:pPr>
        <w:pStyle w:val="FootnoteText"/>
      </w:pPr>
      <w:r>
        <w:rPr>
          <w:vertAlign w:val="superscript"/>
        </w:rPr>
        <w:footnoteRef/>
      </w:r>
      <w:r>
        <w:tab/>
        <w:t>Процентно изменение спрямо предходната година.</w:t>
      </w:r>
    </w:p>
  </w:footnote>
  <w:footnote w:id="35">
    <w:p w14:paraId="179DACD8" w14:textId="77777777" w:rsidR="00C47B43" w:rsidRDefault="00C47B43" w:rsidP="00A964EF">
      <w:pPr>
        <w:pStyle w:val="FootnoteText"/>
      </w:pPr>
      <w:r>
        <w:rPr>
          <w:vertAlign w:val="superscript"/>
        </w:rPr>
        <w:footnoteRef/>
      </w:r>
      <w:r>
        <w:tab/>
        <w:t>Незадължителен за Програмите за стабилност.</w:t>
      </w:r>
    </w:p>
  </w:footnote>
  <w:footnote w:id="36">
    <w:p w14:paraId="16FCA147" w14:textId="77777777" w:rsidR="00C47B43" w:rsidRDefault="00C47B43" w:rsidP="00A964EF">
      <w:pPr>
        <w:pStyle w:val="FootnoteText"/>
      </w:pPr>
      <w:r>
        <w:rPr>
          <w:vertAlign w:val="superscript"/>
        </w:rPr>
        <w:footnoteRef/>
      </w:r>
      <w:r>
        <w:tab/>
        <w:t>Заето население, дефиниция от националните сметки.</w:t>
      </w:r>
    </w:p>
  </w:footnote>
  <w:footnote w:id="37">
    <w:p w14:paraId="74C3ED38" w14:textId="77777777" w:rsidR="00C47B43" w:rsidRDefault="00C47B43" w:rsidP="00A964EF">
      <w:pPr>
        <w:pStyle w:val="FootnoteText"/>
      </w:pPr>
      <w:r>
        <w:rPr>
          <w:vertAlign w:val="superscript"/>
        </w:rPr>
        <w:footnoteRef/>
      </w:r>
      <w:r>
        <w:tab/>
        <w:t>Дефиниция от националните сметки.</w:t>
      </w:r>
    </w:p>
  </w:footnote>
  <w:footnote w:id="38">
    <w:p w14:paraId="1B7061AD" w14:textId="77777777" w:rsidR="00C47B43" w:rsidRDefault="00C47B43" w:rsidP="00A964EF">
      <w:pPr>
        <w:pStyle w:val="FootnoteText"/>
      </w:pPr>
      <w:r>
        <w:rPr>
          <w:vertAlign w:val="superscript"/>
        </w:rPr>
        <w:footnoteRef/>
      </w:r>
      <w:r>
        <w:tab/>
        <w:t>Хармонизирана дефиниция, Евростат; нива.</w:t>
      </w:r>
    </w:p>
  </w:footnote>
  <w:footnote w:id="39">
    <w:p w14:paraId="415FE5B7" w14:textId="0824161C" w:rsidR="00C47B43" w:rsidRDefault="00C47B43" w:rsidP="00A964EF">
      <w:pPr>
        <w:pStyle w:val="FootnoteText"/>
      </w:pPr>
      <w:r>
        <w:rPr>
          <w:vertAlign w:val="superscript"/>
        </w:rPr>
        <w:footnoteRef/>
      </w:r>
      <w:r>
        <w:tab/>
        <w:t>Реален БВП в лева на един зает.</w:t>
      </w:r>
    </w:p>
  </w:footnote>
  <w:footnote w:id="40">
    <w:p w14:paraId="16FC7C58" w14:textId="77777777" w:rsidR="00C47B43" w:rsidRDefault="00C47B43" w:rsidP="00A964EF">
      <w:pPr>
        <w:pStyle w:val="FootnoteText"/>
      </w:pPr>
      <w:r>
        <w:rPr>
          <w:vertAlign w:val="superscript"/>
        </w:rPr>
        <w:footnoteRef/>
      </w:r>
      <w:r>
        <w:tab/>
        <w:t>Реален БВП в лева на отработен час.</w:t>
      </w:r>
    </w:p>
  </w:footnote>
  <w:footnote w:id="41">
    <w:p w14:paraId="6F3AEDCB" w14:textId="77777777" w:rsidR="00C47B43" w:rsidRDefault="00C47B43" w:rsidP="00A964EF">
      <w:pPr>
        <w:pStyle w:val="FootnoteText"/>
      </w:pPr>
      <w:r>
        <w:rPr>
          <w:rStyle w:val="FootnoteReference"/>
        </w:rPr>
        <w:footnoteRef/>
      </w:r>
      <w:r>
        <w:t xml:space="preserve"> </w:t>
      </w:r>
      <w:r>
        <w:tab/>
        <w:t>В млн. лв.</w:t>
      </w:r>
    </w:p>
  </w:footnote>
  <w:footnote w:id="42">
    <w:p w14:paraId="42C17CEE" w14:textId="77777777" w:rsidR="00C47B43" w:rsidRPr="00A203AA" w:rsidRDefault="00C47B43" w:rsidP="00DF687C">
      <w:pPr>
        <w:pStyle w:val="FootnoteText"/>
      </w:pPr>
      <w:r w:rsidRPr="00A203AA">
        <w:rPr>
          <w:vertAlign w:val="superscript"/>
        </w:rPr>
        <w:footnoteRef/>
      </w:r>
      <w:r w:rsidRPr="00A203AA">
        <w:t xml:space="preserve"> </w:t>
      </w:r>
      <w:r>
        <w:tab/>
      </w:r>
      <w:r w:rsidRPr="00A203AA">
        <w:t>Съгласно дефиницията от Регламент 479/2009 (понятие извън ЕСС).</w:t>
      </w:r>
    </w:p>
  </w:footnote>
  <w:footnote w:id="43">
    <w:p w14:paraId="13E29DCA" w14:textId="77777777" w:rsidR="00C47B43" w:rsidRPr="00A203AA" w:rsidRDefault="00C47B43" w:rsidP="00DF687C">
      <w:pPr>
        <w:pStyle w:val="FootnoteText"/>
      </w:pPr>
      <w:r w:rsidRPr="00A203AA">
        <w:rPr>
          <w:vertAlign w:val="superscript"/>
        </w:rPr>
        <w:footnoteRef/>
      </w:r>
      <w:r>
        <w:t xml:space="preserve"> </w:t>
      </w:r>
      <w:r>
        <w:tab/>
      </w:r>
      <w:r w:rsidRPr="00A203AA">
        <w:t>Вж. т. 10 от Таблица 2.</w:t>
      </w:r>
    </w:p>
  </w:footnote>
  <w:footnote w:id="44">
    <w:p w14:paraId="77CC145D" w14:textId="77777777" w:rsidR="00C47B43" w:rsidRPr="00A203AA" w:rsidRDefault="00C47B43" w:rsidP="00DF687C">
      <w:pPr>
        <w:pStyle w:val="FootnoteText"/>
      </w:pPr>
      <w:r w:rsidRPr="00A203AA">
        <w:rPr>
          <w:vertAlign w:val="superscript"/>
        </w:rPr>
        <w:footnoteRef/>
      </w:r>
      <w:r>
        <w:t xml:space="preserve"> </w:t>
      </w:r>
      <w:r>
        <w:tab/>
      </w:r>
      <w:r w:rsidRPr="00A203AA">
        <w:t>Вж. т. 9 от Таблица 2.</w:t>
      </w:r>
    </w:p>
  </w:footnote>
  <w:footnote w:id="45">
    <w:p w14:paraId="6B3626A6" w14:textId="77777777" w:rsidR="00C47B43" w:rsidRPr="00A203AA" w:rsidRDefault="00C47B43" w:rsidP="00DF687C">
      <w:pPr>
        <w:pStyle w:val="FootnoteText"/>
      </w:pPr>
      <w:r w:rsidRPr="00A203AA">
        <w:rPr>
          <w:vertAlign w:val="superscript"/>
        </w:rPr>
        <w:footnoteRef/>
      </w:r>
      <w:r>
        <w:t xml:space="preserve"> </w:t>
      </w:r>
      <w:r>
        <w:tab/>
      </w:r>
      <w:r w:rsidRPr="00A203AA">
        <w:t>Разликите, касаещи лихвените разходи, другите разходи и приходите се посочват при необходимост или в случай, че съотношението на дълга спрямо БВП е над референтната стойност.</w:t>
      </w:r>
    </w:p>
  </w:footnote>
  <w:footnote w:id="46">
    <w:p w14:paraId="177599AE" w14:textId="77777777" w:rsidR="00C47B43" w:rsidRPr="00A203AA" w:rsidRDefault="00C47B43" w:rsidP="00DF687C">
      <w:pPr>
        <w:pStyle w:val="FootnoteText"/>
      </w:pPr>
      <w:r w:rsidRPr="00A203AA">
        <w:rPr>
          <w:vertAlign w:val="superscript"/>
        </w:rPr>
        <w:footnoteRef/>
      </w:r>
      <w:r>
        <w:t xml:space="preserve"> </w:t>
      </w:r>
      <w:r>
        <w:tab/>
      </w:r>
      <w:r w:rsidRPr="00A203AA">
        <w:t xml:space="preserve">Вкл. ликвидни активи, ДЦК, активи в трети страни, предприятия под държавен контрол, като разликата между котирани и некотирани на борсата се посочва при необходимост или в случай, че съотношението на дълга спрямо БВП е над референтната стойност. </w:t>
      </w:r>
    </w:p>
  </w:footnote>
  <w:footnote w:id="47">
    <w:p w14:paraId="159566EE" w14:textId="77777777" w:rsidR="00C47B43" w:rsidRPr="00A203AA" w:rsidRDefault="00C47B43" w:rsidP="00DF687C">
      <w:pPr>
        <w:pStyle w:val="FootnoteText"/>
      </w:pPr>
      <w:r w:rsidRPr="00A203AA">
        <w:rPr>
          <w:vertAlign w:val="superscript"/>
        </w:rPr>
        <w:footnoteRef/>
      </w:r>
      <w:r>
        <w:t xml:space="preserve"> </w:t>
      </w:r>
      <w:r>
        <w:tab/>
      </w:r>
      <w:r w:rsidRPr="00A203AA">
        <w:t>Измененията, дължащи се на разликите в обменните курсове и на операции на вторичните пазари, се посочват при необходимост или в случай, че съотношението на дълга спрямо БВП е над референтната стойност.</w:t>
      </w:r>
    </w:p>
  </w:footnote>
  <w:footnote w:id="48">
    <w:p w14:paraId="1F9A6D36" w14:textId="77777777" w:rsidR="00C47B43" w:rsidRPr="00A203AA" w:rsidRDefault="00C47B43" w:rsidP="00DF687C">
      <w:pPr>
        <w:pStyle w:val="FootnoteText"/>
      </w:pPr>
      <w:r w:rsidRPr="00A203AA">
        <w:rPr>
          <w:vertAlign w:val="superscript"/>
        </w:rPr>
        <w:footnoteRef/>
      </w:r>
      <w:r>
        <w:t xml:space="preserve"> </w:t>
      </w:r>
      <w:r>
        <w:tab/>
      </w:r>
      <w:r w:rsidRPr="00A203AA">
        <w:t>Пресметнато приблизително като лихвени разходи разделени на нивото на дълга за предходната година.</w:t>
      </w:r>
    </w:p>
  </w:footnote>
  <w:footnote w:id="49">
    <w:p w14:paraId="025C85AA" w14:textId="77777777" w:rsidR="00C47B43" w:rsidRPr="00A203AA" w:rsidRDefault="00C47B43" w:rsidP="00DF687C">
      <w:pPr>
        <w:pStyle w:val="FootnoteText"/>
      </w:pPr>
      <w:r w:rsidRPr="00A203AA">
        <w:rPr>
          <w:vertAlign w:val="superscript"/>
        </w:rPr>
        <w:footnoteRef/>
      </w:r>
      <w:r>
        <w:t xml:space="preserve"> </w:t>
      </w:r>
      <w:r>
        <w:tab/>
      </w:r>
      <w:r w:rsidRPr="00A203AA">
        <w:t>AF1, AF2, AF3 (консолидирани по пазарни цени), AF5 (ако са котирани на фондова борса; вкл. дялове от взаимни фондове).</w:t>
      </w:r>
    </w:p>
  </w:footnote>
  <w:footnote w:id="50">
    <w:p w14:paraId="32808474" w14:textId="77777777" w:rsidR="00C47B43" w:rsidRPr="009D5BED" w:rsidRDefault="00C47B43" w:rsidP="009A635E">
      <w:pPr>
        <w:pStyle w:val="FootnoteText"/>
      </w:pPr>
      <w:r w:rsidRPr="00685D08">
        <w:rPr>
          <w:vertAlign w:val="superscript"/>
        </w:rPr>
        <w:footnoteRef/>
      </w:r>
      <w:r w:rsidRPr="009D5BED">
        <w:tab/>
        <w:t xml:space="preserve">Приходи от </w:t>
      </w:r>
      <w:r w:rsidRPr="00D62D45">
        <w:t>социално</w:t>
      </w:r>
      <w:r>
        <w:t>-</w:t>
      </w:r>
      <w:r w:rsidRPr="00D62D45">
        <w:t>осигурителни</w:t>
      </w:r>
      <w:r w:rsidRPr="009D5BED">
        <w:t xml:space="preserve"> вноски или други приходи към задължително допълнително пенсионно осигуряване, с които да се покриват възникналите задължения.</w:t>
      </w:r>
    </w:p>
  </w:footnote>
  <w:footnote w:id="51">
    <w:p w14:paraId="07662ABE" w14:textId="77777777" w:rsidR="00C47B43" w:rsidRPr="009D5BED" w:rsidRDefault="00C47B43" w:rsidP="009A635E">
      <w:pPr>
        <w:pStyle w:val="FootnoteText"/>
      </w:pPr>
      <w:r w:rsidRPr="00685D08">
        <w:rPr>
          <w:vertAlign w:val="superscript"/>
        </w:rPr>
        <w:footnoteRef/>
      </w:r>
      <w:r w:rsidRPr="009D5BED">
        <w:tab/>
        <w:t>Разходи за пенсии или за други помощи на задължителното допълнително пенсионно осигуряване.</w:t>
      </w:r>
    </w:p>
  </w:footnote>
  <w:footnote w:id="52">
    <w:p w14:paraId="758261E9" w14:textId="4ED15F3C" w:rsidR="00C47B43" w:rsidRDefault="00C47B43" w:rsidP="001204BE">
      <w:pPr>
        <w:pStyle w:val="FootnoteText"/>
      </w:pPr>
      <w:r>
        <w:rPr>
          <w:rStyle w:val="FootnoteReference"/>
        </w:rPr>
        <w:footnoteRef/>
      </w:r>
      <w:r>
        <w:t xml:space="preserve"> </w:t>
      </w:r>
      <w:r>
        <w:tab/>
      </w:r>
      <w:r w:rsidRPr="008D715F">
        <w:t>БВП (по цени от 201</w:t>
      </w:r>
      <w:r>
        <w:rPr>
          <w:lang w:val="en-US"/>
        </w:rPr>
        <w:t>5</w:t>
      </w:r>
      <w:r w:rsidRPr="008D715F">
        <w:t>) на зает (НРС).</w:t>
      </w:r>
    </w:p>
  </w:footnote>
  <w:footnote w:id="53">
    <w:p w14:paraId="25F30BE7" w14:textId="77777777" w:rsidR="00C47B43" w:rsidRDefault="00C47B43" w:rsidP="00A964EF">
      <w:pPr>
        <w:pStyle w:val="FootnoteText"/>
      </w:pPr>
      <w:r>
        <w:rPr>
          <w:vertAlign w:val="superscript"/>
        </w:rPr>
        <w:footnoteRef/>
      </w:r>
      <w:r>
        <w:tab/>
        <w:t>Положителните числа означават поскъпване, а отрицателните – обезценяване.</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9ED1C1" w14:textId="77777777" w:rsidR="00C47B43" w:rsidRPr="009B50C9" w:rsidRDefault="00C47B43" w:rsidP="00D902CC">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949E88" w14:textId="77777777" w:rsidR="00C47B43" w:rsidRPr="001745DE" w:rsidRDefault="00C47B43" w:rsidP="001745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88DCB0" w14:textId="77777777" w:rsidR="00C47B43" w:rsidRPr="001B01E9" w:rsidRDefault="00C47B43" w:rsidP="001B01E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90870" w14:textId="77777777" w:rsidR="00C47B43" w:rsidRPr="001B01E9" w:rsidRDefault="00C47B43" w:rsidP="001B01E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FD856" w14:textId="77777777" w:rsidR="00C47B43" w:rsidRPr="001B01E9" w:rsidRDefault="00C47B43" w:rsidP="001B01E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9F09A1" w14:textId="77777777" w:rsidR="00C47B43" w:rsidRPr="00C47465" w:rsidRDefault="00C47B43" w:rsidP="00C4746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5AB1D7" w14:textId="77777777" w:rsidR="00C47B43" w:rsidRPr="00C47465" w:rsidRDefault="00C47B43" w:rsidP="00C4746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967FFC" w14:textId="77777777" w:rsidR="00C47B43" w:rsidRPr="00C47465" w:rsidRDefault="00C47B43" w:rsidP="00C474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73689"/>
    <w:multiLevelType w:val="hybridMultilevel"/>
    <w:tmpl w:val="FB4C2140"/>
    <w:lvl w:ilvl="0" w:tplc="04090001">
      <w:start w:val="1"/>
      <w:numFmt w:val="bullet"/>
      <w:lvlText w:val=""/>
      <w:lvlJc w:val="left"/>
      <w:pPr>
        <w:ind w:left="360" w:hanging="360"/>
      </w:pPr>
      <w:rPr>
        <w:rFonts w:ascii="Symbol" w:hAnsi="Symbol" w:hint="default"/>
      </w:rPr>
    </w:lvl>
    <w:lvl w:ilvl="1" w:tplc="59E66580">
      <w:numFmt w:val="bullet"/>
      <w:lvlText w:val="•"/>
      <w:lvlJc w:val="left"/>
      <w:pPr>
        <w:ind w:left="1080" w:hanging="360"/>
      </w:pPr>
      <w:rPr>
        <w:rFonts w:ascii="Calibri" w:eastAsia="MS Mincho" w:hAnsi="Calibri"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 w15:restartNumberingAfterBreak="0">
    <w:nsid w:val="074515DE"/>
    <w:multiLevelType w:val="hybridMultilevel"/>
    <w:tmpl w:val="D7987AEA"/>
    <w:lvl w:ilvl="0" w:tplc="CC50C91C">
      <w:numFmt w:val="bullet"/>
      <w:lvlText w:val=""/>
      <w:lvlJc w:val="left"/>
      <w:pPr>
        <w:ind w:left="720" w:hanging="360"/>
      </w:pPr>
      <w:rPr>
        <w:rFonts w:ascii="Symbol" w:eastAsia="Calibri" w:hAnsi="Symbol"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12CA04E9"/>
    <w:multiLevelType w:val="multilevel"/>
    <w:tmpl w:val="FA8A1AC4"/>
    <w:lvl w:ilvl="0">
      <w:start w:val="1"/>
      <w:numFmt w:val="bullet"/>
      <w:pStyle w:val="Heading5"/>
      <w:suff w:val="space"/>
      <w:lvlText w:val=""/>
      <w:lvlJc w:val="left"/>
      <w:pPr>
        <w:ind w:left="0" w:firstLine="0"/>
      </w:pPr>
      <w:rPr>
        <w:rFonts w:ascii="Wingdings 2" w:hAnsi="Wingdings 2" w:hint="default"/>
        <w:b/>
        <w:color w:val="6768AB"/>
        <w:sz w:val="20"/>
        <w:u w:color="9F2936" w:themeColor="accent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BA70D53"/>
    <w:multiLevelType w:val="hybridMultilevel"/>
    <w:tmpl w:val="DBC472DA"/>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4" w15:restartNumberingAfterBreak="0">
    <w:nsid w:val="24657E67"/>
    <w:multiLevelType w:val="hybridMultilevel"/>
    <w:tmpl w:val="2140F44E"/>
    <w:lvl w:ilvl="0" w:tplc="04020001">
      <w:start w:val="1"/>
      <w:numFmt w:val="bullet"/>
      <w:lvlText w:val=""/>
      <w:lvlJc w:val="left"/>
      <w:pPr>
        <w:tabs>
          <w:tab w:val="num" w:pos="1428"/>
        </w:tabs>
        <w:ind w:left="1428" w:hanging="360"/>
      </w:pPr>
      <w:rPr>
        <w:rFonts w:ascii="Symbol" w:hAnsi="Symbol" w:hint="default"/>
      </w:rPr>
    </w:lvl>
    <w:lvl w:ilvl="1" w:tplc="04020003">
      <w:start w:val="1"/>
      <w:numFmt w:val="bullet"/>
      <w:lvlText w:val="o"/>
      <w:lvlJc w:val="left"/>
      <w:pPr>
        <w:tabs>
          <w:tab w:val="num" w:pos="2148"/>
        </w:tabs>
        <w:ind w:left="2148" w:hanging="360"/>
      </w:pPr>
      <w:rPr>
        <w:rFonts w:ascii="Courier New" w:hAnsi="Courier New" w:cs="Courier New" w:hint="default"/>
      </w:rPr>
    </w:lvl>
    <w:lvl w:ilvl="2" w:tplc="04020005">
      <w:start w:val="1"/>
      <w:numFmt w:val="bullet"/>
      <w:lvlText w:val=""/>
      <w:lvlJc w:val="left"/>
      <w:pPr>
        <w:tabs>
          <w:tab w:val="num" w:pos="2868"/>
        </w:tabs>
        <w:ind w:left="2868" w:hanging="360"/>
      </w:pPr>
      <w:rPr>
        <w:rFonts w:ascii="Wingdings" w:hAnsi="Wingdings" w:hint="default"/>
      </w:rPr>
    </w:lvl>
    <w:lvl w:ilvl="3" w:tplc="04020001">
      <w:start w:val="1"/>
      <w:numFmt w:val="bullet"/>
      <w:lvlText w:val=""/>
      <w:lvlJc w:val="left"/>
      <w:pPr>
        <w:tabs>
          <w:tab w:val="num" w:pos="3588"/>
        </w:tabs>
        <w:ind w:left="3588" w:hanging="360"/>
      </w:pPr>
      <w:rPr>
        <w:rFonts w:ascii="Symbol" w:hAnsi="Symbol" w:hint="default"/>
      </w:rPr>
    </w:lvl>
    <w:lvl w:ilvl="4" w:tplc="04020003">
      <w:start w:val="1"/>
      <w:numFmt w:val="bullet"/>
      <w:lvlText w:val="o"/>
      <w:lvlJc w:val="left"/>
      <w:pPr>
        <w:tabs>
          <w:tab w:val="num" w:pos="4308"/>
        </w:tabs>
        <w:ind w:left="4308" w:hanging="360"/>
      </w:pPr>
      <w:rPr>
        <w:rFonts w:ascii="Courier New" w:hAnsi="Courier New" w:cs="Courier New" w:hint="default"/>
      </w:rPr>
    </w:lvl>
    <w:lvl w:ilvl="5" w:tplc="04020005">
      <w:start w:val="1"/>
      <w:numFmt w:val="bullet"/>
      <w:lvlText w:val=""/>
      <w:lvlJc w:val="left"/>
      <w:pPr>
        <w:tabs>
          <w:tab w:val="num" w:pos="5028"/>
        </w:tabs>
        <w:ind w:left="5028" w:hanging="360"/>
      </w:pPr>
      <w:rPr>
        <w:rFonts w:ascii="Wingdings" w:hAnsi="Wingdings" w:hint="default"/>
      </w:rPr>
    </w:lvl>
    <w:lvl w:ilvl="6" w:tplc="04020001">
      <w:start w:val="1"/>
      <w:numFmt w:val="bullet"/>
      <w:lvlText w:val=""/>
      <w:lvlJc w:val="left"/>
      <w:pPr>
        <w:tabs>
          <w:tab w:val="num" w:pos="5748"/>
        </w:tabs>
        <w:ind w:left="5748" w:hanging="360"/>
      </w:pPr>
      <w:rPr>
        <w:rFonts w:ascii="Symbol" w:hAnsi="Symbol" w:hint="default"/>
      </w:rPr>
    </w:lvl>
    <w:lvl w:ilvl="7" w:tplc="04020003">
      <w:start w:val="1"/>
      <w:numFmt w:val="bullet"/>
      <w:lvlText w:val="o"/>
      <w:lvlJc w:val="left"/>
      <w:pPr>
        <w:tabs>
          <w:tab w:val="num" w:pos="6468"/>
        </w:tabs>
        <w:ind w:left="6468" w:hanging="360"/>
      </w:pPr>
      <w:rPr>
        <w:rFonts w:ascii="Courier New" w:hAnsi="Courier New" w:cs="Courier New" w:hint="default"/>
      </w:rPr>
    </w:lvl>
    <w:lvl w:ilvl="8" w:tplc="04020005">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285B6D83"/>
    <w:multiLevelType w:val="hybridMultilevel"/>
    <w:tmpl w:val="FCD6238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35C8673C"/>
    <w:multiLevelType w:val="multilevel"/>
    <w:tmpl w:val="0A52375C"/>
    <w:lvl w:ilvl="0">
      <w:start w:val="1"/>
      <w:numFmt w:val="decimal"/>
      <w:pStyle w:val="Heading1"/>
      <w:lvlText w:val="%1."/>
      <w:lvlJc w:val="left"/>
      <w:pPr>
        <w:ind w:left="567" w:hanging="567"/>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1430" w:hanging="720"/>
      </w:pPr>
      <w:rPr>
        <w:rFonts w:hint="default"/>
      </w:rPr>
    </w:lvl>
    <w:lvl w:ilvl="3">
      <w:start w:val="1"/>
      <w:numFmt w:val="none"/>
      <w:lvlText w:val=""/>
      <w:lvlJc w:val="left"/>
      <w:pPr>
        <w:ind w:left="284" w:hanging="28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3AD717D6"/>
    <w:multiLevelType w:val="hybridMultilevel"/>
    <w:tmpl w:val="D6981C0E"/>
    <w:lvl w:ilvl="0" w:tplc="92C8B04C">
      <w:start w:val="1"/>
      <w:numFmt w:val="bullet"/>
      <w:pStyle w:val="ListParagraph"/>
      <w:lvlText w:val=""/>
      <w:lvlJc w:val="left"/>
      <w:pPr>
        <w:ind w:left="644" w:hanging="360"/>
      </w:pPr>
      <w:rPr>
        <w:rFonts w:ascii="Symbol" w:hAnsi="Symbol" w:hint="default"/>
        <w:color w:val="877952" w:themeColor="background2" w:themeShade="80"/>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3FA97FD9"/>
    <w:multiLevelType w:val="multilevel"/>
    <w:tmpl w:val="9FA03408"/>
    <w:lvl w:ilvl="0">
      <w:start w:val="1"/>
      <w:numFmt w:val="decimal"/>
      <w:lvlText w:val="%1."/>
      <w:lvlJc w:val="left"/>
      <w:pPr>
        <w:ind w:left="1069" w:hanging="360"/>
      </w:pPr>
      <w:rPr>
        <w:b w:val="0"/>
      </w:rPr>
    </w:lvl>
    <w:lvl w:ilvl="1">
      <w:start w:val="1"/>
      <w:numFmt w:val="decimal"/>
      <w:isLgl/>
      <w:lvlText w:val="%1.%2."/>
      <w:lvlJc w:val="left"/>
      <w:pPr>
        <w:ind w:left="1069" w:hanging="360"/>
      </w:pPr>
      <w:rPr>
        <w:rFonts w:ascii="Times New Roman" w:hAnsi="Times New Roman" w:cs="Times New Roman" w:hint="default"/>
      </w:rPr>
    </w:lvl>
    <w:lvl w:ilvl="2">
      <w:start w:val="1"/>
      <w:numFmt w:val="decimal"/>
      <w:isLgl/>
      <w:lvlText w:val="%1.%2.%3."/>
      <w:lvlJc w:val="left"/>
      <w:pPr>
        <w:ind w:left="1429" w:hanging="720"/>
      </w:pPr>
    </w:lvl>
    <w:lvl w:ilvl="3">
      <w:start w:val="1"/>
      <w:numFmt w:val="decimal"/>
      <w:isLgl/>
      <w:lvlText w:val="%1.%2.%3.%4."/>
      <w:lvlJc w:val="left"/>
      <w:pPr>
        <w:ind w:left="1429" w:hanging="720"/>
      </w:pPr>
    </w:lvl>
    <w:lvl w:ilvl="4">
      <w:start w:val="1"/>
      <w:numFmt w:val="decimal"/>
      <w:isLgl/>
      <w:lvlText w:val="%1.%2.%3.%4.%5."/>
      <w:lvlJc w:val="left"/>
      <w:pPr>
        <w:ind w:left="1789" w:hanging="1080"/>
      </w:pPr>
    </w:lvl>
    <w:lvl w:ilvl="5">
      <w:start w:val="1"/>
      <w:numFmt w:val="decimal"/>
      <w:isLgl/>
      <w:lvlText w:val="%1.%2.%3.%4.%5.%6."/>
      <w:lvlJc w:val="left"/>
      <w:pPr>
        <w:ind w:left="1789" w:hanging="1080"/>
      </w:pPr>
    </w:lvl>
    <w:lvl w:ilvl="6">
      <w:start w:val="1"/>
      <w:numFmt w:val="decimal"/>
      <w:isLgl/>
      <w:lvlText w:val="%1.%2.%3.%4.%5.%6.%7."/>
      <w:lvlJc w:val="left"/>
      <w:pPr>
        <w:ind w:left="2149" w:hanging="1440"/>
      </w:pPr>
    </w:lvl>
    <w:lvl w:ilvl="7">
      <w:start w:val="1"/>
      <w:numFmt w:val="decimal"/>
      <w:isLgl/>
      <w:lvlText w:val="%1.%2.%3.%4.%5.%6.%7.%8."/>
      <w:lvlJc w:val="left"/>
      <w:pPr>
        <w:ind w:left="2149" w:hanging="1440"/>
      </w:pPr>
    </w:lvl>
    <w:lvl w:ilvl="8">
      <w:start w:val="1"/>
      <w:numFmt w:val="decimal"/>
      <w:isLgl/>
      <w:lvlText w:val="%1.%2.%3.%4.%5.%6.%7.%8.%9."/>
      <w:lvlJc w:val="left"/>
      <w:pPr>
        <w:ind w:left="2509" w:hanging="1800"/>
      </w:pPr>
    </w:lvl>
  </w:abstractNum>
  <w:abstractNum w:abstractNumId="9" w15:restartNumberingAfterBreak="0">
    <w:nsid w:val="62885444"/>
    <w:multiLevelType w:val="hybridMultilevel"/>
    <w:tmpl w:val="2B7CA754"/>
    <w:lvl w:ilvl="0" w:tplc="F5042898">
      <w:start w:val="1"/>
      <w:numFmt w:val="bullet"/>
      <w:lvlText w:val=""/>
      <w:lvlJc w:val="left"/>
      <w:pPr>
        <w:ind w:left="1080" w:hanging="360"/>
      </w:pPr>
      <w:rPr>
        <w:rFonts w:ascii="Symbol" w:hAnsi="Symbol" w:hint="default"/>
        <w:color w:val="6768AB"/>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0" w15:restartNumberingAfterBreak="0">
    <w:nsid w:val="732B1534"/>
    <w:multiLevelType w:val="multilevel"/>
    <w:tmpl w:val="7762621A"/>
    <w:lvl w:ilvl="0">
      <w:start w:val="1"/>
      <w:numFmt w:val="bullet"/>
      <w:pStyle w:val="Heading4"/>
      <w:suff w:val="space"/>
      <w:lvlText w:val="─"/>
      <w:lvlJc w:val="left"/>
      <w:pPr>
        <w:ind w:left="0" w:firstLine="0"/>
      </w:pPr>
      <w:rPr>
        <w:rFonts w:ascii="Verdana" w:hAnsi="Verdan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D8E100C"/>
    <w:multiLevelType w:val="hybridMultilevel"/>
    <w:tmpl w:val="CEA6730E"/>
    <w:lvl w:ilvl="0" w:tplc="3FF62432">
      <w:start w:val="1"/>
      <w:numFmt w:val="bullet"/>
      <w:lvlText w:val=""/>
      <w:lvlJc w:val="left"/>
      <w:pPr>
        <w:ind w:left="1080" w:hanging="360"/>
      </w:pPr>
      <w:rPr>
        <w:rFonts w:ascii="Symbol" w:hAnsi="Symbol" w:hint="default"/>
        <w:color w:val="F07F09" w:themeColor="accent1"/>
      </w:rPr>
    </w:lvl>
    <w:lvl w:ilvl="1" w:tplc="49C4763E">
      <w:start w:val="1"/>
      <w:numFmt w:val="bullet"/>
      <w:pStyle w:val="ListParagraph2"/>
      <w:lvlText w:val=""/>
      <w:lvlJc w:val="left"/>
      <w:pPr>
        <w:ind w:left="1800" w:hanging="360"/>
      </w:pPr>
      <w:rPr>
        <w:rFonts w:ascii="Symbol" w:hAnsi="Symbol" w:hint="default"/>
        <w:color w:val="auto"/>
        <w:u w:color="997339" w:themeColor="accent6" w:themeShade="BF"/>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6"/>
  </w:num>
  <w:num w:numId="2">
    <w:abstractNumId w:val="10"/>
  </w:num>
  <w:num w:numId="3">
    <w:abstractNumId w:val="7"/>
  </w:num>
  <w:num w:numId="4">
    <w:abstractNumId w:val="11"/>
  </w:num>
  <w:num w:numId="5">
    <w:abstractNumId w:val="2"/>
  </w:num>
  <w:num w:numId="6">
    <w:abstractNumId w:val="0"/>
  </w:num>
  <w:num w:numId="7">
    <w:abstractNumId w:val="4"/>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4"/>
    </w:lvlOverride>
    <w:lvlOverride w:ilvl="1">
      <w:startOverride w:val="2"/>
    </w:lvlOverride>
  </w:num>
  <w:num w:numId="10">
    <w:abstractNumId w:val="9"/>
  </w:num>
  <w:num w:numId="11">
    <w:abstractNumId w:val="1"/>
  </w:num>
  <w:num w:numId="12">
    <w:abstractNumId w:val="7"/>
  </w:num>
  <w:num w:numId="13">
    <w:abstractNumId w:val="7"/>
  </w:num>
  <w:num w:numId="14">
    <w:abstractNumId w:val="7"/>
  </w:num>
  <w:num w:numId="15">
    <w:abstractNumId w:val="7"/>
  </w:num>
  <w:num w:numId="16">
    <w:abstractNumId w:val="7"/>
  </w:num>
  <w:num w:numId="17">
    <w:abstractNumId w:val="7"/>
  </w:num>
  <w:num w:numId="18">
    <w:abstractNumId w:val="7"/>
  </w:num>
  <w:num w:numId="19">
    <w:abstractNumId w:val="7"/>
  </w:num>
  <w:num w:numId="20">
    <w:abstractNumId w:val="7"/>
  </w:num>
  <w:num w:numId="21">
    <w:abstractNumId w:val="7"/>
  </w:num>
  <w:num w:numId="22">
    <w:abstractNumId w:val="7"/>
  </w:num>
  <w:num w:numId="23">
    <w:abstractNumId w:val="7"/>
  </w:num>
  <w:num w:numId="24">
    <w:abstractNumId w:val="7"/>
  </w:num>
  <w:num w:numId="25">
    <w:abstractNumId w:val="7"/>
  </w:num>
  <w:num w:numId="26">
    <w:abstractNumId w:val="7"/>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7"/>
  </w:num>
  <w:num w:numId="37">
    <w:abstractNumId w:val="7"/>
  </w:num>
  <w:num w:numId="38">
    <w:abstractNumId w:val="7"/>
  </w:num>
  <w:num w:numId="39">
    <w:abstractNumId w:val="7"/>
  </w:num>
  <w:num w:numId="40">
    <w:abstractNumId w:val="3"/>
  </w:num>
  <w:num w:numId="41">
    <w:abstractNumId w:val="5"/>
  </w:num>
  <w:num w:numId="42">
    <w:abstractNumId w:val="7"/>
  </w:num>
  <w:num w:numId="43">
    <w:abstractNumId w:val="7"/>
  </w:num>
  <w:num w:numId="44">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autoHyphenation/>
  <w:hyphenationZone w:val="425"/>
  <w:evenAndOddHeaders/>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9FF"/>
    <w:rsid w:val="000003D4"/>
    <w:rsid w:val="000008B6"/>
    <w:rsid w:val="00001026"/>
    <w:rsid w:val="00001ABD"/>
    <w:rsid w:val="00001C4E"/>
    <w:rsid w:val="00002265"/>
    <w:rsid w:val="00002271"/>
    <w:rsid w:val="000025DB"/>
    <w:rsid w:val="00002AB6"/>
    <w:rsid w:val="00002B11"/>
    <w:rsid w:val="00002F5C"/>
    <w:rsid w:val="000031B7"/>
    <w:rsid w:val="0000329A"/>
    <w:rsid w:val="000039D9"/>
    <w:rsid w:val="00003BE7"/>
    <w:rsid w:val="000057C8"/>
    <w:rsid w:val="00005B6E"/>
    <w:rsid w:val="0000646F"/>
    <w:rsid w:val="00006B06"/>
    <w:rsid w:val="00007A00"/>
    <w:rsid w:val="00007DE8"/>
    <w:rsid w:val="0001017A"/>
    <w:rsid w:val="0001033E"/>
    <w:rsid w:val="00010774"/>
    <w:rsid w:val="00010CA1"/>
    <w:rsid w:val="00011092"/>
    <w:rsid w:val="000112D6"/>
    <w:rsid w:val="00011B13"/>
    <w:rsid w:val="00011BCD"/>
    <w:rsid w:val="00012813"/>
    <w:rsid w:val="00013414"/>
    <w:rsid w:val="000136DF"/>
    <w:rsid w:val="00013B3A"/>
    <w:rsid w:val="00013BCD"/>
    <w:rsid w:val="00013FEB"/>
    <w:rsid w:val="00014516"/>
    <w:rsid w:val="00014654"/>
    <w:rsid w:val="00014B20"/>
    <w:rsid w:val="00014BF2"/>
    <w:rsid w:val="00014E6D"/>
    <w:rsid w:val="00015070"/>
    <w:rsid w:val="00015164"/>
    <w:rsid w:val="0001516C"/>
    <w:rsid w:val="00015292"/>
    <w:rsid w:val="00015951"/>
    <w:rsid w:val="00015ACF"/>
    <w:rsid w:val="00016315"/>
    <w:rsid w:val="000168B3"/>
    <w:rsid w:val="00016BB3"/>
    <w:rsid w:val="000174C3"/>
    <w:rsid w:val="000201AC"/>
    <w:rsid w:val="000202A7"/>
    <w:rsid w:val="00020305"/>
    <w:rsid w:val="00020658"/>
    <w:rsid w:val="0002077E"/>
    <w:rsid w:val="00021378"/>
    <w:rsid w:val="00021615"/>
    <w:rsid w:val="00021985"/>
    <w:rsid w:val="000222B0"/>
    <w:rsid w:val="0002274C"/>
    <w:rsid w:val="00022CBC"/>
    <w:rsid w:val="00023139"/>
    <w:rsid w:val="00023B65"/>
    <w:rsid w:val="00023D32"/>
    <w:rsid w:val="00023EA1"/>
    <w:rsid w:val="00024358"/>
    <w:rsid w:val="000245AF"/>
    <w:rsid w:val="000248A9"/>
    <w:rsid w:val="000249B0"/>
    <w:rsid w:val="00024C81"/>
    <w:rsid w:val="00024ED7"/>
    <w:rsid w:val="000251A8"/>
    <w:rsid w:val="00026337"/>
    <w:rsid w:val="00026548"/>
    <w:rsid w:val="00026748"/>
    <w:rsid w:val="00026A44"/>
    <w:rsid w:val="00027A92"/>
    <w:rsid w:val="00030135"/>
    <w:rsid w:val="000301C7"/>
    <w:rsid w:val="0003034E"/>
    <w:rsid w:val="000305F3"/>
    <w:rsid w:val="000308C7"/>
    <w:rsid w:val="00031041"/>
    <w:rsid w:val="000310D0"/>
    <w:rsid w:val="00031468"/>
    <w:rsid w:val="00031829"/>
    <w:rsid w:val="000319B1"/>
    <w:rsid w:val="00031A0B"/>
    <w:rsid w:val="00032047"/>
    <w:rsid w:val="00032157"/>
    <w:rsid w:val="000321A7"/>
    <w:rsid w:val="000324B1"/>
    <w:rsid w:val="00032554"/>
    <w:rsid w:val="00033391"/>
    <w:rsid w:val="00033A82"/>
    <w:rsid w:val="00033B20"/>
    <w:rsid w:val="00033B25"/>
    <w:rsid w:val="00034A57"/>
    <w:rsid w:val="00034D91"/>
    <w:rsid w:val="00034DCE"/>
    <w:rsid w:val="00034FEC"/>
    <w:rsid w:val="00035D40"/>
    <w:rsid w:val="00036054"/>
    <w:rsid w:val="0003623D"/>
    <w:rsid w:val="000362A2"/>
    <w:rsid w:val="00036BD1"/>
    <w:rsid w:val="00037241"/>
    <w:rsid w:val="00037772"/>
    <w:rsid w:val="00037E5E"/>
    <w:rsid w:val="00040A95"/>
    <w:rsid w:val="00040D02"/>
    <w:rsid w:val="00040D6E"/>
    <w:rsid w:val="00041001"/>
    <w:rsid w:val="00041092"/>
    <w:rsid w:val="000410ED"/>
    <w:rsid w:val="00041378"/>
    <w:rsid w:val="00042137"/>
    <w:rsid w:val="0004233B"/>
    <w:rsid w:val="0004255F"/>
    <w:rsid w:val="00042905"/>
    <w:rsid w:val="000429DB"/>
    <w:rsid w:val="00042BA3"/>
    <w:rsid w:val="0004332D"/>
    <w:rsid w:val="0004339D"/>
    <w:rsid w:val="000434E1"/>
    <w:rsid w:val="0004352D"/>
    <w:rsid w:val="0004385D"/>
    <w:rsid w:val="00044066"/>
    <w:rsid w:val="000453FD"/>
    <w:rsid w:val="00045E95"/>
    <w:rsid w:val="00046164"/>
    <w:rsid w:val="0004617A"/>
    <w:rsid w:val="000471E2"/>
    <w:rsid w:val="00050626"/>
    <w:rsid w:val="00050C22"/>
    <w:rsid w:val="000510E4"/>
    <w:rsid w:val="00051119"/>
    <w:rsid w:val="00051E4B"/>
    <w:rsid w:val="000521E4"/>
    <w:rsid w:val="00052238"/>
    <w:rsid w:val="0005226E"/>
    <w:rsid w:val="000524F6"/>
    <w:rsid w:val="00052FE3"/>
    <w:rsid w:val="0005327D"/>
    <w:rsid w:val="0005372B"/>
    <w:rsid w:val="0005379A"/>
    <w:rsid w:val="00053AA4"/>
    <w:rsid w:val="00053B23"/>
    <w:rsid w:val="00053C14"/>
    <w:rsid w:val="00053C34"/>
    <w:rsid w:val="00054028"/>
    <w:rsid w:val="0005561D"/>
    <w:rsid w:val="00056063"/>
    <w:rsid w:val="00056890"/>
    <w:rsid w:val="00056E1B"/>
    <w:rsid w:val="00056E6C"/>
    <w:rsid w:val="000573B4"/>
    <w:rsid w:val="0005795A"/>
    <w:rsid w:val="00057D0D"/>
    <w:rsid w:val="000605FA"/>
    <w:rsid w:val="0006133B"/>
    <w:rsid w:val="000616B3"/>
    <w:rsid w:val="00061A29"/>
    <w:rsid w:val="00061CC4"/>
    <w:rsid w:val="00061F87"/>
    <w:rsid w:val="00061FB3"/>
    <w:rsid w:val="000620FC"/>
    <w:rsid w:val="000621A8"/>
    <w:rsid w:val="00062373"/>
    <w:rsid w:val="00062511"/>
    <w:rsid w:val="00062B4E"/>
    <w:rsid w:val="0006306B"/>
    <w:rsid w:val="0006341B"/>
    <w:rsid w:val="000637C5"/>
    <w:rsid w:val="00063F12"/>
    <w:rsid w:val="000645B0"/>
    <w:rsid w:val="0006464A"/>
    <w:rsid w:val="00064937"/>
    <w:rsid w:val="00064DE9"/>
    <w:rsid w:val="00065261"/>
    <w:rsid w:val="000662BB"/>
    <w:rsid w:val="0006776B"/>
    <w:rsid w:val="00070115"/>
    <w:rsid w:val="000701DC"/>
    <w:rsid w:val="00070E13"/>
    <w:rsid w:val="000713A2"/>
    <w:rsid w:val="0007187C"/>
    <w:rsid w:val="00072948"/>
    <w:rsid w:val="00072D8D"/>
    <w:rsid w:val="0007357F"/>
    <w:rsid w:val="000739B2"/>
    <w:rsid w:val="00073B22"/>
    <w:rsid w:val="00073C8B"/>
    <w:rsid w:val="00073E8B"/>
    <w:rsid w:val="00074FC9"/>
    <w:rsid w:val="00075526"/>
    <w:rsid w:val="000758CE"/>
    <w:rsid w:val="00075C15"/>
    <w:rsid w:val="00076065"/>
    <w:rsid w:val="00076436"/>
    <w:rsid w:val="000771E0"/>
    <w:rsid w:val="000775E9"/>
    <w:rsid w:val="00077696"/>
    <w:rsid w:val="00077771"/>
    <w:rsid w:val="00077B41"/>
    <w:rsid w:val="00077B93"/>
    <w:rsid w:val="00077D93"/>
    <w:rsid w:val="00077F16"/>
    <w:rsid w:val="00080529"/>
    <w:rsid w:val="00080BB8"/>
    <w:rsid w:val="00081138"/>
    <w:rsid w:val="00081E70"/>
    <w:rsid w:val="00081F7B"/>
    <w:rsid w:val="00083106"/>
    <w:rsid w:val="0008342F"/>
    <w:rsid w:val="00083912"/>
    <w:rsid w:val="00083E44"/>
    <w:rsid w:val="000840F0"/>
    <w:rsid w:val="000843BA"/>
    <w:rsid w:val="000856AB"/>
    <w:rsid w:val="00085BA9"/>
    <w:rsid w:val="00085DEA"/>
    <w:rsid w:val="00085EF7"/>
    <w:rsid w:val="000862C7"/>
    <w:rsid w:val="0008659A"/>
    <w:rsid w:val="000867B0"/>
    <w:rsid w:val="00086DED"/>
    <w:rsid w:val="0008700F"/>
    <w:rsid w:val="0008708A"/>
    <w:rsid w:val="00087184"/>
    <w:rsid w:val="00087665"/>
    <w:rsid w:val="000876E7"/>
    <w:rsid w:val="00087BFB"/>
    <w:rsid w:val="00087CDB"/>
    <w:rsid w:val="00087DEE"/>
    <w:rsid w:val="00090633"/>
    <w:rsid w:val="000907BA"/>
    <w:rsid w:val="00090844"/>
    <w:rsid w:val="000910AD"/>
    <w:rsid w:val="000912EF"/>
    <w:rsid w:val="000915CB"/>
    <w:rsid w:val="000917D8"/>
    <w:rsid w:val="00091882"/>
    <w:rsid w:val="00091E35"/>
    <w:rsid w:val="000927E4"/>
    <w:rsid w:val="00092944"/>
    <w:rsid w:val="000936FC"/>
    <w:rsid w:val="000937BA"/>
    <w:rsid w:val="00093CD9"/>
    <w:rsid w:val="00093FD6"/>
    <w:rsid w:val="000945F4"/>
    <w:rsid w:val="0009466C"/>
    <w:rsid w:val="000947E4"/>
    <w:rsid w:val="00094DF8"/>
    <w:rsid w:val="0009503D"/>
    <w:rsid w:val="000956F0"/>
    <w:rsid w:val="000957DA"/>
    <w:rsid w:val="00095E50"/>
    <w:rsid w:val="00096118"/>
    <w:rsid w:val="0009611A"/>
    <w:rsid w:val="000967EC"/>
    <w:rsid w:val="00096D56"/>
    <w:rsid w:val="00096F5A"/>
    <w:rsid w:val="00097715"/>
    <w:rsid w:val="00097AE0"/>
    <w:rsid w:val="000A015E"/>
    <w:rsid w:val="000A055F"/>
    <w:rsid w:val="000A0B8C"/>
    <w:rsid w:val="000A0D4B"/>
    <w:rsid w:val="000A100B"/>
    <w:rsid w:val="000A101B"/>
    <w:rsid w:val="000A1605"/>
    <w:rsid w:val="000A19A3"/>
    <w:rsid w:val="000A1BAE"/>
    <w:rsid w:val="000A278D"/>
    <w:rsid w:val="000A28B4"/>
    <w:rsid w:val="000A28D3"/>
    <w:rsid w:val="000A2909"/>
    <w:rsid w:val="000A2B53"/>
    <w:rsid w:val="000A302A"/>
    <w:rsid w:val="000A33D2"/>
    <w:rsid w:val="000A34D6"/>
    <w:rsid w:val="000A3892"/>
    <w:rsid w:val="000A3BA0"/>
    <w:rsid w:val="000A44A3"/>
    <w:rsid w:val="000A451B"/>
    <w:rsid w:val="000A4600"/>
    <w:rsid w:val="000A4A0E"/>
    <w:rsid w:val="000A4A34"/>
    <w:rsid w:val="000A4F49"/>
    <w:rsid w:val="000A5269"/>
    <w:rsid w:val="000A57F8"/>
    <w:rsid w:val="000A5E7F"/>
    <w:rsid w:val="000A6095"/>
    <w:rsid w:val="000A6576"/>
    <w:rsid w:val="000A6642"/>
    <w:rsid w:val="000A6978"/>
    <w:rsid w:val="000A6DA2"/>
    <w:rsid w:val="000A7075"/>
    <w:rsid w:val="000A742D"/>
    <w:rsid w:val="000A76E8"/>
    <w:rsid w:val="000A7B13"/>
    <w:rsid w:val="000B0CB4"/>
    <w:rsid w:val="000B24DC"/>
    <w:rsid w:val="000B25DA"/>
    <w:rsid w:val="000B27D6"/>
    <w:rsid w:val="000B2B63"/>
    <w:rsid w:val="000B2E51"/>
    <w:rsid w:val="000B2FB4"/>
    <w:rsid w:val="000B345E"/>
    <w:rsid w:val="000B3666"/>
    <w:rsid w:val="000B397E"/>
    <w:rsid w:val="000B3A42"/>
    <w:rsid w:val="000B3E3B"/>
    <w:rsid w:val="000B43A8"/>
    <w:rsid w:val="000B4BE1"/>
    <w:rsid w:val="000B5150"/>
    <w:rsid w:val="000B5312"/>
    <w:rsid w:val="000B5346"/>
    <w:rsid w:val="000B5414"/>
    <w:rsid w:val="000B5BA9"/>
    <w:rsid w:val="000B5DFE"/>
    <w:rsid w:val="000B5E06"/>
    <w:rsid w:val="000B5EEF"/>
    <w:rsid w:val="000B640B"/>
    <w:rsid w:val="000B6883"/>
    <w:rsid w:val="000B69FE"/>
    <w:rsid w:val="000B6F1B"/>
    <w:rsid w:val="000B726C"/>
    <w:rsid w:val="000B769D"/>
    <w:rsid w:val="000C0639"/>
    <w:rsid w:val="000C0800"/>
    <w:rsid w:val="000C139F"/>
    <w:rsid w:val="000C2572"/>
    <w:rsid w:val="000C2586"/>
    <w:rsid w:val="000C2BAB"/>
    <w:rsid w:val="000C2DDB"/>
    <w:rsid w:val="000C2F04"/>
    <w:rsid w:val="000C342F"/>
    <w:rsid w:val="000C34B5"/>
    <w:rsid w:val="000C364E"/>
    <w:rsid w:val="000C366A"/>
    <w:rsid w:val="000C36E2"/>
    <w:rsid w:val="000C3E6A"/>
    <w:rsid w:val="000C3F8C"/>
    <w:rsid w:val="000C3F9B"/>
    <w:rsid w:val="000C4142"/>
    <w:rsid w:val="000C421D"/>
    <w:rsid w:val="000C4325"/>
    <w:rsid w:val="000C5581"/>
    <w:rsid w:val="000C565C"/>
    <w:rsid w:val="000C57E3"/>
    <w:rsid w:val="000C5DEC"/>
    <w:rsid w:val="000C6169"/>
    <w:rsid w:val="000C6374"/>
    <w:rsid w:val="000C6408"/>
    <w:rsid w:val="000C6743"/>
    <w:rsid w:val="000C67F5"/>
    <w:rsid w:val="000C6AEB"/>
    <w:rsid w:val="000C6CD6"/>
    <w:rsid w:val="000C6D3A"/>
    <w:rsid w:val="000C72C8"/>
    <w:rsid w:val="000C72EE"/>
    <w:rsid w:val="000C73E7"/>
    <w:rsid w:val="000C7836"/>
    <w:rsid w:val="000C7E42"/>
    <w:rsid w:val="000C7F62"/>
    <w:rsid w:val="000D0584"/>
    <w:rsid w:val="000D0892"/>
    <w:rsid w:val="000D102A"/>
    <w:rsid w:val="000D1925"/>
    <w:rsid w:val="000D2052"/>
    <w:rsid w:val="000D2690"/>
    <w:rsid w:val="000D27B7"/>
    <w:rsid w:val="000D2921"/>
    <w:rsid w:val="000D2BAD"/>
    <w:rsid w:val="000D2C6C"/>
    <w:rsid w:val="000D2F15"/>
    <w:rsid w:val="000D3870"/>
    <w:rsid w:val="000D3B91"/>
    <w:rsid w:val="000D4239"/>
    <w:rsid w:val="000D4244"/>
    <w:rsid w:val="000D4A01"/>
    <w:rsid w:val="000D4C26"/>
    <w:rsid w:val="000D4C49"/>
    <w:rsid w:val="000D4E6F"/>
    <w:rsid w:val="000D503F"/>
    <w:rsid w:val="000D55DE"/>
    <w:rsid w:val="000D5C22"/>
    <w:rsid w:val="000D5F99"/>
    <w:rsid w:val="000D628E"/>
    <w:rsid w:val="000D6A22"/>
    <w:rsid w:val="000D6E1A"/>
    <w:rsid w:val="000D72AA"/>
    <w:rsid w:val="000D72FC"/>
    <w:rsid w:val="000D75A8"/>
    <w:rsid w:val="000D75C5"/>
    <w:rsid w:val="000D7BDF"/>
    <w:rsid w:val="000D7DF8"/>
    <w:rsid w:val="000D7E8A"/>
    <w:rsid w:val="000E0D0D"/>
    <w:rsid w:val="000E0D16"/>
    <w:rsid w:val="000E14BB"/>
    <w:rsid w:val="000E18BD"/>
    <w:rsid w:val="000E1EFF"/>
    <w:rsid w:val="000E203B"/>
    <w:rsid w:val="000E2146"/>
    <w:rsid w:val="000E24DC"/>
    <w:rsid w:val="000E341D"/>
    <w:rsid w:val="000E364E"/>
    <w:rsid w:val="000E3B6A"/>
    <w:rsid w:val="000E3C32"/>
    <w:rsid w:val="000E3DA0"/>
    <w:rsid w:val="000E4274"/>
    <w:rsid w:val="000E42D9"/>
    <w:rsid w:val="000E4348"/>
    <w:rsid w:val="000E488F"/>
    <w:rsid w:val="000E4ECE"/>
    <w:rsid w:val="000E526A"/>
    <w:rsid w:val="000E68B2"/>
    <w:rsid w:val="000E6999"/>
    <w:rsid w:val="000E6A2F"/>
    <w:rsid w:val="000E6FAA"/>
    <w:rsid w:val="000F033A"/>
    <w:rsid w:val="000F0DB3"/>
    <w:rsid w:val="000F0F9D"/>
    <w:rsid w:val="000F1A3C"/>
    <w:rsid w:val="000F1AC6"/>
    <w:rsid w:val="000F1E36"/>
    <w:rsid w:val="000F1E3A"/>
    <w:rsid w:val="000F2060"/>
    <w:rsid w:val="000F2064"/>
    <w:rsid w:val="000F259E"/>
    <w:rsid w:val="000F27A2"/>
    <w:rsid w:val="000F2C2D"/>
    <w:rsid w:val="000F30ED"/>
    <w:rsid w:val="000F312A"/>
    <w:rsid w:val="000F31B2"/>
    <w:rsid w:val="000F32AF"/>
    <w:rsid w:val="000F39E9"/>
    <w:rsid w:val="000F3A04"/>
    <w:rsid w:val="000F3D28"/>
    <w:rsid w:val="000F3D3F"/>
    <w:rsid w:val="000F4063"/>
    <w:rsid w:val="000F4148"/>
    <w:rsid w:val="000F4753"/>
    <w:rsid w:val="000F47DD"/>
    <w:rsid w:val="000F49F0"/>
    <w:rsid w:val="000F5147"/>
    <w:rsid w:val="000F56BD"/>
    <w:rsid w:val="000F5C48"/>
    <w:rsid w:val="000F5CC3"/>
    <w:rsid w:val="000F6260"/>
    <w:rsid w:val="000F6398"/>
    <w:rsid w:val="000F65D3"/>
    <w:rsid w:val="000F67C5"/>
    <w:rsid w:val="000F6814"/>
    <w:rsid w:val="000F6835"/>
    <w:rsid w:val="000F6EAC"/>
    <w:rsid w:val="000F7657"/>
    <w:rsid w:val="000F789E"/>
    <w:rsid w:val="000F7DA8"/>
    <w:rsid w:val="000F7F03"/>
    <w:rsid w:val="000F7FAA"/>
    <w:rsid w:val="0010018E"/>
    <w:rsid w:val="00100513"/>
    <w:rsid w:val="0010076C"/>
    <w:rsid w:val="00100A44"/>
    <w:rsid w:val="00100B80"/>
    <w:rsid w:val="00100FC7"/>
    <w:rsid w:val="00100FDD"/>
    <w:rsid w:val="00101039"/>
    <w:rsid w:val="001017D7"/>
    <w:rsid w:val="00101BA7"/>
    <w:rsid w:val="00101BDD"/>
    <w:rsid w:val="00101CC6"/>
    <w:rsid w:val="00102895"/>
    <w:rsid w:val="00102970"/>
    <w:rsid w:val="00102EAD"/>
    <w:rsid w:val="001030F0"/>
    <w:rsid w:val="0010374D"/>
    <w:rsid w:val="0010419B"/>
    <w:rsid w:val="001042E5"/>
    <w:rsid w:val="00104923"/>
    <w:rsid w:val="00104A10"/>
    <w:rsid w:val="00104B99"/>
    <w:rsid w:val="00104E1B"/>
    <w:rsid w:val="0010509B"/>
    <w:rsid w:val="00105227"/>
    <w:rsid w:val="001052A8"/>
    <w:rsid w:val="001059DA"/>
    <w:rsid w:val="00106588"/>
    <w:rsid w:val="00106E2C"/>
    <w:rsid w:val="00107729"/>
    <w:rsid w:val="001101AC"/>
    <w:rsid w:val="0011079F"/>
    <w:rsid w:val="00110CAB"/>
    <w:rsid w:val="0011115A"/>
    <w:rsid w:val="00111427"/>
    <w:rsid w:val="00111CBA"/>
    <w:rsid w:val="00111D00"/>
    <w:rsid w:val="00112C87"/>
    <w:rsid w:val="00112D71"/>
    <w:rsid w:val="0011330D"/>
    <w:rsid w:val="00113528"/>
    <w:rsid w:val="0011370A"/>
    <w:rsid w:val="0011423F"/>
    <w:rsid w:val="00114466"/>
    <w:rsid w:val="00114A2A"/>
    <w:rsid w:val="00114C77"/>
    <w:rsid w:val="00115191"/>
    <w:rsid w:val="00115360"/>
    <w:rsid w:val="00115415"/>
    <w:rsid w:val="001158A2"/>
    <w:rsid w:val="00115C93"/>
    <w:rsid w:val="00115E5C"/>
    <w:rsid w:val="00115FBF"/>
    <w:rsid w:val="001165A4"/>
    <w:rsid w:val="00117089"/>
    <w:rsid w:val="001172AC"/>
    <w:rsid w:val="001173CF"/>
    <w:rsid w:val="00117731"/>
    <w:rsid w:val="00117D95"/>
    <w:rsid w:val="00117FF7"/>
    <w:rsid w:val="00120334"/>
    <w:rsid w:val="001204BE"/>
    <w:rsid w:val="00120A6A"/>
    <w:rsid w:val="00120DB9"/>
    <w:rsid w:val="00121498"/>
    <w:rsid w:val="00121BA0"/>
    <w:rsid w:val="0012233C"/>
    <w:rsid w:val="001224EF"/>
    <w:rsid w:val="0012335F"/>
    <w:rsid w:val="00123975"/>
    <w:rsid w:val="00123C4B"/>
    <w:rsid w:val="00124AF3"/>
    <w:rsid w:val="00124B55"/>
    <w:rsid w:val="00124D54"/>
    <w:rsid w:val="00125450"/>
    <w:rsid w:val="001254DE"/>
    <w:rsid w:val="001256D5"/>
    <w:rsid w:val="00126205"/>
    <w:rsid w:val="00126742"/>
    <w:rsid w:val="0012676A"/>
    <w:rsid w:val="00126F88"/>
    <w:rsid w:val="001273A9"/>
    <w:rsid w:val="00127454"/>
    <w:rsid w:val="001275E4"/>
    <w:rsid w:val="001277B5"/>
    <w:rsid w:val="00127971"/>
    <w:rsid w:val="0013015A"/>
    <w:rsid w:val="00130385"/>
    <w:rsid w:val="00130599"/>
    <w:rsid w:val="00130981"/>
    <w:rsid w:val="00130D23"/>
    <w:rsid w:val="00130F4B"/>
    <w:rsid w:val="00131B71"/>
    <w:rsid w:val="001325FC"/>
    <w:rsid w:val="001326A2"/>
    <w:rsid w:val="00132746"/>
    <w:rsid w:val="0013352F"/>
    <w:rsid w:val="001335BA"/>
    <w:rsid w:val="00133B52"/>
    <w:rsid w:val="00133EB1"/>
    <w:rsid w:val="001346E8"/>
    <w:rsid w:val="00134B9C"/>
    <w:rsid w:val="00134D47"/>
    <w:rsid w:val="00135082"/>
    <w:rsid w:val="001351C1"/>
    <w:rsid w:val="001355BA"/>
    <w:rsid w:val="00135689"/>
    <w:rsid w:val="00135DF0"/>
    <w:rsid w:val="00135E64"/>
    <w:rsid w:val="00136438"/>
    <w:rsid w:val="001366BB"/>
    <w:rsid w:val="00136CC7"/>
    <w:rsid w:val="0013705E"/>
    <w:rsid w:val="00137631"/>
    <w:rsid w:val="00137916"/>
    <w:rsid w:val="00137996"/>
    <w:rsid w:val="00137A8B"/>
    <w:rsid w:val="00137B1B"/>
    <w:rsid w:val="001400CB"/>
    <w:rsid w:val="0014047F"/>
    <w:rsid w:val="00140657"/>
    <w:rsid w:val="001412FB"/>
    <w:rsid w:val="001416D4"/>
    <w:rsid w:val="001418CC"/>
    <w:rsid w:val="00141D5B"/>
    <w:rsid w:val="00141D93"/>
    <w:rsid w:val="00142067"/>
    <w:rsid w:val="001420D2"/>
    <w:rsid w:val="001426D9"/>
    <w:rsid w:val="00142707"/>
    <w:rsid w:val="001429B1"/>
    <w:rsid w:val="00142AB9"/>
    <w:rsid w:val="0014349B"/>
    <w:rsid w:val="0014352C"/>
    <w:rsid w:val="001439AB"/>
    <w:rsid w:val="00143A09"/>
    <w:rsid w:val="00144C5A"/>
    <w:rsid w:val="001450C1"/>
    <w:rsid w:val="001454AE"/>
    <w:rsid w:val="00145AD5"/>
    <w:rsid w:val="00145C8C"/>
    <w:rsid w:val="00147118"/>
    <w:rsid w:val="001473CD"/>
    <w:rsid w:val="0015023D"/>
    <w:rsid w:val="00150297"/>
    <w:rsid w:val="00150B55"/>
    <w:rsid w:val="0015111D"/>
    <w:rsid w:val="00151774"/>
    <w:rsid w:val="00152152"/>
    <w:rsid w:val="001522D9"/>
    <w:rsid w:val="0015230B"/>
    <w:rsid w:val="00152712"/>
    <w:rsid w:val="00152C95"/>
    <w:rsid w:val="00152F69"/>
    <w:rsid w:val="001530B8"/>
    <w:rsid w:val="001534EA"/>
    <w:rsid w:val="00153B35"/>
    <w:rsid w:val="00153D9E"/>
    <w:rsid w:val="00154372"/>
    <w:rsid w:val="00154397"/>
    <w:rsid w:val="0015538E"/>
    <w:rsid w:val="00155401"/>
    <w:rsid w:val="001555CD"/>
    <w:rsid w:val="00155600"/>
    <w:rsid w:val="0015561D"/>
    <w:rsid w:val="00155AB9"/>
    <w:rsid w:val="00156669"/>
    <w:rsid w:val="00156847"/>
    <w:rsid w:val="00157736"/>
    <w:rsid w:val="00157ECD"/>
    <w:rsid w:val="00157F9A"/>
    <w:rsid w:val="001601D3"/>
    <w:rsid w:val="001606B9"/>
    <w:rsid w:val="0016098A"/>
    <w:rsid w:val="0016138B"/>
    <w:rsid w:val="00161583"/>
    <w:rsid w:val="00161A91"/>
    <w:rsid w:val="00161F61"/>
    <w:rsid w:val="0016210B"/>
    <w:rsid w:val="0016224D"/>
    <w:rsid w:val="001623F9"/>
    <w:rsid w:val="00162899"/>
    <w:rsid w:val="001629D5"/>
    <w:rsid w:val="00162E4E"/>
    <w:rsid w:val="00163210"/>
    <w:rsid w:val="00163823"/>
    <w:rsid w:val="00163830"/>
    <w:rsid w:val="00163C1E"/>
    <w:rsid w:val="00163D52"/>
    <w:rsid w:val="00163F09"/>
    <w:rsid w:val="0016439C"/>
    <w:rsid w:val="001646C0"/>
    <w:rsid w:val="001648C5"/>
    <w:rsid w:val="00164C37"/>
    <w:rsid w:val="00164D75"/>
    <w:rsid w:val="00164F2C"/>
    <w:rsid w:val="0016536D"/>
    <w:rsid w:val="0016561E"/>
    <w:rsid w:val="00165AC8"/>
    <w:rsid w:val="00165C3B"/>
    <w:rsid w:val="00166650"/>
    <w:rsid w:val="00166712"/>
    <w:rsid w:val="001674F7"/>
    <w:rsid w:val="00167594"/>
    <w:rsid w:val="001676F4"/>
    <w:rsid w:val="00167C57"/>
    <w:rsid w:val="00167E91"/>
    <w:rsid w:val="001708A4"/>
    <w:rsid w:val="00170A09"/>
    <w:rsid w:val="00170D6D"/>
    <w:rsid w:val="00171AF6"/>
    <w:rsid w:val="00171B8A"/>
    <w:rsid w:val="001726D8"/>
    <w:rsid w:val="00172958"/>
    <w:rsid w:val="00172E29"/>
    <w:rsid w:val="001733ED"/>
    <w:rsid w:val="001736A1"/>
    <w:rsid w:val="001736D4"/>
    <w:rsid w:val="00174527"/>
    <w:rsid w:val="001745DE"/>
    <w:rsid w:val="001746D7"/>
    <w:rsid w:val="0017552F"/>
    <w:rsid w:val="001758AE"/>
    <w:rsid w:val="00175A18"/>
    <w:rsid w:val="00175D9E"/>
    <w:rsid w:val="00176000"/>
    <w:rsid w:val="0017620E"/>
    <w:rsid w:val="00176605"/>
    <w:rsid w:val="001767E2"/>
    <w:rsid w:val="00176A63"/>
    <w:rsid w:val="0017786B"/>
    <w:rsid w:val="00177943"/>
    <w:rsid w:val="0018036F"/>
    <w:rsid w:val="00180B52"/>
    <w:rsid w:val="00181550"/>
    <w:rsid w:val="00181847"/>
    <w:rsid w:val="00181E48"/>
    <w:rsid w:val="0018260E"/>
    <w:rsid w:val="00182721"/>
    <w:rsid w:val="0018297C"/>
    <w:rsid w:val="001829CC"/>
    <w:rsid w:val="00182F1C"/>
    <w:rsid w:val="00183327"/>
    <w:rsid w:val="00183F90"/>
    <w:rsid w:val="001840B5"/>
    <w:rsid w:val="00184669"/>
    <w:rsid w:val="00185296"/>
    <w:rsid w:val="00185504"/>
    <w:rsid w:val="00185864"/>
    <w:rsid w:val="0018597F"/>
    <w:rsid w:val="00185C5F"/>
    <w:rsid w:val="001863B2"/>
    <w:rsid w:val="001865B5"/>
    <w:rsid w:val="0018660C"/>
    <w:rsid w:val="0018671E"/>
    <w:rsid w:val="001867DD"/>
    <w:rsid w:val="00187054"/>
    <w:rsid w:val="0018759A"/>
    <w:rsid w:val="0018789F"/>
    <w:rsid w:val="00187E02"/>
    <w:rsid w:val="00187F3F"/>
    <w:rsid w:val="0019005B"/>
    <w:rsid w:val="001909DD"/>
    <w:rsid w:val="00190D3F"/>
    <w:rsid w:val="0019115B"/>
    <w:rsid w:val="0019142D"/>
    <w:rsid w:val="001919EE"/>
    <w:rsid w:val="0019228E"/>
    <w:rsid w:val="001922E2"/>
    <w:rsid w:val="001928D0"/>
    <w:rsid w:val="001929C1"/>
    <w:rsid w:val="001929F6"/>
    <w:rsid w:val="0019385D"/>
    <w:rsid w:val="001942F0"/>
    <w:rsid w:val="0019437A"/>
    <w:rsid w:val="00194437"/>
    <w:rsid w:val="00194771"/>
    <w:rsid w:val="001947A7"/>
    <w:rsid w:val="00194ADB"/>
    <w:rsid w:val="0019525C"/>
    <w:rsid w:val="001953EF"/>
    <w:rsid w:val="001957E2"/>
    <w:rsid w:val="00195A0D"/>
    <w:rsid w:val="00195A87"/>
    <w:rsid w:val="00195D8D"/>
    <w:rsid w:val="00195EED"/>
    <w:rsid w:val="00196745"/>
    <w:rsid w:val="0019731C"/>
    <w:rsid w:val="00197707"/>
    <w:rsid w:val="00197C97"/>
    <w:rsid w:val="001A01A8"/>
    <w:rsid w:val="001A0309"/>
    <w:rsid w:val="001A0355"/>
    <w:rsid w:val="001A074F"/>
    <w:rsid w:val="001A07DB"/>
    <w:rsid w:val="001A0D63"/>
    <w:rsid w:val="001A0E62"/>
    <w:rsid w:val="001A0FBA"/>
    <w:rsid w:val="001A1422"/>
    <w:rsid w:val="001A1448"/>
    <w:rsid w:val="001A255E"/>
    <w:rsid w:val="001A2588"/>
    <w:rsid w:val="001A299E"/>
    <w:rsid w:val="001A2F5D"/>
    <w:rsid w:val="001A3124"/>
    <w:rsid w:val="001A38CC"/>
    <w:rsid w:val="001A437A"/>
    <w:rsid w:val="001A4BC8"/>
    <w:rsid w:val="001A5908"/>
    <w:rsid w:val="001A5ABA"/>
    <w:rsid w:val="001A5B6B"/>
    <w:rsid w:val="001A5BD0"/>
    <w:rsid w:val="001A5D81"/>
    <w:rsid w:val="001A6615"/>
    <w:rsid w:val="001A6846"/>
    <w:rsid w:val="001A70A3"/>
    <w:rsid w:val="001A743F"/>
    <w:rsid w:val="001A7844"/>
    <w:rsid w:val="001B01E9"/>
    <w:rsid w:val="001B0859"/>
    <w:rsid w:val="001B0B83"/>
    <w:rsid w:val="001B0F58"/>
    <w:rsid w:val="001B1151"/>
    <w:rsid w:val="001B1F66"/>
    <w:rsid w:val="001B2A16"/>
    <w:rsid w:val="001B3020"/>
    <w:rsid w:val="001B31FC"/>
    <w:rsid w:val="001B3420"/>
    <w:rsid w:val="001B39A6"/>
    <w:rsid w:val="001B3F60"/>
    <w:rsid w:val="001B4391"/>
    <w:rsid w:val="001B443F"/>
    <w:rsid w:val="001B4A7A"/>
    <w:rsid w:val="001B4C2C"/>
    <w:rsid w:val="001B4CE0"/>
    <w:rsid w:val="001B549D"/>
    <w:rsid w:val="001B54A0"/>
    <w:rsid w:val="001B5A4C"/>
    <w:rsid w:val="001B65F6"/>
    <w:rsid w:val="001B6A9D"/>
    <w:rsid w:val="001B6B3E"/>
    <w:rsid w:val="001B6E8C"/>
    <w:rsid w:val="001B7710"/>
    <w:rsid w:val="001B7726"/>
    <w:rsid w:val="001B7946"/>
    <w:rsid w:val="001C044E"/>
    <w:rsid w:val="001C0494"/>
    <w:rsid w:val="001C0CC9"/>
    <w:rsid w:val="001C0DEE"/>
    <w:rsid w:val="001C1534"/>
    <w:rsid w:val="001C1F51"/>
    <w:rsid w:val="001C220A"/>
    <w:rsid w:val="001C2B7A"/>
    <w:rsid w:val="001C2BE7"/>
    <w:rsid w:val="001C3739"/>
    <w:rsid w:val="001C389D"/>
    <w:rsid w:val="001C3C2D"/>
    <w:rsid w:val="001C3DEC"/>
    <w:rsid w:val="001C3F9F"/>
    <w:rsid w:val="001C467F"/>
    <w:rsid w:val="001C4C34"/>
    <w:rsid w:val="001C4D60"/>
    <w:rsid w:val="001C4F71"/>
    <w:rsid w:val="001C5078"/>
    <w:rsid w:val="001C53EE"/>
    <w:rsid w:val="001C58A2"/>
    <w:rsid w:val="001C5969"/>
    <w:rsid w:val="001C5BE3"/>
    <w:rsid w:val="001C5BEA"/>
    <w:rsid w:val="001C600F"/>
    <w:rsid w:val="001C65FE"/>
    <w:rsid w:val="001C66EE"/>
    <w:rsid w:val="001C6D3B"/>
    <w:rsid w:val="001C7393"/>
    <w:rsid w:val="001C78D3"/>
    <w:rsid w:val="001D040B"/>
    <w:rsid w:val="001D0B11"/>
    <w:rsid w:val="001D0C3B"/>
    <w:rsid w:val="001D0CA4"/>
    <w:rsid w:val="001D13A9"/>
    <w:rsid w:val="001D1AC0"/>
    <w:rsid w:val="001D1B69"/>
    <w:rsid w:val="001D217A"/>
    <w:rsid w:val="001D22DC"/>
    <w:rsid w:val="001D2D6F"/>
    <w:rsid w:val="001D2F02"/>
    <w:rsid w:val="001D33F5"/>
    <w:rsid w:val="001D3FE9"/>
    <w:rsid w:val="001D42A7"/>
    <w:rsid w:val="001D5225"/>
    <w:rsid w:val="001D5238"/>
    <w:rsid w:val="001D5364"/>
    <w:rsid w:val="001D5E49"/>
    <w:rsid w:val="001D5FA9"/>
    <w:rsid w:val="001D6267"/>
    <w:rsid w:val="001D7ABD"/>
    <w:rsid w:val="001D7AE1"/>
    <w:rsid w:val="001D7B35"/>
    <w:rsid w:val="001E02E3"/>
    <w:rsid w:val="001E03D1"/>
    <w:rsid w:val="001E04DE"/>
    <w:rsid w:val="001E08AC"/>
    <w:rsid w:val="001E0988"/>
    <w:rsid w:val="001E0B50"/>
    <w:rsid w:val="001E0F38"/>
    <w:rsid w:val="001E1383"/>
    <w:rsid w:val="001E17AB"/>
    <w:rsid w:val="001E2461"/>
    <w:rsid w:val="001E2D4A"/>
    <w:rsid w:val="001E3791"/>
    <w:rsid w:val="001E39EA"/>
    <w:rsid w:val="001E41B6"/>
    <w:rsid w:val="001E4351"/>
    <w:rsid w:val="001E471C"/>
    <w:rsid w:val="001E491F"/>
    <w:rsid w:val="001E4A09"/>
    <w:rsid w:val="001E4D64"/>
    <w:rsid w:val="001E518A"/>
    <w:rsid w:val="001E5AB6"/>
    <w:rsid w:val="001E5CA7"/>
    <w:rsid w:val="001E6309"/>
    <w:rsid w:val="001E6847"/>
    <w:rsid w:val="001E6AC7"/>
    <w:rsid w:val="001E6CCF"/>
    <w:rsid w:val="001E7073"/>
    <w:rsid w:val="001E7654"/>
    <w:rsid w:val="001E783C"/>
    <w:rsid w:val="001E7B8D"/>
    <w:rsid w:val="001E7DFA"/>
    <w:rsid w:val="001F02D2"/>
    <w:rsid w:val="001F07E0"/>
    <w:rsid w:val="001F07F4"/>
    <w:rsid w:val="001F08B8"/>
    <w:rsid w:val="001F0B8F"/>
    <w:rsid w:val="001F0DF4"/>
    <w:rsid w:val="001F0F70"/>
    <w:rsid w:val="001F13D6"/>
    <w:rsid w:val="001F2343"/>
    <w:rsid w:val="001F2399"/>
    <w:rsid w:val="001F25B1"/>
    <w:rsid w:val="001F2D8F"/>
    <w:rsid w:val="001F31E8"/>
    <w:rsid w:val="001F35BD"/>
    <w:rsid w:val="001F3BB8"/>
    <w:rsid w:val="001F40D0"/>
    <w:rsid w:val="001F4300"/>
    <w:rsid w:val="001F4564"/>
    <w:rsid w:val="001F4A57"/>
    <w:rsid w:val="001F4B01"/>
    <w:rsid w:val="001F4C1A"/>
    <w:rsid w:val="001F4C20"/>
    <w:rsid w:val="001F5576"/>
    <w:rsid w:val="001F58A3"/>
    <w:rsid w:val="001F606F"/>
    <w:rsid w:val="001F60EE"/>
    <w:rsid w:val="001F634F"/>
    <w:rsid w:val="001F6697"/>
    <w:rsid w:val="001F6712"/>
    <w:rsid w:val="001F6816"/>
    <w:rsid w:val="001F71EF"/>
    <w:rsid w:val="001F7293"/>
    <w:rsid w:val="001F741E"/>
    <w:rsid w:val="001F75B6"/>
    <w:rsid w:val="002001A9"/>
    <w:rsid w:val="002002E5"/>
    <w:rsid w:val="0020064D"/>
    <w:rsid w:val="002010B9"/>
    <w:rsid w:val="00201192"/>
    <w:rsid w:val="00201607"/>
    <w:rsid w:val="00202123"/>
    <w:rsid w:val="00202177"/>
    <w:rsid w:val="00202229"/>
    <w:rsid w:val="002025AA"/>
    <w:rsid w:val="00202EFA"/>
    <w:rsid w:val="00202FC8"/>
    <w:rsid w:val="00203147"/>
    <w:rsid w:val="00204A32"/>
    <w:rsid w:val="00204ACC"/>
    <w:rsid w:val="00204CF2"/>
    <w:rsid w:val="00205621"/>
    <w:rsid w:val="0020575C"/>
    <w:rsid w:val="00205D2F"/>
    <w:rsid w:val="00206334"/>
    <w:rsid w:val="00207054"/>
    <w:rsid w:val="0020712E"/>
    <w:rsid w:val="00210547"/>
    <w:rsid w:val="00210566"/>
    <w:rsid w:val="002107E3"/>
    <w:rsid w:val="00210F62"/>
    <w:rsid w:val="00211642"/>
    <w:rsid w:val="002117D8"/>
    <w:rsid w:val="00211A7E"/>
    <w:rsid w:val="002124BE"/>
    <w:rsid w:val="00212884"/>
    <w:rsid w:val="00212AB0"/>
    <w:rsid w:val="00212D95"/>
    <w:rsid w:val="0021315B"/>
    <w:rsid w:val="0021336A"/>
    <w:rsid w:val="00213388"/>
    <w:rsid w:val="00213AD7"/>
    <w:rsid w:val="00213B51"/>
    <w:rsid w:val="00214AC0"/>
    <w:rsid w:val="00215052"/>
    <w:rsid w:val="0021561A"/>
    <w:rsid w:val="00215A14"/>
    <w:rsid w:val="00215D6A"/>
    <w:rsid w:val="00216102"/>
    <w:rsid w:val="0021625B"/>
    <w:rsid w:val="002162C2"/>
    <w:rsid w:val="00216301"/>
    <w:rsid w:val="00216A02"/>
    <w:rsid w:val="00216D0C"/>
    <w:rsid w:val="002179C6"/>
    <w:rsid w:val="00220340"/>
    <w:rsid w:val="002207AD"/>
    <w:rsid w:val="00220B3B"/>
    <w:rsid w:val="00221571"/>
    <w:rsid w:val="00221960"/>
    <w:rsid w:val="0022255A"/>
    <w:rsid w:val="00222FD3"/>
    <w:rsid w:val="0022315D"/>
    <w:rsid w:val="002237ED"/>
    <w:rsid w:val="0022397E"/>
    <w:rsid w:val="0022429E"/>
    <w:rsid w:val="002243F7"/>
    <w:rsid w:val="002244D3"/>
    <w:rsid w:val="0022470A"/>
    <w:rsid w:val="00224726"/>
    <w:rsid w:val="00224AB4"/>
    <w:rsid w:val="00224F43"/>
    <w:rsid w:val="0022548F"/>
    <w:rsid w:val="00225668"/>
    <w:rsid w:val="002256DB"/>
    <w:rsid w:val="00225CF0"/>
    <w:rsid w:val="00225D29"/>
    <w:rsid w:val="00225E92"/>
    <w:rsid w:val="0022633A"/>
    <w:rsid w:val="00226AB4"/>
    <w:rsid w:val="00226AD6"/>
    <w:rsid w:val="00226C1E"/>
    <w:rsid w:val="00227210"/>
    <w:rsid w:val="00227BA8"/>
    <w:rsid w:val="00227CD9"/>
    <w:rsid w:val="00227D7B"/>
    <w:rsid w:val="00227F85"/>
    <w:rsid w:val="00230675"/>
    <w:rsid w:val="00230833"/>
    <w:rsid w:val="002311D7"/>
    <w:rsid w:val="00231296"/>
    <w:rsid w:val="0023139C"/>
    <w:rsid w:val="002322AC"/>
    <w:rsid w:val="00232974"/>
    <w:rsid w:val="00232E48"/>
    <w:rsid w:val="00232F8B"/>
    <w:rsid w:val="00233769"/>
    <w:rsid w:val="0023399D"/>
    <w:rsid w:val="002348C5"/>
    <w:rsid w:val="00234AC8"/>
    <w:rsid w:val="0023528E"/>
    <w:rsid w:val="00235475"/>
    <w:rsid w:val="002356E3"/>
    <w:rsid w:val="0023587E"/>
    <w:rsid w:val="00235AE2"/>
    <w:rsid w:val="00236C7B"/>
    <w:rsid w:val="002374D5"/>
    <w:rsid w:val="00237A9F"/>
    <w:rsid w:val="00240275"/>
    <w:rsid w:val="002407C2"/>
    <w:rsid w:val="00241A74"/>
    <w:rsid w:val="0024242F"/>
    <w:rsid w:val="00242A45"/>
    <w:rsid w:val="00242C98"/>
    <w:rsid w:val="00242CD4"/>
    <w:rsid w:val="002435B8"/>
    <w:rsid w:val="0024364A"/>
    <w:rsid w:val="002443A9"/>
    <w:rsid w:val="00244A15"/>
    <w:rsid w:val="00245319"/>
    <w:rsid w:val="00245704"/>
    <w:rsid w:val="002459CF"/>
    <w:rsid w:val="002460D3"/>
    <w:rsid w:val="00246313"/>
    <w:rsid w:val="0024631F"/>
    <w:rsid w:val="0024652A"/>
    <w:rsid w:val="0024677D"/>
    <w:rsid w:val="00246A0F"/>
    <w:rsid w:val="00246EDD"/>
    <w:rsid w:val="00247106"/>
    <w:rsid w:val="0024744C"/>
    <w:rsid w:val="0024796B"/>
    <w:rsid w:val="00247C8F"/>
    <w:rsid w:val="00247FE4"/>
    <w:rsid w:val="0025041B"/>
    <w:rsid w:val="00251EC2"/>
    <w:rsid w:val="00251FCC"/>
    <w:rsid w:val="00252467"/>
    <w:rsid w:val="002525CB"/>
    <w:rsid w:val="002531B8"/>
    <w:rsid w:val="002531EB"/>
    <w:rsid w:val="0025371D"/>
    <w:rsid w:val="00253D70"/>
    <w:rsid w:val="00253F63"/>
    <w:rsid w:val="002541AF"/>
    <w:rsid w:val="0025477D"/>
    <w:rsid w:val="0025480E"/>
    <w:rsid w:val="00254F32"/>
    <w:rsid w:val="00255096"/>
    <w:rsid w:val="002551F0"/>
    <w:rsid w:val="0025575E"/>
    <w:rsid w:val="00256094"/>
    <w:rsid w:val="0025631A"/>
    <w:rsid w:val="00256936"/>
    <w:rsid w:val="00256B24"/>
    <w:rsid w:val="00256BE0"/>
    <w:rsid w:val="00256E91"/>
    <w:rsid w:val="00257536"/>
    <w:rsid w:val="00257903"/>
    <w:rsid w:val="00260E10"/>
    <w:rsid w:val="00260EC5"/>
    <w:rsid w:val="00261AD2"/>
    <w:rsid w:val="00261C7C"/>
    <w:rsid w:val="00262567"/>
    <w:rsid w:val="002629BD"/>
    <w:rsid w:val="00262E82"/>
    <w:rsid w:val="00263190"/>
    <w:rsid w:val="002641F3"/>
    <w:rsid w:val="00264379"/>
    <w:rsid w:val="0026449D"/>
    <w:rsid w:val="00265A26"/>
    <w:rsid w:val="00266470"/>
    <w:rsid w:val="002666BC"/>
    <w:rsid w:val="00266746"/>
    <w:rsid w:val="00266C51"/>
    <w:rsid w:val="00266C70"/>
    <w:rsid w:val="00266FC6"/>
    <w:rsid w:val="00267793"/>
    <w:rsid w:val="0027039E"/>
    <w:rsid w:val="0027049D"/>
    <w:rsid w:val="00270952"/>
    <w:rsid w:val="00270D91"/>
    <w:rsid w:val="00271299"/>
    <w:rsid w:val="00271395"/>
    <w:rsid w:val="002717E5"/>
    <w:rsid w:val="00271E85"/>
    <w:rsid w:val="00272405"/>
    <w:rsid w:val="002726DE"/>
    <w:rsid w:val="00272862"/>
    <w:rsid w:val="00272F4B"/>
    <w:rsid w:val="0027328D"/>
    <w:rsid w:val="0027390B"/>
    <w:rsid w:val="00274467"/>
    <w:rsid w:val="002748B4"/>
    <w:rsid w:val="002750BF"/>
    <w:rsid w:val="00275143"/>
    <w:rsid w:val="002751C9"/>
    <w:rsid w:val="002761F9"/>
    <w:rsid w:val="00276877"/>
    <w:rsid w:val="00276E3B"/>
    <w:rsid w:val="002771E8"/>
    <w:rsid w:val="002772B1"/>
    <w:rsid w:val="002779AD"/>
    <w:rsid w:val="00277CC3"/>
    <w:rsid w:val="00277D09"/>
    <w:rsid w:val="00280070"/>
    <w:rsid w:val="002800B7"/>
    <w:rsid w:val="002801EB"/>
    <w:rsid w:val="00280B46"/>
    <w:rsid w:val="00281202"/>
    <w:rsid w:val="00281711"/>
    <w:rsid w:val="0028213B"/>
    <w:rsid w:val="002826F5"/>
    <w:rsid w:val="0028271F"/>
    <w:rsid w:val="00282C32"/>
    <w:rsid w:val="00282E43"/>
    <w:rsid w:val="002834BF"/>
    <w:rsid w:val="00283AB8"/>
    <w:rsid w:val="00283DEC"/>
    <w:rsid w:val="00283E12"/>
    <w:rsid w:val="002845CC"/>
    <w:rsid w:val="0028482C"/>
    <w:rsid w:val="00284977"/>
    <w:rsid w:val="002855EC"/>
    <w:rsid w:val="00285706"/>
    <w:rsid w:val="0028580A"/>
    <w:rsid w:val="00285E05"/>
    <w:rsid w:val="00285F13"/>
    <w:rsid w:val="00285F30"/>
    <w:rsid w:val="00286430"/>
    <w:rsid w:val="00286801"/>
    <w:rsid w:val="00286A97"/>
    <w:rsid w:val="00286E98"/>
    <w:rsid w:val="002870D4"/>
    <w:rsid w:val="002873A3"/>
    <w:rsid w:val="00287863"/>
    <w:rsid w:val="00290D1B"/>
    <w:rsid w:val="0029149B"/>
    <w:rsid w:val="00291E70"/>
    <w:rsid w:val="00292BF7"/>
    <w:rsid w:val="0029312D"/>
    <w:rsid w:val="0029327F"/>
    <w:rsid w:val="002937D7"/>
    <w:rsid w:val="00293EBD"/>
    <w:rsid w:val="00294494"/>
    <w:rsid w:val="00295357"/>
    <w:rsid w:val="002954FA"/>
    <w:rsid w:val="00295A14"/>
    <w:rsid w:val="00295E7A"/>
    <w:rsid w:val="00295F11"/>
    <w:rsid w:val="00296180"/>
    <w:rsid w:val="00296900"/>
    <w:rsid w:val="0029690E"/>
    <w:rsid w:val="002971CB"/>
    <w:rsid w:val="00297505"/>
    <w:rsid w:val="00297836"/>
    <w:rsid w:val="00297D67"/>
    <w:rsid w:val="00297E23"/>
    <w:rsid w:val="002A00C2"/>
    <w:rsid w:val="002A02E4"/>
    <w:rsid w:val="002A0478"/>
    <w:rsid w:val="002A0574"/>
    <w:rsid w:val="002A0887"/>
    <w:rsid w:val="002A13A1"/>
    <w:rsid w:val="002A1653"/>
    <w:rsid w:val="002A19EC"/>
    <w:rsid w:val="002A1C50"/>
    <w:rsid w:val="002A2159"/>
    <w:rsid w:val="002A2ABF"/>
    <w:rsid w:val="002A2ACE"/>
    <w:rsid w:val="002A2BA1"/>
    <w:rsid w:val="002A3123"/>
    <w:rsid w:val="002A325C"/>
    <w:rsid w:val="002A34B1"/>
    <w:rsid w:val="002A359B"/>
    <w:rsid w:val="002A35B4"/>
    <w:rsid w:val="002A35CD"/>
    <w:rsid w:val="002A372D"/>
    <w:rsid w:val="002A3ABF"/>
    <w:rsid w:val="002A3D38"/>
    <w:rsid w:val="002A3EEE"/>
    <w:rsid w:val="002A452B"/>
    <w:rsid w:val="002A5131"/>
    <w:rsid w:val="002A527B"/>
    <w:rsid w:val="002A5460"/>
    <w:rsid w:val="002A57AD"/>
    <w:rsid w:val="002A58D0"/>
    <w:rsid w:val="002A5C61"/>
    <w:rsid w:val="002A5D1B"/>
    <w:rsid w:val="002A6724"/>
    <w:rsid w:val="002A6B9F"/>
    <w:rsid w:val="002A6D10"/>
    <w:rsid w:val="002A6EBB"/>
    <w:rsid w:val="002A74B2"/>
    <w:rsid w:val="002A74D7"/>
    <w:rsid w:val="002A7C5B"/>
    <w:rsid w:val="002A7E4D"/>
    <w:rsid w:val="002B0143"/>
    <w:rsid w:val="002B01E2"/>
    <w:rsid w:val="002B05EB"/>
    <w:rsid w:val="002B0D18"/>
    <w:rsid w:val="002B13B6"/>
    <w:rsid w:val="002B14B9"/>
    <w:rsid w:val="002B26D7"/>
    <w:rsid w:val="002B2A07"/>
    <w:rsid w:val="002B2B4E"/>
    <w:rsid w:val="002B2CC1"/>
    <w:rsid w:val="002B331A"/>
    <w:rsid w:val="002B3493"/>
    <w:rsid w:val="002B38F8"/>
    <w:rsid w:val="002B397E"/>
    <w:rsid w:val="002B3ACC"/>
    <w:rsid w:val="002B3BA2"/>
    <w:rsid w:val="002B3F36"/>
    <w:rsid w:val="002B46B2"/>
    <w:rsid w:val="002B49EA"/>
    <w:rsid w:val="002B4E24"/>
    <w:rsid w:val="002B52DB"/>
    <w:rsid w:val="002B5376"/>
    <w:rsid w:val="002B5952"/>
    <w:rsid w:val="002B5ACF"/>
    <w:rsid w:val="002B5E90"/>
    <w:rsid w:val="002B648E"/>
    <w:rsid w:val="002B6574"/>
    <w:rsid w:val="002B6A1C"/>
    <w:rsid w:val="002B6E5B"/>
    <w:rsid w:val="002B6E6C"/>
    <w:rsid w:val="002B7019"/>
    <w:rsid w:val="002B7128"/>
    <w:rsid w:val="002B7360"/>
    <w:rsid w:val="002B73B7"/>
    <w:rsid w:val="002B745E"/>
    <w:rsid w:val="002B75DF"/>
    <w:rsid w:val="002B75E7"/>
    <w:rsid w:val="002B7942"/>
    <w:rsid w:val="002C05ED"/>
    <w:rsid w:val="002C0620"/>
    <w:rsid w:val="002C104C"/>
    <w:rsid w:val="002C1222"/>
    <w:rsid w:val="002C12AE"/>
    <w:rsid w:val="002C15B2"/>
    <w:rsid w:val="002C176D"/>
    <w:rsid w:val="002C1D87"/>
    <w:rsid w:val="002C2B4B"/>
    <w:rsid w:val="002C31A9"/>
    <w:rsid w:val="002C3333"/>
    <w:rsid w:val="002C3653"/>
    <w:rsid w:val="002C418C"/>
    <w:rsid w:val="002C41AA"/>
    <w:rsid w:val="002C447C"/>
    <w:rsid w:val="002C4812"/>
    <w:rsid w:val="002C4901"/>
    <w:rsid w:val="002C5061"/>
    <w:rsid w:val="002C5116"/>
    <w:rsid w:val="002C530D"/>
    <w:rsid w:val="002C5E00"/>
    <w:rsid w:val="002C6531"/>
    <w:rsid w:val="002C7571"/>
    <w:rsid w:val="002C762A"/>
    <w:rsid w:val="002C7E9C"/>
    <w:rsid w:val="002C7F69"/>
    <w:rsid w:val="002C7FC5"/>
    <w:rsid w:val="002D009B"/>
    <w:rsid w:val="002D0BF6"/>
    <w:rsid w:val="002D10B2"/>
    <w:rsid w:val="002D115B"/>
    <w:rsid w:val="002D1236"/>
    <w:rsid w:val="002D16FA"/>
    <w:rsid w:val="002D17E7"/>
    <w:rsid w:val="002D1972"/>
    <w:rsid w:val="002D19A2"/>
    <w:rsid w:val="002D20E3"/>
    <w:rsid w:val="002D25F2"/>
    <w:rsid w:val="002D2787"/>
    <w:rsid w:val="002D3515"/>
    <w:rsid w:val="002D38DD"/>
    <w:rsid w:val="002D3F05"/>
    <w:rsid w:val="002D3FA6"/>
    <w:rsid w:val="002D40BE"/>
    <w:rsid w:val="002D4948"/>
    <w:rsid w:val="002D4ACF"/>
    <w:rsid w:val="002D4D50"/>
    <w:rsid w:val="002D4DD7"/>
    <w:rsid w:val="002D5AFF"/>
    <w:rsid w:val="002D5B54"/>
    <w:rsid w:val="002D5F01"/>
    <w:rsid w:val="002D5FDB"/>
    <w:rsid w:val="002D6A18"/>
    <w:rsid w:val="002D6FA8"/>
    <w:rsid w:val="002D72F7"/>
    <w:rsid w:val="002D7608"/>
    <w:rsid w:val="002D7BAC"/>
    <w:rsid w:val="002D7F87"/>
    <w:rsid w:val="002E0045"/>
    <w:rsid w:val="002E0393"/>
    <w:rsid w:val="002E05A4"/>
    <w:rsid w:val="002E071B"/>
    <w:rsid w:val="002E08D9"/>
    <w:rsid w:val="002E0921"/>
    <w:rsid w:val="002E0A93"/>
    <w:rsid w:val="002E1319"/>
    <w:rsid w:val="002E13AB"/>
    <w:rsid w:val="002E149B"/>
    <w:rsid w:val="002E1849"/>
    <w:rsid w:val="002E21FE"/>
    <w:rsid w:val="002E2239"/>
    <w:rsid w:val="002E2793"/>
    <w:rsid w:val="002E2A77"/>
    <w:rsid w:val="002E2C17"/>
    <w:rsid w:val="002E33DF"/>
    <w:rsid w:val="002E348A"/>
    <w:rsid w:val="002E3ACA"/>
    <w:rsid w:val="002E3BB3"/>
    <w:rsid w:val="002E41CE"/>
    <w:rsid w:val="002E4E1B"/>
    <w:rsid w:val="002E5948"/>
    <w:rsid w:val="002E5AAB"/>
    <w:rsid w:val="002E5C4E"/>
    <w:rsid w:val="002E5F74"/>
    <w:rsid w:val="002E62C5"/>
    <w:rsid w:val="002E664F"/>
    <w:rsid w:val="002E6F70"/>
    <w:rsid w:val="002E7603"/>
    <w:rsid w:val="002E79F6"/>
    <w:rsid w:val="002E7FB4"/>
    <w:rsid w:val="002F029C"/>
    <w:rsid w:val="002F069D"/>
    <w:rsid w:val="002F1453"/>
    <w:rsid w:val="002F15AA"/>
    <w:rsid w:val="002F1B6D"/>
    <w:rsid w:val="002F1BBD"/>
    <w:rsid w:val="002F1DD7"/>
    <w:rsid w:val="002F1E5A"/>
    <w:rsid w:val="002F1E9D"/>
    <w:rsid w:val="002F209F"/>
    <w:rsid w:val="002F2519"/>
    <w:rsid w:val="002F2980"/>
    <w:rsid w:val="002F29BE"/>
    <w:rsid w:val="002F2BD7"/>
    <w:rsid w:val="002F2E87"/>
    <w:rsid w:val="002F33E3"/>
    <w:rsid w:val="002F385A"/>
    <w:rsid w:val="002F3885"/>
    <w:rsid w:val="002F388E"/>
    <w:rsid w:val="002F3AE3"/>
    <w:rsid w:val="002F3C7E"/>
    <w:rsid w:val="002F3E21"/>
    <w:rsid w:val="002F41FA"/>
    <w:rsid w:val="002F429B"/>
    <w:rsid w:val="002F4C8D"/>
    <w:rsid w:val="002F596F"/>
    <w:rsid w:val="002F5A35"/>
    <w:rsid w:val="002F6013"/>
    <w:rsid w:val="002F68D2"/>
    <w:rsid w:val="002F69D4"/>
    <w:rsid w:val="002F6FBC"/>
    <w:rsid w:val="002F725E"/>
    <w:rsid w:val="002F736F"/>
    <w:rsid w:val="002F76AD"/>
    <w:rsid w:val="003006EC"/>
    <w:rsid w:val="003008A4"/>
    <w:rsid w:val="0030094C"/>
    <w:rsid w:val="00300DA0"/>
    <w:rsid w:val="00300DF0"/>
    <w:rsid w:val="0030121C"/>
    <w:rsid w:val="003016D9"/>
    <w:rsid w:val="00301F9F"/>
    <w:rsid w:val="00302143"/>
    <w:rsid w:val="00302651"/>
    <w:rsid w:val="003032F7"/>
    <w:rsid w:val="003039DD"/>
    <w:rsid w:val="00303A56"/>
    <w:rsid w:val="0030409D"/>
    <w:rsid w:val="003041A0"/>
    <w:rsid w:val="003041D0"/>
    <w:rsid w:val="00304325"/>
    <w:rsid w:val="00304828"/>
    <w:rsid w:val="00304D13"/>
    <w:rsid w:val="0030522B"/>
    <w:rsid w:val="0030544A"/>
    <w:rsid w:val="00305720"/>
    <w:rsid w:val="00305815"/>
    <w:rsid w:val="0030599B"/>
    <w:rsid w:val="00305ED3"/>
    <w:rsid w:val="0030705E"/>
    <w:rsid w:val="003073C3"/>
    <w:rsid w:val="003100F7"/>
    <w:rsid w:val="003105AE"/>
    <w:rsid w:val="00310999"/>
    <w:rsid w:val="00311127"/>
    <w:rsid w:val="00312179"/>
    <w:rsid w:val="003122E8"/>
    <w:rsid w:val="0031280D"/>
    <w:rsid w:val="0031297B"/>
    <w:rsid w:val="00312D34"/>
    <w:rsid w:val="00313737"/>
    <w:rsid w:val="00313745"/>
    <w:rsid w:val="00313851"/>
    <w:rsid w:val="00313A4F"/>
    <w:rsid w:val="003140D1"/>
    <w:rsid w:val="0031425E"/>
    <w:rsid w:val="003142FC"/>
    <w:rsid w:val="00314331"/>
    <w:rsid w:val="003149AF"/>
    <w:rsid w:val="00315860"/>
    <w:rsid w:val="003159D3"/>
    <w:rsid w:val="00317AF1"/>
    <w:rsid w:val="00317B4A"/>
    <w:rsid w:val="00317C43"/>
    <w:rsid w:val="0032067F"/>
    <w:rsid w:val="00320B21"/>
    <w:rsid w:val="0032116E"/>
    <w:rsid w:val="003212E1"/>
    <w:rsid w:val="003222A7"/>
    <w:rsid w:val="003222C9"/>
    <w:rsid w:val="00322617"/>
    <w:rsid w:val="00322783"/>
    <w:rsid w:val="003228CD"/>
    <w:rsid w:val="00322B3E"/>
    <w:rsid w:val="00323116"/>
    <w:rsid w:val="003231F8"/>
    <w:rsid w:val="0032335C"/>
    <w:rsid w:val="0032364C"/>
    <w:rsid w:val="00323C95"/>
    <w:rsid w:val="0032425E"/>
    <w:rsid w:val="0032438F"/>
    <w:rsid w:val="00324725"/>
    <w:rsid w:val="003248C9"/>
    <w:rsid w:val="00324CAD"/>
    <w:rsid w:val="00324CBD"/>
    <w:rsid w:val="00324F42"/>
    <w:rsid w:val="0032502F"/>
    <w:rsid w:val="003254F7"/>
    <w:rsid w:val="003259DE"/>
    <w:rsid w:val="00325BEE"/>
    <w:rsid w:val="00325C1A"/>
    <w:rsid w:val="00325C82"/>
    <w:rsid w:val="00325DA2"/>
    <w:rsid w:val="00326507"/>
    <w:rsid w:val="00326823"/>
    <w:rsid w:val="00326D48"/>
    <w:rsid w:val="00326D72"/>
    <w:rsid w:val="003272DF"/>
    <w:rsid w:val="0032786C"/>
    <w:rsid w:val="00327E64"/>
    <w:rsid w:val="003302E8"/>
    <w:rsid w:val="00330519"/>
    <w:rsid w:val="003305C2"/>
    <w:rsid w:val="00330AD8"/>
    <w:rsid w:val="00331439"/>
    <w:rsid w:val="003321F1"/>
    <w:rsid w:val="00332291"/>
    <w:rsid w:val="00332330"/>
    <w:rsid w:val="00332525"/>
    <w:rsid w:val="0033273A"/>
    <w:rsid w:val="00333269"/>
    <w:rsid w:val="00333AE0"/>
    <w:rsid w:val="00334D49"/>
    <w:rsid w:val="003355D1"/>
    <w:rsid w:val="0033590B"/>
    <w:rsid w:val="00335C2D"/>
    <w:rsid w:val="00335DF4"/>
    <w:rsid w:val="003374B7"/>
    <w:rsid w:val="00337C19"/>
    <w:rsid w:val="003403EE"/>
    <w:rsid w:val="003405C1"/>
    <w:rsid w:val="00340843"/>
    <w:rsid w:val="00340A2D"/>
    <w:rsid w:val="00340B7E"/>
    <w:rsid w:val="00340C5F"/>
    <w:rsid w:val="003412DB"/>
    <w:rsid w:val="00341709"/>
    <w:rsid w:val="00341B2F"/>
    <w:rsid w:val="00341C98"/>
    <w:rsid w:val="0034222A"/>
    <w:rsid w:val="00342278"/>
    <w:rsid w:val="003435B9"/>
    <w:rsid w:val="00343CB9"/>
    <w:rsid w:val="003440B9"/>
    <w:rsid w:val="00345148"/>
    <w:rsid w:val="0034532F"/>
    <w:rsid w:val="003454D1"/>
    <w:rsid w:val="0034551B"/>
    <w:rsid w:val="00346028"/>
    <w:rsid w:val="00346042"/>
    <w:rsid w:val="003464FD"/>
    <w:rsid w:val="003465B7"/>
    <w:rsid w:val="00346874"/>
    <w:rsid w:val="00350C7E"/>
    <w:rsid w:val="00350E55"/>
    <w:rsid w:val="00350E71"/>
    <w:rsid w:val="003511EB"/>
    <w:rsid w:val="00351321"/>
    <w:rsid w:val="003518AA"/>
    <w:rsid w:val="00351998"/>
    <w:rsid w:val="00351A85"/>
    <w:rsid w:val="00351D1E"/>
    <w:rsid w:val="00351D49"/>
    <w:rsid w:val="00351DA5"/>
    <w:rsid w:val="00352207"/>
    <w:rsid w:val="003530F4"/>
    <w:rsid w:val="003533A9"/>
    <w:rsid w:val="003533BF"/>
    <w:rsid w:val="0035364C"/>
    <w:rsid w:val="00353F8E"/>
    <w:rsid w:val="00354366"/>
    <w:rsid w:val="00354442"/>
    <w:rsid w:val="003545D3"/>
    <w:rsid w:val="00354C59"/>
    <w:rsid w:val="0035699D"/>
    <w:rsid w:val="00357756"/>
    <w:rsid w:val="00357862"/>
    <w:rsid w:val="00357EDB"/>
    <w:rsid w:val="00360889"/>
    <w:rsid w:val="00360930"/>
    <w:rsid w:val="00360E3F"/>
    <w:rsid w:val="00360EB3"/>
    <w:rsid w:val="003614A0"/>
    <w:rsid w:val="00361528"/>
    <w:rsid w:val="00361D38"/>
    <w:rsid w:val="003620AB"/>
    <w:rsid w:val="00362278"/>
    <w:rsid w:val="00362574"/>
    <w:rsid w:val="003625CF"/>
    <w:rsid w:val="00362AE9"/>
    <w:rsid w:val="003631F8"/>
    <w:rsid w:val="003632CA"/>
    <w:rsid w:val="003636AF"/>
    <w:rsid w:val="00363DF9"/>
    <w:rsid w:val="00364530"/>
    <w:rsid w:val="00364AB0"/>
    <w:rsid w:val="00364AE5"/>
    <w:rsid w:val="00364B2C"/>
    <w:rsid w:val="00364D06"/>
    <w:rsid w:val="0036535A"/>
    <w:rsid w:val="003655AE"/>
    <w:rsid w:val="00365CC3"/>
    <w:rsid w:val="00366E9D"/>
    <w:rsid w:val="00366F65"/>
    <w:rsid w:val="00367535"/>
    <w:rsid w:val="00367672"/>
    <w:rsid w:val="0036790D"/>
    <w:rsid w:val="0036793A"/>
    <w:rsid w:val="00367C52"/>
    <w:rsid w:val="00367F09"/>
    <w:rsid w:val="00367F95"/>
    <w:rsid w:val="00370957"/>
    <w:rsid w:val="00370CEC"/>
    <w:rsid w:val="00370D26"/>
    <w:rsid w:val="00370FEE"/>
    <w:rsid w:val="00371215"/>
    <w:rsid w:val="0037122F"/>
    <w:rsid w:val="00371365"/>
    <w:rsid w:val="003716C1"/>
    <w:rsid w:val="003716D7"/>
    <w:rsid w:val="003723BD"/>
    <w:rsid w:val="00372649"/>
    <w:rsid w:val="003728F2"/>
    <w:rsid w:val="00372C78"/>
    <w:rsid w:val="00372D02"/>
    <w:rsid w:val="00372E49"/>
    <w:rsid w:val="00372FA1"/>
    <w:rsid w:val="003736BE"/>
    <w:rsid w:val="00373E6E"/>
    <w:rsid w:val="0037437B"/>
    <w:rsid w:val="00375333"/>
    <w:rsid w:val="003756B3"/>
    <w:rsid w:val="00375C47"/>
    <w:rsid w:val="00375EA9"/>
    <w:rsid w:val="00375FA3"/>
    <w:rsid w:val="003769B0"/>
    <w:rsid w:val="00377407"/>
    <w:rsid w:val="00377845"/>
    <w:rsid w:val="00377D7A"/>
    <w:rsid w:val="0038038E"/>
    <w:rsid w:val="00380559"/>
    <w:rsid w:val="003809D4"/>
    <w:rsid w:val="00380AF9"/>
    <w:rsid w:val="00381122"/>
    <w:rsid w:val="0038151E"/>
    <w:rsid w:val="003815DB"/>
    <w:rsid w:val="003816F1"/>
    <w:rsid w:val="00381702"/>
    <w:rsid w:val="003819BA"/>
    <w:rsid w:val="00381A22"/>
    <w:rsid w:val="00382457"/>
    <w:rsid w:val="00382D71"/>
    <w:rsid w:val="00383104"/>
    <w:rsid w:val="0038313B"/>
    <w:rsid w:val="00383EB0"/>
    <w:rsid w:val="00385430"/>
    <w:rsid w:val="003854B8"/>
    <w:rsid w:val="003857FF"/>
    <w:rsid w:val="00385810"/>
    <w:rsid w:val="0038598C"/>
    <w:rsid w:val="00385D4E"/>
    <w:rsid w:val="00385FE0"/>
    <w:rsid w:val="0038603D"/>
    <w:rsid w:val="003863D0"/>
    <w:rsid w:val="00386482"/>
    <w:rsid w:val="003869E2"/>
    <w:rsid w:val="00386C0A"/>
    <w:rsid w:val="0038728E"/>
    <w:rsid w:val="003873CE"/>
    <w:rsid w:val="00387522"/>
    <w:rsid w:val="003875E7"/>
    <w:rsid w:val="00387A77"/>
    <w:rsid w:val="00387DCB"/>
    <w:rsid w:val="003900BF"/>
    <w:rsid w:val="00390166"/>
    <w:rsid w:val="00390896"/>
    <w:rsid w:val="00390DA5"/>
    <w:rsid w:val="0039113A"/>
    <w:rsid w:val="00391224"/>
    <w:rsid w:val="003913D8"/>
    <w:rsid w:val="00391408"/>
    <w:rsid w:val="00391F52"/>
    <w:rsid w:val="003921B3"/>
    <w:rsid w:val="00392A71"/>
    <w:rsid w:val="00392B68"/>
    <w:rsid w:val="00392DAB"/>
    <w:rsid w:val="00392E08"/>
    <w:rsid w:val="0039324F"/>
    <w:rsid w:val="0039326E"/>
    <w:rsid w:val="003936DC"/>
    <w:rsid w:val="0039446F"/>
    <w:rsid w:val="003944AB"/>
    <w:rsid w:val="003950CA"/>
    <w:rsid w:val="0039541F"/>
    <w:rsid w:val="003958F9"/>
    <w:rsid w:val="0039609D"/>
    <w:rsid w:val="003963C1"/>
    <w:rsid w:val="003963CE"/>
    <w:rsid w:val="003967FD"/>
    <w:rsid w:val="003970C3"/>
    <w:rsid w:val="0039726C"/>
    <w:rsid w:val="00397303"/>
    <w:rsid w:val="0039781C"/>
    <w:rsid w:val="00397D9C"/>
    <w:rsid w:val="003A0216"/>
    <w:rsid w:val="003A021F"/>
    <w:rsid w:val="003A03C2"/>
    <w:rsid w:val="003A0425"/>
    <w:rsid w:val="003A0AD3"/>
    <w:rsid w:val="003A11DB"/>
    <w:rsid w:val="003A2161"/>
    <w:rsid w:val="003A2447"/>
    <w:rsid w:val="003A2590"/>
    <w:rsid w:val="003A3017"/>
    <w:rsid w:val="003A3140"/>
    <w:rsid w:val="003A31A1"/>
    <w:rsid w:val="003A33EE"/>
    <w:rsid w:val="003A372A"/>
    <w:rsid w:val="003A3743"/>
    <w:rsid w:val="003A37B4"/>
    <w:rsid w:val="003A418D"/>
    <w:rsid w:val="003A419A"/>
    <w:rsid w:val="003A45C2"/>
    <w:rsid w:val="003A47EC"/>
    <w:rsid w:val="003A5484"/>
    <w:rsid w:val="003A5501"/>
    <w:rsid w:val="003A580B"/>
    <w:rsid w:val="003A5BAE"/>
    <w:rsid w:val="003A5C19"/>
    <w:rsid w:val="003A5CD6"/>
    <w:rsid w:val="003A5F23"/>
    <w:rsid w:val="003A6B43"/>
    <w:rsid w:val="003A6D6D"/>
    <w:rsid w:val="003A6DE3"/>
    <w:rsid w:val="003A6F6D"/>
    <w:rsid w:val="003A7AFF"/>
    <w:rsid w:val="003B041D"/>
    <w:rsid w:val="003B0619"/>
    <w:rsid w:val="003B0A5B"/>
    <w:rsid w:val="003B123F"/>
    <w:rsid w:val="003B14DB"/>
    <w:rsid w:val="003B169C"/>
    <w:rsid w:val="003B2549"/>
    <w:rsid w:val="003B298F"/>
    <w:rsid w:val="003B2DDB"/>
    <w:rsid w:val="003B30FA"/>
    <w:rsid w:val="003B315B"/>
    <w:rsid w:val="003B336F"/>
    <w:rsid w:val="003B3383"/>
    <w:rsid w:val="003B38C9"/>
    <w:rsid w:val="003B3914"/>
    <w:rsid w:val="003B3A19"/>
    <w:rsid w:val="003B4196"/>
    <w:rsid w:val="003B51A8"/>
    <w:rsid w:val="003B565F"/>
    <w:rsid w:val="003B5D8F"/>
    <w:rsid w:val="003B624F"/>
    <w:rsid w:val="003B6250"/>
    <w:rsid w:val="003B6923"/>
    <w:rsid w:val="003B6A89"/>
    <w:rsid w:val="003B6B36"/>
    <w:rsid w:val="003B6F42"/>
    <w:rsid w:val="003B74E1"/>
    <w:rsid w:val="003B77A8"/>
    <w:rsid w:val="003B7975"/>
    <w:rsid w:val="003B7A3B"/>
    <w:rsid w:val="003B7B4F"/>
    <w:rsid w:val="003C07D4"/>
    <w:rsid w:val="003C0995"/>
    <w:rsid w:val="003C0C94"/>
    <w:rsid w:val="003C0D9E"/>
    <w:rsid w:val="003C0FF6"/>
    <w:rsid w:val="003C1088"/>
    <w:rsid w:val="003C119F"/>
    <w:rsid w:val="003C13E7"/>
    <w:rsid w:val="003C21DE"/>
    <w:rsid w:val="003C28C3"/>
    <w:rsid w:val="003C2D13"/>
    <w:rsid w:val="003C4045"/>
    <w:rsid w:val="003C41DF"/>
    <w:rsid w:val="003C4751"/>
    <w:rsid w:val="003C53CF"/>
    <w:rsid w:val="003C5DAD"/>
    <w:rsid w:val="003C5E10"/>
    <w:rsid w:val="003C6CB3"/>
    <w:rsid w:val="003C71DF"/>
    <w:rsid w:val="003C7E9D"/>
    <w:rsid w:val="003C7EAC"/>
    <w:rsid w:val="003D00DE"/>
    <w:rsid w:val="003D0D80"/>
    <w:rsid w:val="003D0E1F"/>
    <w:rsid w:val="003D0EA6"/>
    <w:rsid w:val="003D159F"/>
    <w:rsid w:val="003D192A"/>
    <w:rsid w:val="003D1E4D"/>
    <w:rsid w:val="003D1FDA"/>
    <w:rsid w:val="003D222F"/>
    <w:rsid w:val="003D231F"/>
    <w:rsid w:val="003D2617"/>
    <w:rsid w:val="003D2998"/>
    <w:rsid w:val="003D2B81"/>
    <w:rsid w:val="003D2F74"/>
    <w:rsid w:val="003D32C1"/>
    <w:rsid w:val="003D338E"/>
    <w:rsid w:val="003D377A"/>
    <w:rsid w:val="003D4C64"/>
    <w:rsid w:val="003D4D56"/>
    <w:rsid w:val="003D4D91"/>
    <w:rsid w:val="003D4EDD"/>
    <w:rsid w:val="003D55C1"/>
    <w:rsid w:val="003D57B9"/>
    <w:rsid w:val="003D5C79"/>
    <w:rsid w:val="003D5EBE"/>
    <w:rsid w:val="003D63E5"/>
    <w:rsid w:val="003D64F6"/>
    <w:rsid w:val="003D6693"/>
    <w:rsid w:val="003D6930"/>
    <w:rsid w:val="003D6EDF"/>
    <w:rsid w:val="003D6F63"/>
    <w:rsid w:val="003D70A8"/>
    <w:rsid w:val="003D70E1"/>
    <w:rsid w:val="003D719E"/>
    <w:rsid w:val="003D762D"/>
    <w:rsid w:val="003D7D43"/>
    <w:rsid w:val="003E0463"/>
    <w:rsid w:val="003E05B8"/>
    <w:rsid w:val="003E07B2"/>
    <w:rsid w:val="003E08FC"/>
    <w:rsid w:val="003E0B73"/>
    <w:rsid w:val="003E0CA1"/>
    <w:rsid w:val="003E12D8"/>
    <w:rsid w:val="003E2045"/>
    <w:rsid w:val="003E215A"/>
    <w:rsid w:val="003E2278"/>
    <w:rsid w:val="003E259A"/>
    <w:rsid w:val="003E25A0"/>
    <w:rsid w:val="003E2A47"/>
    <w:rsid w:val="003E2AC5"/>
    <w:rsid w:val="003E384A"/>
    <w:rsid w:val="003E3941"/>
    <w:rsid w:val="003E39A3"/>
    <w:rsid w:val="003E3B18"/>
    <w:rsid w:val="003E43F9"/>
    <w:rsid w:val="003E44C2"/>
    <w:rsid w:val="003E451E"/>
    <w:rsid w:val="003E4A66"/>
    <w:rsid w:val="003E57E1"/>
    <w:rsid w:val="003E6013"/>
    <w:rsid w:val="003E6434"/>
    <w:rsid w:val="003E6640"/>
    <w:rsid w:val="003E6F8A"/>
    <w:rsid w:val="003E7078"/>
    <w:rsid w:val="003E78A3"/>
    <w:rsid w:val="003F00A7"/>
    <w:rsid w:val="003F0588"/>
    <w:rsid w:val="003F0847"/>
    <w:rsid w:val="003F0990"/>
    <w:rsid w:val="003F0AA7"/>
    <w:rsid w:val="003F0D7A"/>
    <w:rsid w:val="003F1BFA"/>
    <w:rsid w:val="003F1C18"/>
    <w:rsid w:val="003F1CF1"/>
    <w:rsid w:val="003F22DA"/>
    <w:rsid w:val="003F22FC"/>
    <w:rsid w:val="003F24FF"/>
    <w:rsid w:val="003F28D2"/>
    <w:rsid w:val="003F342A"/>
    <w:rsid w:val="003F3744"/>
    <w:rsid w:val="003F41C4"/>
    <w:rsid w:val="003F48A5"/>
    <w:rsid w:val="003F48C6"/>
    <w:rsid w:val="003F4CE6"/>
    <w:rsid w:val="003F5334"/>
    <w:rsid w:val="003F5DC3"/>
    <w:rsid w:val="003F6ABC"/>
    <w:rsid w:val="003F7043"/>
    <w:rsid w:val="003F71BC"/>
    <w:rsid w:val="003F7318"/>
    <w:rsid w:val="003F7EA8"/>
    <w:rsid w:val="004002A1"/>
    <w:rsid w:val="0040097B"/>
    <w:rsid w:val="00400AD4"/>
    <w:rsid w:val="004013BE"/>
    <w:rsid w:val="004018C2"/>
    <w:rsid w:val="004025AE"/>
    <w:rsid w:val="00402A61"/>
    <w:rsid w:val="00402F21"/>
    <w:rsid w:val="00402FDC"/>
    <w:rsid w:val="00403F25"/>
    <w:rsid w:val="004047FF"/>
    <w:rsid w:val="00404911"/>
    <w:rsid w:val="00404D40"/>
    <w:rsid w:val="00404DBB"/>
    <w:rsid w:val="00405033"/>
    <w:rsid w:val="0040503E"/>
    <w:rsid w:val="004054CF"/>
    <w:rsid w:val="0040568C"/>
    <w:rsid w:val="00405739"/>
    <w:rsid w:val="004059C8"/>
    <w:rsid w:val="00405B9C"/>
    <w:rsid w:val="00405FFE"/>
    <w:rsid w:val="004069FB"/>
    <w:rsid w:val="0040702E"/>
    <w:rsid w:val="004076EB"/>
    <w:rsid w:val="004102FC"/>
    <w:rsid w:val="004103FE"/>
    <w:rsid w:val="0041070A"/>
    <w:rsid w:val="00410803"/>
    <w:rsid w:val="00410AB2"/>
    <w:rsid w:val="00410B65"/>
    <w:rsid w:val="004118F6"/>
    <w:rsid w:val="00411F93"/>
    <w:rsid w:val="00411FBE"/>
    <w:rsid w:val="004124C0"/>
    <w:rsid w:val="00412719"/>
    <w:rsid w:val="00412DBC"/>
    <w:rsid w:val="004131E3"/>
    <w:rsid w:val="0041328E"/>
    <w:rsid w:val="0041454F"/>
    <w:rsid w:val="004147E7"/>
    <w:rsid w:val="004149AF"/>
    <w:rsid w:val="00414B52"/>
    <w:rsid w:val="00414CCB"/>
    <w:rsid w:val="00414FBC"/>
    <w:rsid w:val="00415094"/>
    <w:rsid w:val="00415E0C"/>
    <w:rsid w:val="004164D0"/>
    <w:rsid w:val="004168F0"/>
    <w:rsid w:val="004169EF"/>
    <w:rsid w:val="00416BA7"/>
    <w:rsid w:val="004171A3"/>
    <w:rsid w:val="0041753E"/>
    <w:rsid w:val="00417770"/>
    <w:rsid w:val="00417F36"/>
    <w:rsid w:val="00420262"/>
    <w:rsid w:val="00420A0B"/>
    <w:rsid w:val="00420ABA"/>
    <w:rsid w:val="00420C1E"/>
    <w:rsid w:val="0042100E"/>
    <w:rsid w:val="00421944"/>
    <w:rsid w:val="00421F6E"/>
    <w:rsid w:val="00422AA6"/>
    <w:rsid w:val="00423046"/>
    <w:rsid w:val="00423540"/>
    <w:rsid w:val="0042357F"/>
    <w:rsid w:val="00423B42"/>
    <w:rsid w:val="00423C24"/>
    <w:rsid w:val="00424201"/>
    <w:rsid w:val="0042420E"/>
    <w:rsid w:val="004242BA"/>
    <w:rsid w:val="004246EB"/>
    <w:rsid w:val="0042476A"/>
    <w:rsid w:val="004249F3"/>
    <w:rsid w:val="00424C45"/>
    <w:rsid w:val="00424D44"/>
    <w:rsid w:val="0042569F"/>
    <w:rsid w:val="004257CB"/>
    <w:rsid w:val="0042586A"/>
    <w:rsid w:val="004258E5"/>
    <w:rsid w:val="00425976"/>
    <w:rsid w:val="00425C5F"/>
    <w:rsid w:val="00425FFC"/>
    <w:rsid w:val="0042617C"/>
    <w:rsid w:val="00426252"/>
    <w:rsid w:val="00426CC2"/>
    <w:rsid w:val="00427952"/>
    <w:rsid w:val="00427D53"/>
    <w:rsid w:val="004303D5"/>
    <w:rsid w:val="00430F1D"/>
    <w:rsid w:val="00431DE1"/>
    <w:rsid w:val="00431E16"/>
    <w:rsid w:val="00431E68"/>
    <w:rsid w:val="00431F4E"/>
    <w:rsid w:val="0043214F"/>
    <w:rsid w:val="004327D4"/>
    <w:rsid w:val="0043308A"/>
    <w:rsid w:val="00433313"/>
    <w:rsid w:val="004334CC"/>
    <w:rsid w:val="004342BC"/>
    <w:rsid w:val="0043445C"/>
    <w:rsid w:val="0043523C"/>
    <w:rsid w:val="004353B1"/>
    <w:rsid w:val="004353C9"/>
    <w:rsid w:val="00435EA3"/>
    <w:rsid w:val="0043680F"/>
    <w:rsid w:val="00436F26"/>
    <w:rsid w:val="00437002"/>
    <w:rsid w:val="004373DA"/>
    <w:rsid w:val="00437591"/>
    <w:rsid w:val="00437A92"/>
    <w:rsid w:val="00437B9E"/>
    <w:rsid w:val="00437BE2"/>
    <w:rsid w:val="00440160"/>
    <w:rsid w:val="004410F1"/>
    <w:rsid w:val="004415F4"/>
    <w:rsid w:val="00441688"/>
    <w:rsid w:val="00441719"/>
    <w:rsid w:val="00441D52"/>
    <w:rsid w:val="0044208F"/>
    <w:rsid w:val="004421BF"/>
    <w:rsid w:val="0044256A"/>
    <w:rsid w:val="00442979"/>
    <w:rsid w:val="00442A6F"/>
    <w:rsid w:val="00442C38"/>
    <w:rsid w:val="00443091"/>
    <w:rsid w:val="004430FC"/>
    <w:rsid w:val="00444001"/>
    <w:rsid w:val="0044430C"/>
    <w:rsid w:val="004444D1"/>
    <w:rsid w:val="00444BF3"/>
    <w:rsid w:val="00444CEE"/>
    <w:rsid w:val="004457C2"/>
    <w:rsid w:val="00445BFD"/>
    <w:rsid w:val="00445E1F"/>
    <w:rsid w:val="004460F1"/>
    <w:rsid w:val="00446BFA"/>
    <w:rsid w:val="00447203"/>
    <w:rsid w:val="00450044"/>
    <w:rsid w:val="0045060F"/>
    <w:rsid w:val="00450D30"/>
    <w:rsid w:val="00451DC8"/>
    <w:rsid w:val="00452359"/>
    <w:rsid w:val="00452741"/>
    <w:rsid w:val="00452AA4"/>
    <w:rsid w:val="00452B41"/>
    <w:rsid w:val="00452BCB"/>
    <w:rsid w:val="00453044"/>
    <w:rsid w:val="00453245"/>
    <w:rsid w:val="00453ACA"/>
    <w:rsid w:val="00453CE0"/>
    <w:rsid w:val="00453FD6"/>
    <w:rsid w:val="00454547"/>
    <w:rsid w:val="00455263"/>
    <w:rsid w:val="004554C6"/>
    <w:rsid w:val="004554C7"/>
    <w:rsid w:val="004556ED"/>
    <w:rsid w:val="00455762"/>
    <w:rsid w:val="00455B46"/>
    <w:rsid w:val="00455C54"/>
    <w:rsid w:val="00455D6F"/>
    <w:rsid w:val="00455E42"/>
    <w:rsid w:val="00456581"/>
    <w:rsid w:val="00456D0B"/>
    <w:rsid w:val="0045703D"/>
    <w:rsid w:val="0045718F"/>
    <w:rsid w:val="00457703"/>
    <w:rsid w:val="00457BBB"/>
    <w:rsid w:val="0046052E"/>
    <w:rsid w:val="00460CE6"/>
    <w:rsid w:val="00460DA3"/>
    <w:rsid w:val="004610AD"/>
    <w:rsid w:val="0046140C"/>
    <w:rsid w:val="00461998"/>
    <w:rsid w:val="00461C7F"/>
    <w:rsid w:val="0046210A"/>
    <w:rsid w:val="004621D9"/>
    <w:rsid w:val="00462B23"/>
    <w:rsid w:val="00462E13"/>
    <w:rsid w:val="0046313B"/>
    <w:rsid w:val="0046329C"/>
    <w:rsid w:val="0046331E"/>
    <w:rsid w:val="0046403E"/>
    <w:rsid w:val="0046427E"/>
    <w:rsid w:val="00464347"/>
    <w:rsid w:val="004644C9"/>
    <w:rsid w:val="004647C5"/>
    <w:rsid w:val="00464AA6"/>
    <w:rsid w:val="00464CE2"/>
    <w:rsid w:val="00465D39"/>
    <w:rsid w:val="00466570"/>
    <w:rsid w:val="00466753"/>
    <w:rsid w:val="00466ABA"/>
    <w:rsid w:val="004672E4"/>
    <w:rsid w:val="00467A22"/>
    <w:rsid w:val="004707AF"/>
    <w:rsid w:val="0047105C"/>
    <w:rsid w:val="00471651"/>
    <w:rsid w:val="00472118"/>
    <w:rsid w:val="00472EAB"/>
    <w:rsid w:val="0047332B"/>
    <w:rsid w:val="004738C5"/>
    <w:rsid w:val="004738CC"/>
    <w:rsid w:val="004739B0"/>
    <w:rsid w:val="00473F30"/>
    <w:rsid w:val="00474557"/>
    <w:rsid w:val="00474884"/>
    <w:rsid w:val="00474C1C"/>
    <w:rsid w:val="00474D7A"/>
    <w:rsid w:val="00475181"/>
    <w:rsid w:val="00475322"/>
    <w:rsid w:val="004759D7"/>
    <w:rsid w:val="00475A56"/>
    <w:rsid w:val="00476567"/>
    <w:rsid w:val="004769FF"/>
    <w:rsid w:val="0047731D"/>
    <w:rsid w:val="00477F85"/>
    <w:rsid w:val="004803AA"/>
    <w:rsid w:val="004808EB"/>
    <w:rsid w:val="00480DF4"/>
    <w:rsid w:val="0048100D"/>
    <w:rsid w:val="00481A3E"/>
    <w:rsid w:val="00482269"/>
    <w:rsid w:val="00482333"/>
    <w:rsid w:val="00482494"/>
    <w:rsid w:val="004826B3"/>
    <w:rsid w:val="00482D00"/>
    <w:rsid w:val="00483AC6"/>
    <w:rsid w:val="00484643"/>
    <w:rsid w:val="00484747"/>
    <w:rsid w:val="004848A8"/>
    <w:rsid w:val="00484C75"/>
    <w:rsid w:val="00484C9A"/>
    <w:rsid w:val="00484F70"/>
    <w:rsid w:val="00485F46"/>
    <w:rsid w:val="00486175"/>
    <w:rsid w:val="00486718"/>
    <w:rsid w:val="004867C0"/>
    <w:rsid w:val="00486830"/>
    <w:rsid w:val="004871D4"/>
    <w:rsid w:val="0048726B"/>
    <w:rsid w:val="00487504"/>
    <w:rsid w:val="00490CC7"/>
    <w:rsid w:val="00491D80"/>
    <w:rsid w:val="00492F9C"/>
    <w:rsid w:val="00493012"/>
    <w:rsid w:val="00493223"/>
    <w:rsid w:val="00493234"/>
    <w:rsid w:val="004934EE"/>
    <w:rsid w:val="004935DD"/>
    <w:rsid w:val="00493807"/>
    <w:rsid w:val="00493934"/>
    <w:rsid w:val="00493DA8"/>
    <w:rsid w:val="00494FF5"/>
    <w:rsid w:val="00495C74"/>
    <w:rsid w:val="00495C85"/>
    <w:rsid w:val="0049653A"/>
    <w:rsid w:val="00496D83"/>
    <w:rsid w:val="00496F5D"/>
    <w:rsid w:val="0049761C"/>
    <w:rsid w:val="004A0824"/>
    <w:rsid w:val="004A0C9E"/>
    <w:rsid w:val="004A1106"/>
    <w:rsid w:val="004A1C2F"/>
    <w:rsid w:val="004A20BC"/>
    <w:rsid w:val="004A2127"/>
    <w:rsid w:val="004A2381"/>
    <w:rsid w:val="004A2444"/>
    <w:rsid w:val="004A25F7"/>
    <w:rsid w:val="004A26A1"/>
    <w:rsid w:val="004A2E2B"/>
    <w:rsid w:val="004A2F27"/>
    <w:rsid w:val="004A395F"/>
    <w:rsid w:val="004A3E05"/>
    <w:rsid w:val="004A485A"/>
    <w:rsid w:val="004A496D"/>
    <w:rsid w:val="004A5911"/>
    <w:rsid w:val="004A5A84"/>
    <w:rsid w:val="004A5D20"/>
    <w:rsid w:val="004A5F2B"/>
    <w:rsid w:val="004A6812"/>
    <w:rsid w:val="004A6EAE"/>
    <w:rsid w:val="004A71D6"/>
    <w:rsid w:val="004A77EF"/>
    <w:rsid w:val="004A77F5"/>
    <w:rsid w:val="004B0474"/>
    <w:rsid w:val="004B08F7"/>
    <w:rsid w:val="004B1702"/>
    <w:rsid w:val="004B1799"/>
    <w:rsid w:val="004B1825"/>
    <w:rsid w:val="004B1BC4"/>
    <w:rsid w:val="004B2111"/>
    <w:rsid w:val="004B24AB"/>
    <w:rsid w:val="004B2C76"/>
    <w:rsid w:val="004B30FF"/>
    <w:rsid w:val="004B315B"/>
    <w:rsid w:val="004B3283"/>
    <w:rsid w:val="004B36A7"/>
    <w:rsid w:val="004B3A7A"/>
    <w:rsid w:val="004B3A87"/>
    <w:rsid w:val="004B3B39"/>
    <w:rsid w:val="004B3EC3"/>
    <w:rsid w:val="004B41EB"/>
    <w:rsid w:val="004B45D9"/>
    <w:rsid w:val="004B4919"/>
    <w:rsid w:val="004B4E7F"/>
    <w:rsid w:val="004B4F86"/>
    <w:rsid w:val="004B51BF"/>
    <w:rsid w:val="004B5A09"/>
    <w:rsid w:val="004B5D15"/>
    <w:rsid w:val="004B5E4A"/>
    <w:rsid w:val="004B5EFD"/>
    <w:rsid w:val="004B673E"/>
    <w:rsid w:val="004B7463"/>
    <w:rsid w:val="004B7541"/>
    <w:rsid w:val="004B759E"/>
    <w:rsid w:val="004B7B4D"/>
    <w:rsid w:val="004B7C54"/>
    <w:rsid w:val="004C011D"/>
    <w:rsid w:val="004C01F8"/>
    <w:rsid w:val="004C1336"/>
    <w:rsid w:val="004C142A"/>
    <w:rsid w:val="004C14DE"/>
    <w:rsid w:val="004C1692"/>
    <w:rsid w:val="004C1AAB"/>
    <w:rsid w:val="004C1CFC"/>
    <w:rsid w:val="004C20ED"/>
    <w:rsid w:val="004C21D2"/>
    <w:rsid w:val="004C25A7"/>
    <w:rsid w:val="004C30F5"/>
    <w:rsid w:val="004C3185"/>
    <w:rsid w:val="004C3633"/>
    <w:rsid w:val="004C3B04"/>
    <w:rsid w:val="004C3DFE"/>
    <w:rsid w:val="004C48FB"/>
    <w:rsid w:val="004C544A"/>
    <w:rsid w:val="004C5D9B"/>
    <w:rsid w:val="004C5D9D"/>
    <w:rsid w:val="004C6210"/>
    <w:rsid w:val="004C6BCF"/>
    <w:rsid w:val="004C7C2D"/>
    <w:rsid w:val="004C7CFE"/>
    <w:rsid w:val="004D0448"/>
    <w:rsid w:val="004D060D"/>
    <w:rsid w:val="004D0F12"/>
    <w:rsid w:val="004D113D"/>
    <w:rsid w:val="004D13BB"/>
    <w:rsid w:val="004D22E6"/>
    <w:rsid w:val="004D241F"/>
    <w:rsid w:val="004D2698"/>
    <w:rsid w:val="004D281B"/>
    <w:rsid w:val="004D307E"/>
    <w:rsid w:val="004D321D"/>
    <w:rsid w:val="004D33CF"/>
    <w:rsid w:val="004D35A8"/>
    <w:rsid w:val="004D366F"/>
    <w:rsid w:val="004D3714"/>
    <w:rsid w:val="004D393B"/>
    <w:rsid w:val="004D3ACA"/>
    <w:rsid w:val="004D3B39"/>
    <w:rsid w:val="004D3B86"/>
    <w:rsid w:val="004D4743"/>
    <w:rsid w:val="004D4744"/>
    <w:rsid w:val="004D47D1"/>
    <w:rsid w:val="004D4C41"/>
    <w:rsid w:val="004D4ED1"/>
    <w:rsid w:val="004D6D71"/>
    <w:rsid w:val="004D73D3"/>
    <w:rsid w:val="004D7A67"/>
    <w:rsid w:val="004E0039"/>
    <w:rsid w:val="004E0092"/>
    <w:rsid w:val="004E0588"/>
    <w:rsid w:val="004E0880"/>
    <w:rsid w:val="004E0B44"/>
    <w:rsid w:val="004E0CED"/>
    <w:rsid w:val="004E1068"/>
    <w:rsid w:val="004E1493"/>
    <w:rsid w:val="004E17C5"/>
    <w:rsid w:val="004E1A98"/>
    <w:rsid w:val="004E23CA"/>
    <w:rsid w:val="004E2434"/>
    <w:rsid w:val="004E2825"/>
    <w:rsid w:val="004E2C16"/>
    <w:rsid w:val="004E3394"/>
    <w:rsid w:val="004E33D6"/>
    <w:rsid w:val="004E3444"/>
    <w:rsid w:val="004E3910"/>
    <w:rsid w:val="004E3986"/>
    <w:rsid w:val="004E429D"/>
    <w:rsid w:val="004E441F"/>
    <w:rsid w:val="004E45DC"/>
    <w:rsid w:val="004E4A32"/>
    <w:rsid w:val="004E511D"/>
    <w:rsid w:val="004E51DA"/>
    <w:rsid w:val="004E5F87"/>
    <w:rsid w:val="004E6035"/>
    <w:rsid w:val="004E6364"/>
    <w:rsid w:val="004E67A4"/>
    <w:rsid w:val="004E6AB5"/>
    <w:rsid w:val="004E6B1C"/>
    <w:rsid w:val="004E6E2B"/>
    <w:rsid w:val="004E7040"/>
    <w:rsid w:val="004E7301"/>
    <w:rsid w:val="004E7A27"/>
    <w:rsid w:val="004E7B7F"/>
    <w:rsid w:val="004F00A4"/>
    <w:rsid w:val="004F04F9"/>
    <w:rsid w:val="004F09C0"/>
    <w:rsid w:val="004F0D93"/>
    <w:rsid w:val="004F0E33"/>
    <w:rsid w:val="004F116E"/>
    <w:rsid w:val="004F15D8"/>
    <w:rsid w:val="004F22E1"/>
    <w:rsid w:val="004F3009"/>
    <w:rsid w:val="004F3047"/>
    <w:rsid w:val="004F3053"/>
    <w:rsid w:val="004F324E"/>
    <w:rsid w:val="004F3341"/>
    <w:rsid w:val="004F3394"/>
    <w:rsid w:val="004F3CF6"/>
    <w:rsid w:val="004F44ED"/>
    <w:rsid w:val="004F4C7A"/>
    <w:rsid w:val="004F5203"/>
    <w:rsid w:val="004F57E1"/>
    <w:rsid w:val="004F58DB"/>
    <w:rsid w:val="004F610B"/>
    <w:rsid w:val="004F61DB"/>
    <w:rsid w:val="004F6EED"/>
    <w:rsid w:val="004F7536"/>
    <w:rsid w:val="004F79FF"/>
    <w:rsid w:val="00500685"/>
    <w:rsid w:val="005006F8"/>
    <w:rsid w:val="00500E0E"/>
    <w:rsid w:val="00501DFC"/>
    <w:rsid w:val="00502303"/>
    <w:rsid w:val="0050279B"/>
    <w:rsid w:val="00502DE3"/>
    <w:rsid w:val="00503056"/>
    <w:rsid w:val="00503418"/>
    <w:rsid w:val="00503541"/>
    <w:rsid w:val="00503654"/>
    <w:rsid w:val="00503A52"/>
    <w:rsid w:val="00503C64"/>
    <w:rsid w:val="00503E33"/>
    <w:rsid w:val="00504449"/>
    <w:rsid w:val="0050450D"/>
    <w:rsid w:val="0050470E"/>
    <w:rsid w:val="00504833"/>
    <w:rsid w:val="0050498D"/>
    <w:rsid w:val="00504E80"/>
    <w:rsid w:val="0050510E"/>
    <w:rsid w:val="0050652B"/>
    <w:rsid w:val="00506545"/>
    <w:rsid w:val="0050712B"/>
    <w:rsid w:val="005076D6"/>
    <w:rsid w:val="00507B7C"/>
    <w:rsid w:val="00507EC7"/>
    <w:rsid w:val="005104EF"/>
    <w:rsid w:val="00510909"/>
    <w:rsid w:val="00510AD3"/>
    <w:rsid w:val="00510B1B"/>
    <w:rsid w:val="005110EF"/>
    <w:rsid w:val="00511278"/>
    <w:rsid w:val="00511403"/>
    <w:rsid w:val="00511B06"/>
    <w:rsid w:val="00511B91"/>
    <w:rsid w:val="00511D87"/>
    <w:rsid w:val="005124DA"/>
    <w:rsid w:val="00512BC2"/>
    <w:rsid w:val="00513709"/>
    <w:rsid w:val="0051426D"/>
    <w:rsid w:val="005148FF"/>
    <w:rsid w:val="00514B5E"/>
    <w:rsid w:val="00515861"/>
    <w:rsid w:val="00515E16"/>
    <w:rsid w:val="005161D4"/>
    <w:rsid w:val="00516330"/>
    <w:rsid w:val="00517186"/>
    <w:rsid w:val="00517C39"/>
    <w:rsid w:val="00517CE1"/>
    <w:rsid w:val="00517DF1"/>
    <w:rsid w:val="00517E4A"/>
    <w:rsid w:val="00520610"/>
    <w:rsid w:val="00520B1C"/>
    <w:rsid w:val="00520CC8"/>
    <w:rsid w:val="00520F40"/>
    <w:rsid w:val="0052128A"/>
    <w:rsid w:val="005213B8"/>
    <w:rsid w:val="0052169F"/>
    <w:rsid w:val="005216D6"/>
    <w:rsid w:val="00521BC1"/>
    <w:rsid w:val="00522248"/>
    <w:rsid w:val="00522893"/>
    <w:rsid w:val="00522EBA"/>
    <w:rsid w:val="005236BC"/>
    <w:rsid w:val="0052389A"/>
    <w:rsid w:val="00524376"/>
    <w:rsid w:val="0052459D"/>
    <w:rsid w:val="005245D8"/>
    <w:rsid w:val="0052505F"/>
    <w:rsid w:val="005251F0"/>
    <w:rsid w:val="005253A6"/>
    <w:rsid w:val="00525F99"/>
    <w:rsid w:val="005261A8"/>
    <w:rsid w:val="005262A4"/>
    <w:rsid w:val="005263F5"/>
    <w:rsid w:val="00526A54"/>
    <w:rsid w:val="00526D26"/>
    <w:rsid w:val="005273AC"/>
    <w:rsid w:val="00527440"/>
    <w:rsid w:val="00527BFB"/>
    <w:rsid w:val="005300B5"/>
    <w:rsid w:val="005302C2"/>
    <w:rsid w:val="0053057C"/>
    <w:rsid w:val="00530994"/>
    <w:rsid w:val="00530BE6"/>
    <w:rsid w:val="005314E1"/>
    <w:rsid w:val="00531A76"/>
    <w:rsid w:val="00531DE9"/>
    <w:rsid w:val="0053278B"/>
    <w:rsid w:val="005335E0"/>
    <w:rsid w:val="00533BF1"/>
    <w:rsid w:val="00533C9F"/>
    <w:rsid w:val="00533D10"/>
    <w:rsid w:val="00534C7E"/>
    <w:rsid w:val="005350F6"/>
    <w:rsid w:val="00535174"/>
    <w:rsid w:val="0053522B"/>
    <w:rsid w:val="0053560C"/>
    <w:rsid w:val="005358A8"/>
    <w:rsid w:val="00535ABA"/>
    <w:rsid w:val="005368DA"/>
    <w:rsid w:val="00536DB1"/>
    <w:rsid w:val="00536E68"/>
    <w:rsid w:val="00537077"/>
    <w:rsid w:val="00537600"/>
    <w:rsid w:val="00537898"/>
    <w:rsid w:val="005379D9"/>
    <w:rsid w:val="005379FB"/>
    <w:rsid w:val="00537A5E"/>
    <w:rsid w:val="00540816"/>
    <w:rsid w:val="00540EFD"/>
    <w:rsid w:val="00541334"/>
    <w:rsid w:val="005415C7"/>
    <w:rsid w:val="00541648"/>
    <w:rsid w:val="005417BD"/>
    <w:rsid w:val="00541B29"/>
    <w:rsid w:val="00541BF3"/>
    <w:rsid w:val="00541EB4"/>
    <w:rsid w:val="0054273F"/>
    <w:rsid w:val="00542A6D"/>
    <w:rsid w:val="00542F06"/>
    <w:rsid w:val="005434DE"/>
    <w:rsid w:val="005435CB"/>
    <w:rsid w:val="00543D74"/>
    <w:rsid w:val="00543DD3"/>
    <w:rsid w:val="005440B1"/>
    <w:rsid w:val="00544E23"/>
    <w:rsid w:val="00544F6E"/>
    <w:rsid w:val="005453C5"/>
    <w:rsid w:val="005459BA"/>
    <w:rsid w:val="00545C7F"/>
    <w:rsid w:val="005460E8"/>
    <w:rsid w:val="0054677A"/>
    <w:rsid w:val="00546990"/>
    <w:rsid w:val="00546BD8"/>
    <w:rsid w:val="005470D5"/>
    <w:rsid w:val="005470FE"/>
    <w:rsid w:val="00547127"/>
    <w:rsid w:val="005471F0"/>
    <w:rsid w:val="005472BE"/>
    <w:rsid w:val="005475D7"/>
    <w:rsid w:val="005477AC"/>
    <w:rsid w:val="0054784E"/>
    <w:rsid w:val="00547A84"/>
    <w:rsid w:val="00547BED"/>
    <w:rsid w:val="00547C45"/>
    <w:rsid w:val="00547C4F"/>
    <w:rsid w:val="0055016B"/>
    <w:rsid w:val="00550472"/>
    <w:rsid w:val="00550739"/>
    <w:rsid w:val="00550786"/>
    <w:rsid w:val="00550AA8"/>
    <w:rsid w:val="00550D5A"/>
    <w:rsid w:val="00550F19"/>
    <w:rsid w:val="00550FE6"/>
    <w:rsid w:val="00551321"/>
    <w:rsid w:val="0055146D"/>
    <w:rsid w:val="005515BE"/>
    <w:rsid w:val="005519C6"/>
    <w:rsid w:val="00551C65"/>
    <w:rsid w:val="00552572"/>
    <w:rsid w:val="0055285C"/>
    <w:rsid w:val="00552DCA"/>
    <w:rsid w:val="0055358B"/>
    <w:rsid w:val="00553E1C"/>
    <w:rsid w:val="005542EB"/>
    <w:rsid w:val="0055465D"/>
    <w:rsid w:val="00554CA4"/>
    <w:rsid w:val="005550C0"/>
    <w:rsid w:val="005557F1"/>
    <w:rsid w:val="00555B95"/>
    <w:rsid w:val="005561C4"/>
    <w:rsid w:val="00556300"/>
    <w:rsid w:val="005566ED"/>
    <w:rsid w:val="00556BCC"/>
    <w:rsid w:val="00556E65"/>
    <w:rsid w:val="00556E95"/>
    <w:rsid w:val="00557131"/>
    <w:rsid w:val="00557EC3"/>
    <w:rsid w:val="00557FE3"/>
    <w:rsid w:val="0056009B"/>
    <w:rsid w:val="0056050A"/>
    <w:rsid w:val="0056069F"/>
    <w:rsid w:val="00560EA2"/>
    <w:rsid w:val="00560F1C"/>
    <w:rsid w:val="00560F2A"/>
    <w:rsid w:val="00561149"/>
    <w:rsid w:val="005614C1"/>
    <w:rsid w:val="00561C69"/>
    <w:rsid w:val="00562F8D"/>
    <w:rsid w:val="00563234"/>
    <w:rsid w:val="00563346"/>
    <w:rsid w:val="00563E0A"/>
    <w:rsid w:val="00564118"/>
    <w:rsid w:val="0056477F"/>
    <w:rsid w:val="0056479F"/>
    <w:rsid w:val="00564CAA"/>
    <w:rsid w:val="0056519D"/>
    <w:rsid w:val="005659B5"/>
    <w:rsid w:val="00565AE0"/>
    <w:rsid w:val="00565AED"/>
    <w:rsid w:val="00565B08"/>
    <w:rsid w:val="00565D68"/>
    <w:rsid w:val="00566CD8"/>
    <w:rsid w:val="00567021"/>
    <w:rsid w:val="0056747A"/>
    <w:rsid w:val="00567579"/>
    <w:rsid w:val="00567A58"/>
    <w:rsid w:val="005702A5"/>
    <w:rsid w:val="00570558"/>
    <w:rsid w:val="00570638"/>
    <w:rsid w:val="00570A95"/>
    <w:rsid w:val="00570EC3"/>
    <w:rsid w:val="00571080"/>
    <w:rsid w:val="00572538"/>
    <w:rsid w:val="0057253E"/>
    <w:rsid w:val="00572858"/>
    <w:rsid w:val="005729F9"/>
    <w:rsid w:val="00572FE2"/>
    <w:rsid w:val="0057317B"/>
    <w:rsid w:val="005731FA"/>
    <w:rsid w:val="005734B3"/>
    <w:rsid w:val="00573AC8"/>
    <w:rsid w:val="005740F3"/>
    <w:rsid w:val="00574A80"/>
    <w:rsid w:val="00574C08"/>
    <w:rsid w:val="00575470"/>
    <w:rsid w:val="0057547A"/>
    <w:rsid w:val="005758F7"/>
    <w:rsid w:val="005767B1"/>
    <w:rsid w:val="00577163"/>
    <w:rsid w:val="005772FE"/>
    <w:rsid w:val="005773D0"/>
    <w:rsid w:val="005774C7"/>
    <w:rsid w:val="005776DC"/>
    <w:rsid w:val="005806FE"/>
    <w:rsid w:val="00580821"/>
    <w:rsid w:val="00580F0B"/>
    <w:rsid w:val="0058141D"/>
    <w:rsid w:val="00581631"/>
    <w:rsid w:val="00581D0B"/>
    <w:rsid w:val="00582B03"/>
    <w:rsid w:val="00582D98"/>
    <w:rsid w:val="00583083"/>
    <w:rsid w:val="005836BA"/>
    <w:rsid w:val="00583722"/>
    <w:rsid w:val="005843B7"/>
    <w:rsid w:val="00584605"/>
    <w:rsid w:val="005846EE"/>
    <w:rsid w:val="00584F63"/>
    <w:rsid w:val="00584F84"/>
    <w:rsid w:val="005851B0"/>
    <w:rsid w:val="005853EB"/>
    <w:rsid w:val="00585A70"/>
    <w:rsid w:val="00585DCA"/>
    <w:rsid w:val="005862EB"/>
    <w:rsid w:val="005864C4"/>
    <w:rsid w:val="0058787A"/>
    <w:rsid w:val="005901F3"/>
    <w:rsid w:val="0059048E"/>
    <w:rsid w:val="0059059C"/>
    <w:rsid w:val="0059081D"/>
    <w:rsid w:val="005909EA"/>
    <w:rsid w:val="00590E15"/>
    <w:rsid w:val="00591322"/>
    <w:rsid w:val="0059192F"/>
    <w:rsid w:val="00591BF8"/>
    <w:rsid w:val="005927B2"/>
    <w:rsid w:val="00592C46"/>
    <w:rsid w:val="00593227"/>
    <w:rsid w:val="0059328E"/>
    <w:rsid w:val="00593C48"/>
    <w:rsid w:val="0059429B"/>
    <w:rsid w:val="005951ED"/>
    <w:rsid w:val="00595241"/>
    <w:rsid w:val="0059564C"/>
    <w:rsid w:val="00595777"/>
    <w:rsid w:val="005966EF"/>
    <w:rsid w:val="005968FD"/>
    <w:rsid w:val="00596EB2"/>
    <w:rsid w:val="005978A1"/>
    <w:rsid w:val="00597F1E"/>
    <w:rsid w:val="005A04DD"/>
    <w:rsid w:val="005A122B"/>
    <w:rsid w:val="005A130B"/>
    <w:rsid w:val="005A1879"/>
    <w:rsid w:val="005A18FB"/>
    <w:rsid w:val="005A19A8"/>
    <w:rsid w:val="005A1E77"/>
    <w:rsid w:val="005A2307"/>
    <w:rsid w:val="005A29C0"/>
    <w:rsid w:val="005A3057"/>
    <w:rsid w:val="005A3093"/>
    <w:rsid w:val="005A3311"/>
    <w:rsid w:val="005A33FD"/>
    <w:rsid w:val="005A3623"/>
    <w:rsid w:val="005A37D8"/>
    <w:rsid w:val="005A3D02"/>
    <w:rsid w:val="005A3EB2"/>
    <w:rsid w:val="005A3EB9"/>
    <w:rsid w:val="005A49E7"/>
    <w:rsid w:val="005A49F8"/>
    <w:rsid w:val="005A4AFD"/>
    <w:rsid w:val="005A4C36"/>
    <w:rsid w:val="005A4D6A"/>
    <w:rsid w:val="005A4EFB"/>
    <w:rsid w:val="005A50F4"/>
    <w:rsid w:val="005A526E"/>
    <w:rsid w:val="005A549E"/>
    <w:rsid w:val="005A55DF"/>
    <w:rsid w:val="005A5803"/>
    <w:rsid w:val="005A5BE6"/>
    <w:rsid w:val="005A5F2E"/>
    <w:rsid w:val="005A62D1"/>
    <w:rsid w:val="005A6591"/>
    <w:rsid w:val="005A68D4"/>
    <w:rsid w:val="005A68F9"/>
    <w:rsid w:val="005A7585"/>
    <w:rsid w:val="005A797C"/>
    <w:rsid w:val="005A7980"/>
    <w:rsid w:val="005B01DB"/>
    <w:rsid w:val="005B02F5"/>
    <w:rsid w:val="005B0E76"/>
    <w:rsid w:val="005B120C"/>
    <w:rsid w:val="005B12B4"/>
    <w:rsid w:val="005B1D01"/>
    <w:rsid w:val="005B1D72"/>
    <w:rsid w:val="005B1F1D"/>
    <w:rsid w:val="005B2032"/>
    <w:rsid w:val="005B2CC6"/>
    <w:rsid w:val="005B3263"/>
    <w:rsid w:val="005B41F8"/>
    <w:rsid w:val="005B436D"/>
    <w:rsid w:val="005B456A"/>
    <w:rsid w:val="005B495F"/>
    <w:rsid w:val="005B4EDE"/>
    <w:rsid w:val="005B54B4"/>
    <w:rsid w:val="005B5F19"/>
    <w:rsid w:val="005B61E1"/>
    <w:rsid w:val="005B630B"/>
    <w:rsid w:val="005B6794"/>
    <w:rsid w:val="005B72FF"/>
    <w:rsid w:val="005B7540"/>
    <w:rsid w:val="005B761E"/>
    <w:rsid w:val="005B775F"/>
    <w:rsid w:val="005B7B28"/>
    <w:rsid w:val="005C0533"/>
    <w:rsid w:val="005C0723"/>
    <w:rsid w:val="005C1086"/>
    <w:rsid w:val="005C138E"/>
    <w:rsid w:val="005C23C1"/>
    <w:rsid w:val="005C2559"/>
    <w:rsid w:val="005C27C8"/>
    <w:rsid w:val="005C2CF4"/>
    <w:rsid w:val="005C2DD5"/>
    <w:rsid w:val="005C2F04"/>
    <w:rsid w:val="005C3674"/>
    <w:rsid w:val="005C38EE"/>
    <w:rsid w:val="005C40C2"/>
    <w:rsid w:val="005C421F"/>
    <w:rsid w:val="005C484B"/>
    <w:rsid w:val="005C49D6"/>
    <w:rsid w:val="005C4ADE"/>
    <w:rsid w:val="005C4CA5"/>
    <w:rsid w:val="005C50F2"/>
    <w:rsid w:val="005C5444"/>
    <w:rsid w:val="005C5518"/>
    <w:rsid w:val="005C5B2B"/>
    <w:rsid w:val="005C5EFB"/>
    <w:rsid w:val="005C65FA"/>
    <w:rsid w:val="005C6CD0"/>
    <w:rsid w:val="005C6D17"/>
    <w:rsid w:val="005C6FBD"/>
    <w:rsid w:val="005C71CE"/>
    <w:rsid w:val="005C7F26"/>
    <w:rsid w:val="005D0059"/>
    <w:rsid w:val="005D09E8"/>
    <w:rsid w:val="005D0D22"/>
    <w:rsid w:val="005D1FFA"/>
    <w:rsid w:val="005D2765"/>
    <w:rsid w:val="005D2BBF"/>
    <w:rsid w:val="005D32DA"/>
    <w:rsid w:val="005D33FF"/>
    <w:rsid w:val="005D363D"/>
    <w:rsid w:val="005D38B5"/>
    <w:rsid w:val="005D4106"/>
    <w:rsid w:val="005D443F"/>
    <w:rsid w:val="005D457B"/>
    <w:rsid w:val="005D4DD3"/>
    <w:rsid w:val="005D5025"/>
    <w:rsid w:val="005D5359"/>
    <w:rsid w:val="005D56E6"/>
    <w:rsid w:val="005D63F5"/>
    <w:rsid w:val="005D64A8"/>
    <w:rsid w:val="005D6D84"/>
    <w:rsid w:val="005D6E1B"/>
    <w:rsid w:val="005D7344"/>
    <w:rsid w:val="005E02DE"/>
    <w:rsid w:val="005E0C9E"/>
    <w:rsid w:val="005E1253"/>
    <w:rsid w:val="005E1485"/>
    <w:rsid w:val="005E188A"/>
    <w:rsid w:val="005E27AE"/>
    <w:rsid w:val="005E2908"/>
    <w:rsid w:val="005E2C34"/>
    <w:rsid w:val="005E2D78"/>
    <w:rsid w:val="005E33EE"/>
    <w:rsid w:val="005E47C5"/>
    <w:rsid w:val="005E4AF3"/>
    <w:rsid w:val="005E4CD4"/>
    <w:rsid w:val="005E4D95"/>
    <w:rsid w:val="005E4ED7"/>
    <w:rsid w:val="005E50FD"/>
    <w:rsid w:val="005E5629"/>
    <w:rsid w:val="005E57CA"/>
    <w:rsid w:val="005E5AE4"/>
    <w:rsid w:val="005E5DFF"/>
    <w:rsid w:val="005E5E96"/>
    <w:rsid w:val="005E6318"/>
    <w:rsid w:val="005E6EBC"/>
    <w:rsid w:val="005E760E"/>
    <w:rsid w:val="005E7BB0"/>
    <w:rsid w:val="005E7F29"/>
    <w:rsid w:val="005F0698"/>
    <w:rsid w:val="005F09FC"/>
    <w:rsid w:val="005F09FF"/>
    <w:rsid w:val="005F0B57"/>
    <w:rsid w:val="005F0BC5"/>
    <w:rsid w:val="005F0C27"/>
    <w:rsid w:val="005F14AF"/>
    <w:rsid w:val="005F15E2"/>
    <w:rsid w:val="005F16EC"/>
    <w:rsid w:val="005F184A"/>
    <w:rsid w:val="005F1F04"/>
    <w:rsid w:val="005F233A"/>
    <w:rsid w:val="005F25BC"/>
    <w:rsid w:val="005F285A"/>
    <w:rsid w:val="005F28AC"/>
    <w:rsid w:val="005F2A19"/>
    <w:rsid w:val="005F3570"/>
    <w:rsid w:val="005F3A5E"/>
    <w:rsid w:val="005F3C3B"/>
    <w:rsid w:val="005F3C3D"/>
    <w:rsid w:val="005F3F28"/>
    <w:rsid w:val="005F493B"/>
    <w:rsid w:val="005F50AE"/>
    <w:rsid w:val="005F514E"/>
    <w:rsid w:val="005F5818"/>
    <w:rsid w:val="005F597C"/>
    <w:rsid w:val="005F5B05"/>
    <w:rsid w:val="005F5D6B"/>
    <w:rsid w:val="005F5FAC"/>
    <w:rsid w:val="0060002F"/>
    <w:rsid w:val="0060065C"/>
    <w:rsid w:val="006015F6"/>
    <w:rsid w:val="00601D53"/>
    <w:rsid w:val="00602098"/>
    <w:rsid w:val="006023FB"/>
    <w:rsid w:val="0060352D"/>
    <w:rsid w:val="00603825"/>
    <w:rsid w:val="006039D8"/>
    <w:rsid w:val="006039F0"/>
    <w:rsid w:val="00603F4D"/>
    <w:rsid w:val="00604293"/>
    <w:rsid w:val="006043D0"/>
    <w:rsid w:val="00604F3A"/>
    <w:rsid w:val="006052A4"/>
    <w:rsid w:val="00605559"/>
    <w:rsid w:val="0060555F"/>
    <w:rsid w:val="00605DDB"/>
    <w:rsid w:val="00605FA3"/>
    <w:rsid w:val="006060BB"/>
    <w:rsid w:val="00606741"/>
    <w:rsid w:val="00606F56"/>
    <w:rsid w:val="00607258"/>
    <w:rsid w:val="006078CA"/>
    <w:rsid w:val="00610178"/>
    <w:rsid w:val="006102B3"/>
    <w:rsid w:val="00610379"/>
    <w:rsid w:val="006105F6"/>
    <w:rsid w:val="006106D8"/>
    <w:rsid w:val="006107B6"/>
    <w:rsid w:val="006109E4"/>
    <w:rsid w:val="006115FC"/>
    <w:rsid w:val="00611636"/>
    <w:rsid w:val="00611A1F"/>
    <w:rsid w:val="00611CDF"/>
    <w:rsid w:val="0061238A"/>
    <w:rsid w:val="006127EC"/>
    <w:rsid w:val="006128A9"/>
    <w:rsid w:val="006129EE"/>
    <w:rsid w:val="00612FBD"/>
    <w:rsid w:val="00612FF4"/>
    <w:rsid w:val="00613221"/>
    <w:rsid w:val="006134CB"/>
    <w:rsid w:val="00613AC4"/>
    <w:rsid w:val="00613E28"/>
    <w:rsid w:val="00613ECF"/>
    <w:rsid w:val="00614267"/>
    <w:rsid w:val="006142E1"/>
    <w:rsid w:val="0061431C"/>
    <w:rsid w:val="00614341"/>
    <w:rsid w:val="00614358"/>
    <w:rsid w:val="00614449"/>
    <w:rsid w:val="00614619"/>
    <w:rsid w:val="00614CA0"/>
    <w:rsid w:val="006152DC"/>
    <w:rsid w:val="006159DF"/>
    <w:rsid w:val="00615AEF"/>
    <w:rsid w:val="00615B91"/>
    <w:rsid w:val="00615DB5"/>
    <w:rsid w:val="00615E42"/>
    <w:rsid w:val="00615F8F"/>
    <w:rsid w:val="0061603D"/>
    <w:rsid w:val="006160EF"/>
    <w:rsid w:val="006162E9"/>
    <w:rsid w:val="006166F3"/>
    <w:rsid w:val="00616905"/>
    <w:rsid w:val="00616DB8"/>
    <w:rsid w:val="00616F29"/>
    <w:rsid w:val="00620DE8"/>
    <w:rsid w:val="00620F87"/>
    <w:rsid w:val="00620FD4"/>
    <w:rsid w:val="00621E7F"/>
    <w:rsid w:val="0062287E"/>
    <w:rsid w:val="00622DF5"/>
    <w:rsid w:val="00623494"/>
    <w:rsid w:val="00623C1A"/>
    <w:rsid w:val="00623CB5"/>
    <w:rsid w:val="00623F80"/>
    <w:rsid w:val="0062401F"/>
    <w:rsid w:val="006244D0"/>
    <w:rsid w:val="006246EC"/>
    <w:rsid w:val="006247CF"/>
    <w:rsid w:val="00624972"/>
    <w:rsid w:val="00624B1A"/>
    <w:rsid w:val="00624B8D"/>
    <w:rsid w:val="00624F3B"/>
    <w:rsid w:val="006251DA"/>
    <w:rsid w:val="006251FD"/>
    <w:rsid w:val="0062585E"/>
    <w:rsid w:val="00625F65"/>
    <w:rsid w:val="00626844"/>
    <w:rsid w:val="00626878"/>
    <w:rsid w:val="00626C46"/>
    <w:rsid w:val="00627B8A"/>
    <w:rsid w:val="00627E8A"/>
    <w:rsid w:val="00630E76"/>
    <w:rsid w:val="00631310"/>
    <w:rsid w:val="006314EB"/>
    <w:rsid w:val="00631579"/>
    <w:rsid w:val="00631675"/>
    <w:rsid w:val="006319A6"/>
    <w:rsid w:val="00631A76"/>
    <w:rsid w:val="0063232E"/>
    <w:rsid w:val="00632594"/>
    <w:rsid w:val="00632CEF"/>
    <w:rsid w:val="00632E73"/>
    <w:rsid w:val="00632E80"/>
    <w:rsid w:val="00633262"/>
    <w:rsid w:val="00633298"/>
    <w:rsid w:val="006334B6"/>
    <w:rsid w:val="00633C6D"/>
    <w:rsid w:val="00633CA4"/>
    <w:rsid w:val="00633D6B"/>
    <w:rsid w:val="00633D72"/>
    <w:rsid w:val="00633DA1"/>
    <w:rsid w:val="00633EE8"/>
    <w:rsid w:val="00634CA5"/>
    <w:rsid w:val="00634F96"/>
    <w:rsid w:val="00635104"/>
    <w:rsid w:val="00635F40"/>
    <w:rsid w:val="006360F7"/>
    <w:rsid w:val="0063648A"/>
    <w:rsid w:val="00637015"/>
    <w:rsid w:val="00637A28"/>
    <w:rsid w:val="00640EFF"/>
    <w:rsid w:val="00640F45"/>
    <w:rsid w:val="00641149"/>
    <w:rsid w:val="00641247"/>
    <w:rsid w:val="006414F9"/>
    <w:rsid w:val="00641A08"/>
    <w:rsid w:val="00641FBA"/>
    <w:rsid w:val="006424BC"/>
    <w:rsid w:val="006428B9"/>
    <w:rsid w:val="00642997"/>
    <w:rsid w:val="00642BE9"/>
    <w:rsid w:val="006443AD"/>
    <w:rsid w:val="006446D5"/>
    <w:rsid w:val="00644C5A"/>
    <w:rsid w:val="00644CE8"/>
    <w:rsid w:val="006452F2"/>
    <w:rsid w:val="0064580A"/>
    <w:rsid w:val="0064582F"/>
    <w:rsid w:val="006459A4"/>
    <w:rsid w:val="00645D51"/>
    <w:rsid w:val="00645D74"/>
    <w:rsid w:val="006466C5"/>
    <w:rsid w:val="0064674C"/>
    <w:rsid w:val="00646D28"/>
    <w:rsid w:val="00646E11"/>
    <w:rsid w:val="0064715C"/>
    <w:rsid w:val="0064737C"/>
    <w:rsid w:val="006474D5"/>
    <w:rsid w:val="00647653"/>
    <w:rsid w:val="00650195"/>
    <w:rsid w:val="006501B4"/>
    <w:rsid w:val="0065063E"/>
    <w:rsid w:val="00650683"/>
    <w:rsid w:val="00650977"/>
    <w:rsid w:val="00650CD9"/>
    <w:rsid w:val="0065104B"/>
    <w:rsid w:val="00651351"/>
    <w:rsid w:val="0065248E"/>
    <w:rsid w:val="00652AB2"/>
    <w:rsid w:val="00652B29"/>
    <w:rsid w:val="00653132"/>
    <w:rsid w:val="006535DD"/>
    <w:rsid w:val="00653AF0"/>
    <w:rsid w:val="006545C4"/>
    <w:rsid w:val="006547F8"/>
    <w:rsid w:val="00654C09"/>
    <w:rsid w:val="006550D4"/>
    <w:rsid w:val="00655218"/>
    <w:rsid w:val="0065578C"/>
    <w:rsid w:val="00655EDD"/>
    <w:rsid w:val="0065601A"/>
    <w:rsid w:val="0065613B"/>
    <w:rsid w:val="006564A0"/>
    <w:rsid w:val="006568F1"/>
    <w:rsid w:val="00656FF7"/>
    <w:rsid w:val="0066050D"/>
    <w:rsid w:val="00660722"/>
    <w:rsid w:val="00660869"/>
    <w:rsid w:val="00660C98"/>
    <w:rsid w:val="00660D75"/>
    <w:rsid w:val="00660DF3"/>
    <w:rsid w:val="00660FD9"/>
    <w:rsid w:val="0066147B"/>
    <w:rsid w:val="006615A2"/>
    <w:rsid w:val="00661BF0"/>
    <w:rsid w:val="00661E17"/>
    <w:rsid w:val="0066281F"/>
    <w:rsid w:val="00662982"/>
    <w:rsid w:val="006629E1"/>
    <w:rsid w:val="006631F7"/>
    <w:rsid w:val="006634AA"/>
    <w:rsid w:val="00663F6A"/>
    <w:rsid w:val="00664083"/>
    <w:rsid w:val="0066454A"/>
    <w:rsid w:val="00664B0D"/>
    <w:rsid w:val="00664B51"/>
    <w:rsid w:val="00664C02"/>
    <w:rsid w:val="006656B3"/>
    <w:rsid w:val="006657CD"/>
    <w:rsid w:val="00665F52"/>
    <w:rsid w:val="0066602E"/>
    <w:rsid w:val="0066643B"/>
    <w:rsid w:val="00666B0C"/>
    <w:rsid w:val="00666BA3"/>
    <w:rsid w:val="0066758E"/>
    <w:rsid w:val="00670133"/>
    <w:rsid w:val="00670244"/>
    <w:rsid w:val="0067046F"/>
    <w:rsid w:val="006704B7"/>
    <w:rsid w:val="00670C1E"/>
    <w:rsid w:val="00670DF5"/>
    <w:rsid w:val="006712AB"/>
    <w:rsid w:val="00671866"/>
    <w:rsid w:val="00671FBB"/>
    <w:rsid w:val="00672729"/>
    <w:rsid w:val="006728B1"/>
    <w:rsid w:val="0067290E"/>
    <w:rsid w:val="00672946"/>
    <w:rsid w:val="00672A9F"/>
    <w:rsid w:val="00672DE3"/>
    <w:rsid w:val="006730EB"/>
    <w:rsid w:val="00673165"/>
    <w:rsid w:val="00673B0D"/>
    <w:rsid w:val="00673FFA"/>
    <w:rsid w:val="0067425A"/>
    <w:rsid w:val="00674542"/>
    <w:rsid w:val="00674598"/>
    <w:rsid w:val="006745AD"/>
    <w:rsid w:val="00674ED4"/>
    <w:rsid w:val="00674F53"/>
    <w:rsid w:val="006757A5"/>
    <w:rsid w:val="00675BCF"/>
    <w:rsid w:val="00675C03"/>
    <w:rsid w:val="00675FB0"/>
    <w:rsid w:val="006768B5"/>
    <w:rsid w:val="00676A84"/>
    <w:rsid w:val="006772E9"/>
    <w:rsid w:val="006777E4"/>
    <w:rsid w:val="0068008F"/>
    <w:rsid w:val="0068073E"/>
    <w:rsid w:val="00680958"/>
    <w:rsid w:val="00680F69"/>
    <w:rsid w:val="00680FAE"/>
    <w:rsid w:val="0068120F"/>
    <w:rsid w:val="00681AEF"/>
    <w:rsid w:val="00681C8B"/>
    <w:rsid w:val="00681F70"/>
    <w:rsid w:val="006828F3"/>
    <w:rsid w:val="00682DA4"/>
    <w:rsid w:val="00682F13"/>
    <w:rsid w:val="0068338A"/>
    <w:rsid w:val="0068501A"/>
    <w:rsid w:val="00685B7A"/>
    <w:rsid w:val="00685CDB"/>
    <w:rsid w:val="00685D08"/>
    <w:rsid w:val="006869B1"/>
    <w:rsid w:val="00686B4E"/>
    <w:rsid w:val="006874F8"/>
    <w:rsid w:val="00687595"/>
    <w:rsid w:val="00687996"/>
    <w:rsid w:val="00690C0E"/>
    <w:rsid w:val="00690D12"/>
    <w:rsid w:val="006915CD"/>
    <w:rsid w:val="00691C52"/>
    <w:rsid w:val="00692059"/>
    <w:rsid w:val="00692899"/>
    <w:rsid w:val="0069315D"/>
    <w:rsid w:val="00693343"/>
    <w:rsid w:val="006937A8"/>
    <w:rsid w:val="006938F4"/>
    <w:rsid w:val="00693ADD"/>
    <w:rsid w:val="00693F79"/>
    <w:rsid w:val="00694964"/>
    <w:rsid w:val="00694F1B"/>
    <w:rsid w:val="006954F5"/>
    <w:rsid w:val="0069552D"/>
    <w:rsid w:val="00695AF8"/>
    <w:rsid w:val="00695CD7"/>
    <w:rsid w:val="0069613D"/>
    <w:rsid w:val="00696285"/>
    <w:rsid w:val="00696BF3"/>
    <w:rsid w:val="00697046"/>
    <w:rsid w:val="00697C6F"/>
    <w:rsid w:val="00697F78"/>
    <w:rsid w:val="00697FC3"/>
    <w:rsid w:val="006A0282"/>
    <w:rsid w:val="006A0578"/>
    <w:rsid w:val="006A07ED"/>
    <w:rsid w:val="006A104C"/>
    <w:rsid w:val="006A10DA"/>
    <w:rsid w:val="006A1168"/>
    <w:rsid w:val="006A13F2"/>
    <w:rsid w:val="006A15F4"/>
    <w:rsid w:val="006A24AB"/>
    <w:rsid w:val="006A29C3"/>
    <w:rsid w:val="006A2C16"/>
    <w:rsid w:val="006A2F78"/>
    <w:rsid w:val="006A3060"/>
    <w:rsid w:val="006A3646"/>
    <w:rsid w:val="006A365F"/>
    <w:rsid w:val="006A4DAD"/>
    <w:rsid w:val="006A547B"/>
    <w:rsid w:val="006A55E1"/>
    <w:rsid w:val="006A5A5A"/>
    <w:rsid w:val="006A5FCC"/>
    <w:rsid w:val="006A6233"/>
    <w:rsid w:val="006A69CC"/>
    <w:rsid w:val="006A730C"/>
    <w:rsid w:val="006A779A"/>
    <w:rsid w:val="006A7E70"/>
    <w:rsid w:val="006A7F02"/>
    <w:rsid w:val="006A7F7C"/>
    <w:rsid w:val="006B07A0"/>
    <w:rsid w:val="006B0EDB"/>
    <w:rsid w:val="006B12C3"/>
    <w:rsid w:val="006B1D67"/>
    <w:rsid w:val="006B1FC2"/>
    <w:rsid w:val="006B2145"/>
    <w:rsid w:val="006B2455"/>
    <w:rsid w:val="006B24A0"/>
    <w:rsid w:val="006B24DC"/>
    <w:rsid w:val="006B254E"/>
    <w:rsid w:val="006B272D"/>
    <w:rsid w:val="006B2765"/>
    <w:rsid w:val="006B2C17"/>
    <w:rsid w:val="006B32E1"/>
    <w:rsid w:val="006B35D9"/>
    <w:rsid w:val="006B3669"/>
    <w:rsid w:val="006B387E"/>
    <w:rsid w:val="006B3908"/>
    <w:rsid w:val="006B42B7"/>
    <w:rsid w:val="006B438F"/>
    <w:rsid w:val="006B4883"/>
    <w:rsid w:val="006B4BED"/>
    <w:rsid w:val="006B4E22"/>
    <w:rsid w:val="006B5C0E"/>
    <w:rsid w:val="006B63AA"/>
    <w:rsid w:val="006B63AC"/>
    <w:rsid w:val="006B6471"/>
    <w:rsid w:val="006B6984"/>
    <w:rsid w:val="006B701C"/>
    <w:rsid w:val="006B71AE"/>
    <w:rsid w:val="006B71ED"/>
    <w:rsid w:val="006B7336"/>
    <w:rsid w:val="006B7725"/>
    <w:rsid w:val="006B7AF3"/>
    <w:rsid w:val="006B7BCC"/>
    <w:rsid w:val="006B7CF2"/>
    <w:rsid w:val="006B7CF8"/>
    <w:rsid w:val="006C086E"/>
    <w:rsid w:val="006C0D1B"/>
    <w:rsid w:val="006C1A2A"/>
    <w:rsid w:val="006C20FF"/>
    <w:rsid w:val="006C2B1D"/>
    <w:rsid w:val="006C2D67"/>
    <w:rsid w:val="006C2F6A"/>
    <w:rsid w:val="006C33D2"/>
    <w:rsid w:val="006C3699"/>
    <w:rsid w:val="006C3ED4"/>
    <w:rsid w:val="006C3F79"/>
    <w:rsid w:val="006C416D"/>
    <w:rsid w:val="006C44F6"/>
    <w:rsid w:val="006C44FF"/>
    <w:rsid w:val="006C456C"/>
    <w:rsid w:val="006C5665"/>
    <w:rsid w:val="006C5A02"/>
    <w:rsid w:val="006C5C3B"/>
    <w:rsid w:val="006C5EC3"/>
    <w:rsid w:val="006C62D3"/>
    <w:rsid w:val="006C64F8"/>
    <w:rsid w:val="006C6530"/>
    <w:rsid w:val="006C68CE"/>
    <w:rsid w:val="006C6A1B"/>
    <w:rsid w:val="006C73EE"/>
    <w:rsid w:val="006C7521"/>
    <w:rsid w:val="006C7D7C"/>
    <w:rsid w:val="006D0581"/>
    <w:rsid w:val="006D069A"/>
    <w:rsid w:val="006D0D28"/>
    <w:rsid w:val="006D0EBB"/>
    <w:rsid w:val="006D167B"/>
    <w:rsid w:val="006D17F7"/>
    <w:rsid w:val="006D1A98"/>
    <w:rsid w:val="006D1BDB"/>
    <w:rsid w:val="006D1DC3"/>
    <w:rsid w:val="006D21DE"/>
    <w:rsid w:val="006D28F7"/>
    <w:rsid w:val="006D30F5"/>
    <w:rsid w:val="006D32B7"/>
    <w:rsid w:val="006D3E1C"/>
    <w:rsid w:val="006D409E"/>
    <w:rsid w:val="006D41B6"/>
    <w:rsid w:val="006D45F0"/>
    <w:rsid w:val="006D5035"/>
    <w:rsid w:val="006D53D8"/>
    <w:rsid w:val="006D5B36"/>
    <w:rsid w:val="006D6097"/>
    <w:rsid w:val="006D6947"/>
    <w:rsid w:val="006D6BC9"/>
    <w:rsid w:val="006D6C0E"/>
    <w:rsid w:val="006D6F4C"/>
    <w:rsid w:val="006D6FC1"/>
    <w:rsid w:val="006D7DE8"/>
    <w:rsid w:val="006E09AE"/>
    <w:rsid w:val="006E09D3"/>
    <w:rsid w:val="006E0B0D"/>
    <w:rsid w:val="006E0D39"/>
    <w:rsid w:val="006E1CB5"/>
    <w:rsid w:val="006E2044"/>
    <w:rsid w:val="006E2601"/>
    <w:rsid w:val="006E298D"/>
    <w:rsid w:val="006E2F4C"/>
    <w:rsid w:val="006E320F"/>
    <w:rsid w:val="006E484C"/>
    <w:rsid w:val="006E4B44"/>
    <w:rsid w:val="006E4C0E"/>
    <w:rsid w:val="006E4D5B"/>
    <w:rsid w:val="006E4D5E"/>
    <w:rsid w:val="006E5061"/>
    <w:rsid w:val="006E5B45"/>
    <w:rsid w:val="006E6037"/>
    <w:rsid w:val="006E6220"/>
    <w:rsid w:val="006E62A4"/>
    <w:rsid w:val="006E6ED6"/>
    <w:rsid w:val="006E7184"/>
    <w:rsid w:val="006E76A2"/>
    <w:rsid w:val="006E7AB6"/>
    <w:rsid w:val="006E7E12"/>
    <w:rsid w:val="006F02DE"/>
    <w:rsid w:val="006F0536"/>
    <w:rsid w:val="006F057E"/>
    <w:rsid w:val="006F096F"/>
    <w:rsid w:val="006F097B"/>
    <w:rsid w:val="006F09F7"/>
    <w:rsid w:val="006F149D"/>
    <w:rsid w:val="006F19DA"/>
    <w:rsid w:val="006F2087"/>
    <w:rsid w:val="006F2131"/>
    <w:rsid w:val="006F52B2"/>
    <w:rsid w:val="006F5722"/>
    <w:rsid w:val="006F5962"/>
    <w:rsid w:val="006F5DE3"/>
    <w:rsid w:val="006F6316"/>
    <w:rsid w:val="006F6BC2"/>
    <w:rsid w:val="006F6D2C"/>
    <w:rsid w:val="006F6EB2"/>
    <w:rsid w:val="006F6F4B"/>
    <w:rsid w:val="006F7774"/>
    <w:rsid w:val="006F7BAE"/>
    <w:rsid w:val="006F7BC7"/>
    <w:rsid w:val="007002AF"/>
    <w:rsid w:val="007004FF"/>
    <w:rsid w:val="0070189D"/>
    <w:rsid w:val="00701AC1"/>
    <w:rsid w:val="00702D9D"/>
    <w:rsid w:val="00702E47"/>
    <w:rsid w:val="007032AC"/>
    <w:rsid w:val="007045BB"/>
    <w:rsid w:val="007046E8"/>
    <w:rsid w:val="00704789"/>
    <w:rsid w:val="0070520E"/>
    <w:rsid w:val="00706871"/>
    <w:rsid w:val="007068C9"/>
    <w:rsid w:val="00706C0E"/>
    <w:rsid w:val="00707D08"/>
    <w:rsid w:val="007108E4"/>
    <w:rsid w:val="00710B24"/>
    <w:rsid w:val="00710C97"/>
    <w:rsid w:val="0071118E"/>
    <w:rsid w:val="00711267"/>
    <w:rsid w:val="00711A83"/>
    <w:rsid w:val="00711D12"/>
    <w:rsid w:val="00711D69"/>
    <w:rsid w:val="0071226D"/>
    <w:rsid w:val="00712A96"/>
    <w:rsid w:val="00712EAE"/>
    <w:rsid w:val="0071309E"/>
    <w:rsid w:val="007132D6"/>
    <w:rsid w:val="00713B5F"/>
    <w:rsid w:val="00713B8F"/>
    <w:rsid w:val="00713D1E"/>
    <w:rsid w:val="00713F84"/>
    <w:rsid w:val="007144E8"/>
    <w:rsid w:val="007148BD"/>
    <w:rsid w:val="007155AD"/>
    <w:rsid w:val="00715DD7"/>
    <w:rsid w:val="00715F09"/>
    <w:rsid w:val="0071681E"/>
    <w:rsid w:val="00716B62"/>
    <w:rsid w:val="00716BFA"/>
    <w:rsid w:val="0071701C"/>
    <w:rsid w:val="0071731B"/>
    <w:rsid w:val="0071774E"/>
    <w:rsid w:val="00717B15"/>
    <w:rsid w:val="00717BF5"/>
    <w:rsid w:val="007210E0"/>
    <w:rsid w:val="00721985"/>
    <w:rsid w:val="007219E6"/>
    <w:rsid w:val="00721B59"/>
    <w:rsid w:val="00721F18"/>
    <w:rsid w:val="007221B7"/>
    <w:rsid w:val="007224A2"/>
    <w:rsid w:val="007227D4"/>
    <w:rsid w:val="00722BA4"/>
    <w:rsid w:val="00723384"/>
    <w:rsid w:val="00723B05"/>
    <w:rsid w:val="00723C2B"/>
    <w:rsid w:val="00723E6B"/>
    <w:rsid w:val="00723FF8"/>
    <w:rsid w:val="00724393"/>
    <w:rsid w:val="00724496"/>
    <w:rsid w:val="007244FC"/>
    <w:rsid w:val="0072499F"/>
    <w:rsid w:val="00724E7F"/>
    <w:rsid w:val="00724F51"/>
    <w:rsid w:val="00725152"/>
    <w:rsid w:val="0072563D"/>
    <w:rsid w:val="007275CE"/>
    <w:rsid w:val="0072763F"/>
    <w:rsid w:val="00727C78"/>
    <w:rsid w:val="00727E65"/>
    <w:rsid w:val="0073075C"/>
    <w:rsid w:val="00730ADA"/>
    <w:rsid w:val="00730C82"/>
    <w:rsid w:val="00730DE7"/>
    <w:rsid w:val="00731BA0"/>
    <w:rsid w:val="007322F9"/>
    <w:rsid w:val="00732431"/>
    <w:rsid w:val="007324C5"/>
    <w:rsid w:val="007325FB"/>
    <w:rsid w:val="00732801"/>
    <w:rsid w:val="00732841"/>
    <w:rsid w:val="00732A82"/>
    <w:rsid w:val="00733A60"/>
    <w:rsid w:val="00734CF2"/>
    <w:rsid w:val="00734FDA"/>
    <w:rsid w:val="00735046"/>
    <w:rsid w:val="0073578B"/>
    <w:rsid w:val="007358B0"/>
    <w:rsid w:val="007359D5"/>
    <w:rsid w:val="00736192"/>
    <w:rsid w:val="007361EA"/>
    <w:rsid w:val="0073647F"/>
    <w:rsid w:val="0073650C"/>
    <w:rsid w:val="00736DB7"/>
    <w:rsid w:val="00736EEE"/>
    <w:rsid w:val="00737238"/>
    <w:rsid w:val="00737667"/>
    <w:rsid w:val="00737D45"/>
    <w:rsid w:val="00740047"/>
    <w:rsid w:val="007404F5"/>
    <w:rsid w:val="007409AC"/>
    <w:rsid w:val="00740CA6"/>
    <w:rsid w:val="00740D04"/>
    <w:rsid w:val="00741035"/>
    <w:rsid w:val="00741A0C"/>
    <w:rsid w:val="00741E25"/>
    <w:rsid w:val="00742168"/>
    <w:rsid w:val="00742290"/>
    <w:rsid w:val="007428C3"/>
    <w:rsid w:val="00742B41"/>
    <w:rsid w:val="00742F5F"/>
    <w:rsid w:val="0074326D"/>
    <w:rsid w:val="00743619"/>
    <w:rsid w:val="007439A5"/>
    <w:rsid w:val="00743C68"/>
    <w:rsid w:val="0074412D"/>
    <w:rsid w:val="007442B5"/>
    <w:rsid w:val="00745183"/>
    <w:rsid w:val="00745685"/>
    <w:rsid w:val="0074568F"/>
    <w:rsid w:val="0074580B"/>
    <w:rsid w:val="00745B41"/>
    <w:rsid w:val="00745D3A"/>
    <w:rsid w:val="00745ECB"/>
    <w:rsid w:val="0074613E"/>
    <w:rsid w:val="0074669E"/>
    <w:rsid w:val="00746960"/>
    <w:rsid w:val="007471D8"/>
    <w:rsid w:val="007479F8"/>
    <w:rsid w:val="00747EC8"/>
    <w:rsid w:val="00750058"/>
    <w:rsid w:val="007506C4"/>
    <w:rsid w:val="00750B19"/>
    <w:rsid w:val="00751306"/>
    <w:rsid w:val="007515F8"/>
    <w:rsid w:val="00751798"/>
    <w:rsid w:val="007517A6"/>
    <w:rsid w:val="00752024"/>
    <w:rsid w:val="00752BF6"/>
    <w:rsid w:val="007535BC"/>
    <w:rsid w:val="00753736"/>
    <w:rsid w:val="00753AE5"/>
    <w:rsid w:val="00753DF3"/>
    <w:rsid w:val="00753E68"/>
    <w:rsid w:val="00754094"/>
    <w:rsid w:val="00754242"/>
    <w:rsid w:val="00754450"/>
    <w:rsid w:val="00754B60"/>
    <w:rsid w:val="00754E20"/>
    <w:rsid w:val="007551D8"/>
    <w:rsid w:val="00755388"/>
    <w:rsid w:val="007553BE"/>
    <w:rsid w:val="007558D9"/>
    <w:rsid w:val="00755A67"/>
    <w:rsid w:val="00755C1D"/>
    <w:rsid w:val="00755D9E"/>
    <w:rsid w:val="00756858"/>
    <w:rsid w:val="00756BF5"/>
    <w:rsid w:val="00757DD1"/>
    <w:rsid w:val="00757E74"/>
    <w:rsid w:val="0076076F"/>
    <w:rsid w:val="00760A36"/>
    <w:rsid w:val="00760B49"/>
    <w:rsid w:val="00760E26"/>
    <w:rsid w:val="00760F05"/>
    <w:rsid w:val="0076114D"/>
    <w:rsid w:val="00761D12"/>
    <w:rsid w:val="007622E5"/>
    <w:rsid w:val="00762A0B"/>
    <w:rsid w:val="00762BFD"/>
    <w:rsid w:val="00762CCC"/>
    <w:rsid w:val="00762CEB"/>
    <w:rsid w:val="00762DE7"/>
    <w:rsid w:val="0076330B"/>
    <w:rsid w:val="007637D6"/>
    <w:rsid w:val="0076387D"/>
    <w:rsid w:val="00763A26"/>
    <w:rsid w:val="00763DFA"/>
    <w:rsid w:val="00764962"/>
    <w:rsid w:val="0076499F"/>
    <w:rsid w:val="00764AE8"/>
    <w:rsid w:val="00765ABD"/>
    <w:rsid w:val="00766394"/>
    <w:rsid w:val="00767286"/>
    <w:rsid w:val="0076736E"/>
    <w:rsid w:val="007673A3"/>
    <w:rsid w:val="00767B1A"/>
    <w:rsid w:val="0077018F"/>
    <w:rsid w:val="00770455"/>
    <w:rsid w:val="007707AC"/>
    <w:rsid w:val="00770812"/>
    <w:rsid w:val="007713AC"/>
    <w:rsid w:val="00771509"/>
    <w:rsid w:val="00771C45"/>
    <w:rsid w:val="00771CA4"/>
    <w:rsid w:val="00771E29"/>
    <w:rsid w:val="00771E90"/>
    <w:rsid w:val="0077233A"/>
    <w:rsid w:val="007724EA"/>
    <w:rsid w:val="00774102"/>
    <w:rsid w:val="007742DD"/>
    <w:rsid w:val="0077458F"/>
    <w:rsid w:val="0077460A"/>
    <w:rsid w:val="007746F0"/>
    <w:rsid w:val="00774B8D"/>
    <w:rsid w:val="00774F82"/>
    <w:rsid w:val="00775B54"/>
    <w:rsid w:val="00776073"/>
    <w:rsid w:val="0077653A"/>
    <w:rsid w:val="007766AF"/>
    <w:rsid w:val="007766B3"/>
    <w:rsid w:val="007767A9"/>
    <w:rsid w:val="00777359"/>
    <w:rsid w:val="007777D8"/>
    <w:rsid w:val="00777AF1"/>
    <w:rsid w:val="00777E29"/>
    <w:rsid w:val="00780233"/>
    <w:rsid w:val="007803BA"/>
    <w:rsid w:val="007803EC"/>
    <w:rsid w:val="00780E1A"/>
    <w:rsid w:val="007812C0"/>
    <w:rsid w:val="00781953"/>
    <w:rsid w:val="00782117"/>
    <w:rsid w:val="00782300"/>
    <w:rsid w:val="0078255E"/>
    <w:rsid w:val="00782FAE"/>
    <w:rsid w:val="00783030"/>
    <w:rsid w:val="007831D9"/>
    <w:rsid w:val="00783651"/>
    <w:rsid w:val="007837E6"/>
    <w:rsid w:val="00783946"/>
    <w:rsid w:val="00783AD6"/>
    <w:rsid w:val="00783FA8"/>
    <w:rsid w:val="007848DB"/>
    <w:rsid w:val="007850B0"/>
    <w:rsid w:val="007852ED"/>
    <w:rsid w:val="00785749"/>
    <w:rsid w:val="00785782"/>
    <w:rsid w:val="00785C03"/>
    <w:rsid w:val="007861ED"/>
    <w:rsid w:val="00786C76"/>
    <w:rsid w:val="007871F4"/>
    <w:rsid w:val="0078793E"/>
    <w:rsid w:val="00787BFD"/>
    <w:rsid w:val="00790598"/>
    <w:rsid w:val="00790663"/>
    <w:rsid w:val="0079095C"/>
    <w:rsid w:val="007910C1"/>
    <w:rsid w:val="00791389"/>
    <w:rsid w:val="007918DA"/>
    <w:rsid w:val="00791D4C"/>
    <w:rsid w:val="007920D9"/>
    <w:rsid w:val="007923B3"/>
    <w:rsid w:val="0079252A"/>
    <w:rsid w:val="0079271B"/>
    <w:rsid w:val="007929F2"/>
    <w:rsid w:val="00792CC3"/>
    <w:rsid w:val="00792D35"/>
    <w:rsid w:val="00792D55"/>
    <w:rsid w:val="00792D93"/>
    <w:rsid w:val="00792E0C"/>
    <w:rsid w:val="0079329B"/>
    <w:rsid w:val="007936B1"/>
    <w:rsid w:val="0079371A"/>
    <w:rsid w:val="0079390A"/>
    <w:rsid w:val="00793A81"/>
    <w:rsid w:val="00793F96"/>
    <w:rsid w:val="00794452"/>
    <w:rsid w:val="007946F3"/>
    <w:rsid w:val="00794DA0"/>
    <w:rsid w:val="00794F63"/>
    <w:rsid w:val="0079560D"/>
    <w:rsid w:val="00795824"/>
    <w:rsid w:val="007959A6"/>
    <w:rsid w:val="00795E18"/>
    <w:rsid w:val="00795FBF"/>
    <w:rsid w:val="00796604"/>
    <w:rsid w:val="00797552"/>
    <w:rsid w:val="007A0197"/>
    <w:rsid w:val="007A03DC"/>
    <w:rsid w:val="007A064A"/>
    <w:rsid w:val="007A0840"/>
    <w:rsid w:val="007A0D01"/>
    <w:rsid w:val="007A0EB9"/>
    <w:rsid w:val="007A1408"/>
    <w:rsid w:val="007A254B"/>
    <w:rsid w:val="007A274B"/>
    <w:rsid w:val="007A343F"/>
    <w:rsid w:val="007A3E85"/>
    <w:rsid w:val="007A3EC9"/>
    <w:rsid w:val="007A4F29"/>
    <w:rsid w:val="007A5D54"/>
    <w:rsid w:val="007A5ED2"/>
    <w:rsid w:val="007A677E"/>
    <w:rsid w:val="007A68B5"/>
    <w:rsid w:val="007A6A78"/>
    <w:rsid w:val="007A7ADB"/>
    <w:rsid w:val="007B0573"/>
    <w:rsid w:val="007B10A3"/>
    <w:rsid w:val="007B16AC"/>
    <w:rsid w:val="007B1D84"/>
    <w:rsid w:val="007B213D"/>
    <w:rsid w:val="007B3031"/>
    <w:rsid w:val="007B31E7"/>
    <w:rsid w:val="007B3945"/>
    <w:rsid w:val="007B3AA1"/>
    <w:rsid w:val="007B3BE6"/>
    <w:rsid w:val="007B4441"/>
    <w:rsid w:val="007B48A3"/>
    <w:rsid w:val="007B4A27"/>
    <w:rsid w:val="007B4AC3"/>
    <w:rsid w:val="007B5164"/>
    <w:rsid w:val="007B539C"/>
    <w:rsid w:val="007B594B"/>
    <w:rsid w:val="007B5B42"/>
    <w:rsid w:val="007B5D6E"/>
    <w:rsid w:val="007B60A7"/>
    <w:rsid w:val="007B6434"/>
    <w:rsid w:val="007B71CE"/>
    <w:rsid w:val="007B720F"/>
    <w:rsid w:val="007B7219"/>
    <w:rsid w:val="007B7283"/>
    <w:rsid w:val="007B7480"/>
    <w:rsid w:val="007B74EA"/>
    <w:rsid w:val="007B7764"/>
    <w:rsid w:val="007B77DC"/>
    <w:rsid w:val="007B7B06"/>
    <w:rsid w:val="007B7B70"/>
    <w:rsid w:val="007C0192"/>
    <w:rsid w:val="007C051B"/>
    <w:rsid w:val="007C05B2"/>
    <w:rsid w:val="007C060C"/>
    <w:rsid w:val="007C0A78"/>
    <w:rsid w:val="007C0ACD"/>
    <w:rsid w:val="007C0B9A"/>
    <w:rsid w:val="007C12DD"/>
    <w:rsid w:val="007C15C6"/>
    <w:rsid w:val="007C18B2"/>
    <w:rsid w:val="007C1907"/>
    <w:rsid w:val="007C2222"/>
    <w:rsid w:val="007C2334"/>
    <w:rsid w:val="007C2551"/>
    <w:rsid w:val="007C278B"/>
    <w:rsid w:val="007C349B"/>
    <w:rsid w:val="007C383B"/>
    <w:rsid w:val="007C3909"/>
    <w:rsid w:val="007C3BA8"/>
    <w:rsid w:val="007C3BF8"/>
    <w:rsid w:val="007C3D70"/>
    <w:rsid w:val="007C4012"/>
    <w:rsid w:val="007C407F"/>
    <w:rsid w:val="007C43A5"/>
    <w:rsid w:val="007C45F7"/>
    <w:rsid w:val="007C4B12"/>
    <w:rsid w:val="007C4DF4"/>
    <w:rsid w:val="007C4FC9"/>
    <w:rsid w:val="007C4FD6"/>
    <w:rsid w:val="007C537D"/>
    <w:rsid w:val="007C53CB"/>
    <w:rsid w:val="007C593B"/>
    <w:rsid w:val="007C5ADA"/>
    <w:rsid w:val="007C5B52"/>
    <w:rsid w:val="007C5BE8"/>
    <w:rsid w:val="007C6657"/>
    <w:rsid w:val="007C666F"/>
    <w:rsid w:val="007C689E"/>
    <w:rsid w:val="007C6C6E"/>
    <w:rsid w:val="007C6E2C"/>
    <w:rsid w:val="007C6FB9"/>
    <w:rsid w:val="007C79F6"/>
    <w:rsid w:val="007C7A93"/>
    <w:rsid w:val="007C7E79"/>
    <w:rsid w:val="007C7FCC"/>
    <w:rsid w:val="007D0049"/>
    <w:rsid w:val="007D00F7"/>
    <w:rsid w:val="007D019F"/>
    <w:rsid w:val="007D04AD"/>
    <w:rsid w:val="007D1026"/>
    <w:rsid w:val="007D154C"/>
    <w:rsid w:val="007D16ED"/>
    <w:rsid w:val="007D1B26"/>
    <w:rsid w:val="007D1EE2"/>
    <w:rsid w:val="007D20D1"/>
    <w:rsid w:val="007D28BF"/>
    <w:rsid w:val="007D29FC"/>
    <w:rsid w:val="007D2A17"/>
    <w:rsid w:val="007D2A7A"/>
    <w:rsid w:val="007D33F2"/>
    <w:rsid w:val="007D351B"/>
    <w:rsid w:val="007D35C5"/>
    <w:rsid w:val="007D36EB"/>
    <w:rsid w:val="007D39B0"/>
    <w:rsid w:val="007D3BBB"/>
    <w:rsid w:val="007D3E93"/>
    <w:rsid w:val="007D3F37"/>
    <w:rsid w:val="007D45BE"/>
    <w:rsid w:val="007D4987"/>
    <w:rsid w:val="007D4A59"/>
    <w:rsid w:val="007D4F59"/>
    <w:rsid w:val="007D5555"/>
    <w:rsid w:val="007D5636"/>
    <w:rsid w:val="007D593E"/>
    <w:rsid w:val="007D6888"/>
    <w:rsid w:val="007D79A4"/>
    <w:rsid w:val="007D7E39"/>
    <w:rsid w:val="007E03E5"/>
    <w:rsid w:val="007E0514"/>
    <w:rsid w:val="007E05E7"/>
    <w:rsid w:val="007E0965"/>
    <w:rsid w:val="007E09A2"/>
    <w:rsid w:val="007E16E8"/>
    <w:rsid w:val="007E16FC"/>
    <w:rsid w:val="007E174B"/>
    <w:rsid w:val="007E1765"/>
    <w:rsid w:val="007E246E"/>
    <w:rsid w:val="007E2548"/>
    <w:rsid w:val="007E28DC"/>
    <w:rsid w:val="007E2D71"/>
    <w:rsid w:val="007E2E95"/>
    <w:rsid w:val="007E3253"/>
    <w:rsid w:val="007E39CC"/>
    <w:rsid w:val="007E4480"/>
    <w:rsid w:val="007E48EC"/>
    <w:rsid w:val="007E4E04"/>
    <w:rsid w:val="007E6F4F"/>
    <w:rsid w:val="007E7281"/>
    <w:rsid w:val="007E7352"/>
    <w:rsid w:val="007F0C40"/>
    <w:rsid w:val="007F1608"/>
    <w:rsid w:val="007F1B8E"/>
    <w:rsid w:val="007F1DB0"/>
    <w:rsid w:val="007F1EE0"/>
    <w:rsid w:val="007F1FA8"/>
    <w:rsid w:val="007F233E"/>
    <w:rsid w:val="007F2ED6"/>
    <w:rsid w:val="007F31AB"/>
    <w:rsid w:val="007F3326"/>
    <w:rsid w:val="007F3B5E"/>
    <w:rsid w:val="007F3D73"/>
    <w:rsid w:val="007F3EFF"/>
    <w:rsid w:val="007F44A8"/>
    <w:rsid w:val="007F4727"/>
    <w:rsid w:val="007F4B64"/>
    <w:rsid w:val="007F545C"/>
    <w:rsid w:val="007F5492"/>
    <w:rsid w:val="007F5609"/>
    <w:rsid w:val="007F66CB"/>
    <w:rsid w:val="007F6A08"/>
    <w:rsid w:val="007F6BD7"/>
    <w:rsid w:val="007F72F4"/>
    <w:rsid w:val="007F7709"/>
    <w:rsid w:val="007F7C67"/>
    <w:rsid w:val="007F7D36"/>
    <w:rsid w:val="007F7DA1"/>
    <w:rsid w:val="00800649"/>
    <w:rsid w:val="00800A63"/>
    <w:rsid w:val="00800AFA"/>
    <w:rsid w:val="008010F6"/>
    <w:rsid w:val="0080124C"/>
    <w:rsid w:val="00801407"/>
    <w:rsid w:val="008015AE"/>
    <w:rsid w:val="008017C5"/>
    <w:rsid w:val="0080184E"/>
    <w:rsid w:val="00801B37"/>
    <w:rsid w:val="00802CB0"/>
    <w:rsid w:val="00802D5F"/>
    <w:rsid w:val="00802FC3"/>
    <w:rsid w:val="008030E7"/>
    <w:rsid w:val="008037A6"/>
    <w:rsid w:val="00803BD3"/>
    <w:rsid w:val="00803C45"/>
    <w:rsid w:val="00803C5E"/>
    <w:rsid w:val="008049E7"/>
    <w:rsid w:val="00805114"/>
    <w:rsid w:val="008063C9"/>
    <w:rsid w:val="00806B02"/>
    <w:rsid w:val="00806F52"/>
    <w:rsid w:val="00807278"/>
    <w:rsid w:val="008072F8"/>
    <w:rsid w:val="00807A78"/>
    <w:rsid w:val="00807E46"/>
    <w:rsid w:val="00810193"/>
    <w:rsid w:val="00810258"/>
    <w:rsid w:val="00810AE9"/>
    <w:rsid w:val="00810C36"/>
    <w:rsid w:val="00810CB5"/>
    <w:rsid w:val="00810DFD"/>
    <w:rsid w:val="00810F08"/>
    <w:rsid w:val="0081108F"/>
    <w:rsid w:val="008110E8"/>
    <w:rsid w:val="008113D8"/>
    <w:rsid w:val="00811506"/>
    <w:rsid w:val="00811617"/>
    <w:rsid w:val="0081179D"/>
    <w:rsid w:val="008118BB"/>
    <w:rsid w:val="008118C9"/>
    <w:rsid w:val="008119EF"/>
    <w:rsid w:val="0081215D"/>
    <w:rsid w:val="00812461"/>
    <w:rsid w:val="008125C0"/>
    <w:rsid w:val="0081273D"/>
    <w:rsid w:val="008127A7"/>
    <w:rsid w:val="00812996"/>
    <w:rsid w:val="00812A91"/>
    <w:rsid w:val="0081379D"/>
    <w:rsid w:val="00813C12"/>
    <w:rsid w:val="008141A2"/>
    <w:rsid w:val="00814478"/>
    <w:rsid w:val="008145F5"/>
    <w:rsid w:val="0081475A"/>
    <w:rsid w:val="00814D3C"/>
    <w:rsid w:val="008159E6"/>
    <w:rsid w:val="00815C07"/>
    <w:rsid w:val="00815D20"/>
    <w:rsid w:val="00815FCC"/>
    <w:rsid w:val="00816CE0"/>
    <w:rsid w:val="0081720B"/>
    <w:rsid w:val="008173D5"/>
    <w:rsid w:val="00817D27"/>
    <w:rsid w:val="0082016C"/>
    <w:rsid w:val="008204F5"/>
    <w:rsid w:val="008208BA"/>
    <w:rsid w:val="00820B9D"/>
    <w:rsid w:val="00820C85"/>
    <w:rsid w:val="00820DDF"/>
    <w:rsid w:val="00820EF1"/>
    <w:rsid w:val="00821B11"/>
    <w:rsid w:val="00821E1A"/>
    <w:rsid w:val="00821F1F"/>
    <w:rsid w:val="008220D4"/>
    <w:rsid w:val="0082261C"/>
    <w:rsid w:val="008226CD"/>
    <w:rsid w:val="00822899"/>
    <w:rsid w:val="0082299A"/>
    <w:rsid w:val="00822B62"/>
    <w:rsid w:val="00823031"/>
    <w:rsid w:val="00823313"/>
    <w:rsid w:val="00823F0E"/>
    <w:rsid w:val="00823FCE"/>
    <w:rsid w:val="008248E6"/>
    <w:rsid w:val="00824964"/>
    <w:rsid w:val="00824CD1"/>
    <w:rsid w:val="008251A1"/>
    <w:rsid w:val="0082585D"/>
    <w:rsid w:val="00825C20"/>
    <w:rsid w:val="00825D47"/>
    <w:rsid w:val="0082605E"/>
    <w:rsid w:val="00826221"/>
    <w:rsid w:val="008264AC"/>
    <w:rsid w:val="00826525"/>
    <w:rsid w:val="0082678A"/>
    <w:rsid w:val="0082683A"/>
    <w:rsid w:val="008269C8"/>
    <w:rsid w:val="00826A2E"/>
    <w:rsid w:val="00826C54"/>
    <w:rsid w:val="00826C62"/>
    <w:rsid w:val="00827813"/>
    <w:rsid w:val="00827B1F"/>
    <w:rsid w:val="008306FF"/>
    <w:rsid w:val="00830AA0"/>
    <w:rsid w:val="00830FAA"/>
    <w:rsid w:val="00831051"/>
    <w:rsid w:val="008317F9"/>
    <w:rsid w:val="0083194D"/>
    <w:rsid w:val="008328BF"/>
    <w:rsid w:val="0083296E"/>
    <w:rsid w:val="008329B3"/>
    <w:rsid w:val="00832D27"/>
    <w:rsid w:val="00833050"/>
    <w:rsid w:val="00833221"/>
    <w:rsid w:val="00833654"/>
    <w:rsid w:val="0083390F"/>
    <w:rsid w:val="00833A2F"/>
    <w:rsid w:val="00833A42"/>
    <w:rsid w:val="00833C46"/>
    <w:rsid w:val="00833D76"/>
    <w:rsid w:val="00833F88"/>
    <w:rsid w:val="008340FF"/>
    <w:rsid w:val="008341B6"/>
    <w:rsid w:val="00834330"/>
    <w:rsid w:val="00834804"/>
    <w:rsid w:val="0083497A"/>
    <w:rsid w:val="00834B1F"/>
    <w:rsid w:val="00834B87"/>
    <w:rsid w:val="00834D08"/>
    <w:rsid w:val="00834FA3"/>
    <w:rsid w:val="00835C97"/>
    <w:rsid w:val="0083612F"/>
    <w:rsid w:val="0083682A"/>
    <w:rsid w:val="0083683E"/>
    <w:rsid w:val="00836D53"/>
    <w:rsid w:val="00836D5A"/>
    <w:rsid w:val="00837264"/>
    <w:rsid w:val="008376F4"/>
    <w:rsid w:val="00837807"/>
    <w:rsid w:val="00837BE2"/>
    <w:rsid w:val="008400D1"/>
    <w:rsid w:val="00840C96"/>
    <w:rsid w:val="00840FE3"/>
    <w:rsid w:val="00841455"/>
    <w:rsid w:val="0084145D"/>
    <w:rsid w:val="00841487"/>
    <w:rsid w:val="00841E44"/>
    <w:rsid w:val="00841ECE"/>
    <w:rsid w:val="00842655"/>
    <w:rsid w:val="0084279F"/>
    <w:rsid w:val="00842BCE"/>
    <w:rsid w:val="00843624"/>
    <w:rsid w:val="008438DF"/>
    <w:rsid w:val="00843918"/>
    <w:rsid w:val="00843949"/>
    <w:rsid w:val="00844064"/>
    <w:rsid w:val="0084451F"/>
    <w:rsid w:val="00844DA4"/>
    <w:rsid w:val="008454EA"/>
    <w:rsid w:val="0084573C"/>
    <w:rsid w:val="0084632B"/>
    <w:rsid w:val="008469B8"/>
    <w:rsid w:val="008475C2"/>
    <w:rsid w:val="008478E2"/>
    <w:rsid w:val="00847B16"/>
    <w:rsid w:val="00847BA6"/>
    <w:rsid w:val="008511C5"/>
    <w:rsid w:val="008512E9"/>
    <w:rsid w:val="00851413"/>
    <w:rsid w:val="00851C10"/>
    <w:rsid w:val="00851EFE"/>
    <w:rsid w:val="0085203E"/>
    <w:rsid w:val="00852420"/>
    <w:rsid w:val="008526C7"/>
    <w:rsid w:val="0085329E"/>
    <w:rsid w:val="00853BF6"/>
    <w:rsid w:val="00853D1C"/>
    <w:rsid w:val="00853FDF"/>
    <w:rsid w:val="00854081"/>
    <w:rsid w:val="00854B2B"/>
    <w:rsid w:val="008551C9"/>
    <w:rsid w:val="0085549E"/>
    <w:rsid w:val="008558D8"/>
    <w:rsid w:val="0085594B"/>
    <w:rsid w:val="00855C10"/>
    <w:rsid w:val="00856B99"/>
    <w:rsid w:val="00856D90"/>
    <w:rsid w:val="00856DFD"/>
    <w:rsid w:val="0085749E"/>
    <w:rsid w:val="008577C1"/>
    <w:rsid w:val="00857C47"/>
    <w:rsid w:val="00857CD9"/>
    <w:rsid w:val="00857FD9"/>
    <w:rsid w:val="00860721"/>
    <w:rsid w:val="00860893"/>
    <w:rsid w:val="00860B4C"/>
    <w:rsid w:val="00860D2A"/>
    <w:rsid w:val="008614A3"/>
    <w:rsid w:val="00862260"/>
    <w:rsid w:val="008623FA"/>
    <w:rsid w:val="00862461"/>
    <w:rsid w:val="0086259C"/>
    <w:rsid w:val="00862702"/>
    <w:rsid w:val="0086287E"/>
    <w:rsid w:val="00862A10"/>
    <w:rsid w:val="00862FF3"/>
    <w:rsid w:val="00863274"/>
    <w:rsid w:val="008635EB"/>
    <w:rsid w:val="00863678"/>
    <w:rsid w:val="00863725"/>
    <w:rsid w:val="00863B5C"/>
    <w:rsid w:val="00864558"/>
    <w:rsid w:val="0086457E"/>
    <w:rsid w:val="008648DC"/>
    <w:rsid w:val="00864F76"/>
    <w:rsid w:val="00865003"/>
    <w:rsid w:val="008657CD"/>
    <w:rsid w:val="0086585C"/>
    <w:rsid w:val="00865BDC"/>
    <w:rsid w:val="00865E65"/>
    <w:rsid w:val="00865F9D"/>
    <w:rsid w:val="0086697D"/>
    <w:rsid w:val="008672A9"/>
    <w:rsid w:val="008673A5"/>
    <w:rsid w:val="00867488"/>
    <w:rsid w:val="00867BCA"/>
    <w:rsid w:val="008704BC"/>
    <w:rsid w:val="00870803"/>
    <w:rsid w:val="008709CC"/>
    <w:rsid w:val="00871030"/>
    <w:rsid w:val="0087148D"/>
    <w:rsid w:val="0087181C"/>
    <w:rsid w:val="00871B62"/>
    <w:rsid w:val="008721B4"/>
    <w:rsid w:val="00872236"/>
    <w:rsid w:val="0087260B"/>
    <w:rsid w:val="008728A4"/>
    <w:rsid w:val="00872AE6"/>
    <w:rsid w:val="00873E41"/>
    <w:rsid w:val="0087408E"/>
    <w:rsid w:val="0087465C"/>
    <w:rsid w:val="00874733"/>
    <w:rsid w:val="00874BB0"/>
    <w:rsid w:val="00874BD2"/>
    <w:rsid w:val="00874DD0"/>
    <w:rsid w:val="0087544D"/>
    <w:rsid w:val="00875E6D"/>
    <w:rsid w:val="008764B6"/>
    <w:rsid w:val="00876E00"/>
    <w:rsid w:val="00876FE5"/>
    <w:rsid w:val="008773D2"/>
    <w:rsid w:val="008800D8"/>
    <w:rsid w:val="00880F78"/>
    <w:rsid w:val="008814EA"/>
    <w:rsid w:val="0088188A"/>
    <w:rsid w:val="008818F8"/>
    <w:rsid w:val="00881959"/>
    <w:rsid w:val="00881CBB"/>
    <w:rsid w:val="00882717"/>
    <w:rsid w:val="00882762"/>
    <w:rsid w:val="00882AD0"/>
    <w:rsid w:val="00882CD3"/>
    <w:rsid w:val="00883170"/>
    <w:rsid w:val="00883940"/>
    <w:rsid w:val="00883A57"/>
    <w:rsid w:val="00883D08"/>
    <w:rsid w:val="00884A03"/>
    <w:rsid w:val="00884C9F"/>
    <w:rsid w:val="00885154"/>
    <w:rsid w:val="008854A7"/>
    <w:rsid w:val="00885E74"/>
    <w:rsid w:val="00886799"/>
    <w:rsid w:val="00886938"/>
    <w:rsid w:val="008874B5"/>
    <w:rsid w:val="00887584"/>
    <w:rsid w:val="0088786C"/>
    <w:rsid w:val="008901C9"/>
    <w:rsid w:val="00890A3C"/>
    <w:rsid w:val="00890FD8"/>
    <w:rsid w:val="008912B4"/>
    <w:rsid w:val="008912F1"/>
    <w:rsid w:val="008916CE"/>
    <w:rsid w:val="00891BA4"/>
    <w:rsid w:val="00891FC9"/>
    <w:rsid w:val="008923C3"/>
    <w:rsid w:val="008930B1"/>
    <w:rsid w:val="008934F3"/>
    <w:rsid w:val="00894746"/>
    <w:rsid w:val="0089494A"/>
    <w:rsid w:val="00894C5B"/>
    <w:rsid w:val="00894EA1"/>
    <w:rsid w:val="00895527"/>
    <w:rsid w:val="008957D1"/>
    <w:rsid w:val="00895F46"/>
    <w:rsid w:val="0089607D"/>
    <w:rsid w:val="008966E7"/>
    <w:rsid w:val="00896746"/>
    <w:rsid w:val="0089689E"/>
    <w:rsid w:val="00896AA8"/>
    <w:rsid w:val="00896F9D"/>
    <w:rsid w:val="00897013"/>
    <w:rsid w:val="008970FD"/>
    <w:rsid w:val="008975BA"/>
    <w:rsid w:val="008978C3"/>
    <w:rsid w:val="00897ED6"/>
    <w:rsid w:val="008A07F9"/>
    <w:rsid w:val="008A0826"/>
    <w:rsid w:val="008A0868"/>
    <w:rsid w:val="008A1347"/>
    <w:rsid w:val="008A1E25"/>
    <w:rsid w:val="008A22D1"/>
    <w:rsid w:val="008A247C"/>
    <w:rsid w:val="008A24A5"/>
    <w:rsid w:val="008A24D2"/>
    <w:rsid w:val="008A2CB8"/>
    <w:rsid w:val="008A2D23"/>
    <w:rsid w:val="008A2E23"/>
    <w:rsid w:val="008A3A27"/>
    <w:rsid w:val="008A45C3"/>
    <w:rsid w:val="008A461C"/>
    <w:rsid w:val="008A4A39"/>
    <w:rsid w:val="008A4C0B"/>
    <w:rsid w:val="008A4D90"/>
    <w:rsid w:val="008A4DE9"/>
    <w:rsid w:val="008A5390"/>
    <w:rsid w:val="008A53DC"/>
    <w:rsid w:val="008A54A2"/>
    <w:rsid w:val="008A59D6"/>
    <w:rsid w:val="008A5CB7"/>
    <w:rsid w:val="008A5EDE"/>
    <w:rsid w:val="008A65B4"/>
    <w:rsid w:val="008A6BF8"/>
    <w:rsid w:val="008A740E"/>
    <w:rsid w:val="008A74A6"/>
    <w:rsid w:val="008B0D5F"/>
    <w:rsid w:val="008B0F33"/>
    <w:rsid w:val="008B1E2D"/>
    <w:rsid w:val="008B2DFC"/>
    <w:rsid w:val="008B2E57"/>
    <w:rsid w:val="008B2F10"/>
    <w:rsid w:val="008B3299"/>
    <w:rsid w:val="008B3368"/>
    <w:rsid w:val="008B34CA"/>
    <w:rsid w:val="008B39C8"/>
    <w:rsid w:val="008B4683"/>
    <w:rsid w:val="008B46A4"/>
    <w:rsid w:val="008B4862"/>
    <w:rsid w:val="008B4C27"/>
    <w:rsid w:val="008B4F16"/>
    <w:rsid w:val="008B50A3"/>
    <w:rsid w:val="008B53E4"/>
    <w:rsid w:val="008B56DD"/>
    <w:rsid w:val="008B5C07"/>
    <w:rsid w:val="008B5C4D"/>
    <w:rsid w:val="008B5C7F"/>
    <w:rsid w:val="008B5F1F"/>
    <w:rsid w:val="008B5F39"/>
    <w:rsid w:val="008B67C9"/>
    <w:rsid w:val="008B68CA"/>
    <w:rsid w:val="008B6991"/>
    <w:rsid w:val="008B6D80"/>
    <w:rsid w:val="008B7574"/>
    <w:rsid w:val="008B75F2"/>
    <w:rsid w:val="008B7941"/>
    <w:rsid w:val="008B7CBF"/>
    <w:rsid w:val="008C0166"/>
    <w:rsid w:val="008C0614"/>
    <w:rsid w:val="008C0A64"/>
    <w:rsid w:val="008C0E65"/>
    <w:rsid w:val="008C10AE"/>
    <w:rsid w:val="008C18F5"/>
    <w:rsid w:val="008C1AF8"/>
    <w:rsid w:val="008C211D"/>
    <w:rsid w:val="008C2213"/>
    <w:rsid w:val="008C2648"/>
    <w:rsid w:val="008C286B"/>
    <w:rsid w:val="008C2C1B"/>
    <w:rsid w:val="008C334B"/>
    <w:rsid w:val="008C34A4"/>
    <w:rsid w:val="008C3B4C"/>
    <w:rsid w:val="008C3CBC"/>
    <w:rsid w:val="008C44F3"/>
    <w:rsid w:val="008C4774"/>
    <w:rsid w:val="008C4C14"/>
    <w:rsid w:val="008C4F99"/>
    <w:rsid w:val="008C5AB1"/>
    <w:rsid w:val="008C63A8"/>
    <w:rsid w:val="008C65ED"/>
    <w:rsid w:val="008C674B"/>
    <w:rsid w:val="008C6BE4"/>
    <w:rsid w:val="008C70B2"/>
    <w:rsid w:val="008C732B"/>
    <w:rsid w:val="008C79EA"/>
    <w:rsid w:val="008C7B3B"/>
    <w:rsid w:val="008C7B61"/>
    <w:rsid w:val="008C7B7D"/>
    <w:rsid w:val="008C7E14"/>
    <w:rsid w:val="008D01CB"/>
    <w:rsid w:val="008D1354"/>
    <w:rsid w:val="008D13BB"/>
    <w:rsid w:val="008D19D3"/>
    <w:rsid w:val="008D1A56"/>
    <w:rsid w:val="008D1EAE"/>
    <w:rsid w:val="008D21C3"/>
    <w:rsid w:val="008D2F4D"/>
    <w:rsid w:val="008D2F6C"/>
    <w:rsid w:val="008D300E"/>
    <w:rsid w:val="008D3130"/>
    <w:rsid w:val="008D3F9D"/>
    <w:rsid w:val="008D4726"/>
    <w:rsid w:val="008D4730"/>
    <w:rsid w:val="008D54DD"/>
    <w:rsid w:val="008D55BB"/>
    <w:rsid w:val="008D59F6"/>
    <w:rsid w:val="008D5AEA"/>
    <w:rsid w:val="008D5BA1"/>
    <w:rsid w:val="008D5D11"/>
    <w:rsid w:val="008D69BA"/>
    <w:rsid w:val="008D7102"/>
    <w:rsid w:val="008D7D34"/>
    <w:rsid w:val="008D7DC0"/>
    <w:rsid w:val="008D7ECA"/>
    <w:rsid w:val="008E0076"/>
    <w:rsid w:val="008E036D"/>
    <w:rsid w:val="008E0D43"/>
    <w:rsid w:val="008E0E7F"/>
    <w:rsid w:val="008E14A5"/>
    <w:rsid w:val="008E1573"/>
    <w:rsid w:val="008E160A"/>
    <w:rsid w:val="008E1760"/>
    <w:rsid w:val="008E1A21"/>
    <w:rsid w:val="008E20AF"/>
    <w:rsid w:val="008E23B3"/>
    <w:rsid w:val="008E2532"/>
    <w:rsid w:val="008E29DD"/>
    <w:rsid w:val="008E2EC4"/>
    <w:rsid w:val="008E3BE9"/>
    <w:rsid w:val="008E3D70"/>
    <w:rsid w:val="008E406B"/>
    <w:rsid w:val="008E4201"/>
    <w:rsid w:val="008E435D"/>
    <w:rsid w:val="008E4FBE"/>
    <w:rsid w:val="008E58E8"/>
    <w:rsid w:val="008E59F8"/>
    <w:rsid w:val="008E5AFB"/>
    <w:rsid w:val="008E6000"/>
    <w:rsid w:val="008E6512"/>
    <w:rsid w:val="008E67D6"/>
    <w:rsid w:val="008E682A"/>
    <w:rsid w:val="008E6E6E"/>
    <w:rsid w:val="008E7082"/>
    <w:rsid w:val="008E76AF"/>
    <w:rsid w:val="008F028B"/>
    <w:rsid w:val="008F03C2"/>
    <w:rsid w:val="008F05D8"/>
    <w:rsid w:val="008F09E9"/>
    <w:rsid w:val="008F0A6C"/>
    <w:rsid w:val="008F0C32"/>
    <w:rsid w:val="008F0C97"/>
    <w:rsid w:val="008F1215"/>
    <w:rsid w:val="008F145D"/>
    <w:rsid w:val="008F185C"/>
    <w:rsid w:val="008F2099"/>
    <w:rsid w:val="008F2178"/>
    <w:rsid w:val="008F22A2"/>
    <w:rsid w:val="008F257C"/>
    <w:rsid w:val="008F26CC"/>
    <w:rsid w:val="008F28F6"/>
    <w:rsid w:val="008F33E3"/>
    <w:rsid w:val="008F36A9"/>
    <w:rsid w:val="008F3DA7"/>
    <w:rsid w:val="008F41B1"/>
    <w:rsid w:val="008F484E"/>
    <w:rsid w:val="008F4A42"/>
    <w:rsid w:val="008F5095"/>
    <w:rsid w:val="008F5126"/>
    <w:rsid w:val="008F5ABC"/>
    <w:rsid w:val="008F62E5"/>
    <w:rsid w:val="008F6DFC"/>
    <w:rsid w:val="008F6F74"/>
    <w:rsid w:val="008F729C"/>
    <w:rsid w:val="008F75D8"/>
    <w:rsid w:val="008F7735"/>
    <w:rsid w:val="008F78EB"/>
    <w:rsid w:val="008F79AF"/>
    <w:rsid w:val="008F7C66"/>
    <w:rsid w:val="009003B7"/>
    <w:rsid w:val="00900C51"/>
    <w:rsid w:val="009014F9"/>
    <w:rsid w:val="009017D6"/>
    <w:rsid w:val="0090206B"/>
    <w:rsid w:val="00902146"/>
    <w:rsid w:val="009022CB"/>
    <w:rsid w:val="0090256E"/>
    <w:rsid w:val="00902743"/>
    <w:rsid w:val="009038F1"/>
    <w:rsid w:val="00903AB0"/>
    <w:rsid w:val="00903B1A"/>
    <w:rsid w:val="00903E25"/>
    <w:rsid w:val="009045A3"/>
    <w:rsid w:val="00904877"/>
    <w:rsid w:val="00904B25"/>
    <w:rsid w:val="00904C37"/>
    <w:rsid w:val="00904CE2"/>
    <w:rsid w:val="00905051"/>
    <w:rsid w:val="0090523A"/>
    <w:rsid w:val="00905ADB"/>
    <w:rsid w:val="0090635A"/>
    <w:rsid w:val="00906456"/>
    <w:rsid w:val="00906968"/>
    <w:rsid w:val="00906D61"/>
    <w:rsid w:val="00906EAC"/>
    <w:rsid w:val="00907735"/>
    <w:rsid w:val="00910416"/>
    <w:rsid w:val="00910580"/>
    <w:rsid w:val="009109CA"/>
    <w:rsid w:val="00911A84"/>
    <w:rsid w:val="00911EE3"/>
    <w:rsid w:val="0091214F"/>
    <w:rsid w:val="00912357"/>
    <w:rsid w:val="00912A53"/>
    <w:rsid w:val="009133DE"/>
    <w:rsid w:val="009134B6"/>
    <w:rsid w:val="00913555"/>
    <w:rsid w:val="009135ED"/>
    <w:rsid w:val="0091366F"/>
    <w:rsid w:val="00913837"/>
    <w:rsid w:val="00913C18"/>
    <w:rsid w:val="00913C77"/>
    <w:rsid w:val="0091517C"/>
    <w:rsid w:val="009157DD"/>
    <w:rsid w:val="009163FE"/>
    <w:rsid w:val="00916C84"/>
    <w:rsid w:val="0091734D"/>
    <w:rsid w:val="0091762E"/>
    <w:rsid w:val="00917702"/>
    <w:rsid w:val="00917F32"/>
    <w:rsid w:val="009203C1"/>
    <w:rsid w:val="009203D2"/>
    <w:rsid w:val="00920672"/>
    <w:rsid w:val="009206C4"/>
    <w:rsid w:val="009208EE"/>
    <w:rsid w:val="00920E4D"/>
    <w:rsid w:val="00921000"/>
    <w:rsid w:val="0092138A"/>
    <w:rsid w:val="0092142D"/>
    <w:rsid w:val="009219A8"/>
    <w:rsid w:val="00921A52"/>
    <w:rsid w:val="00921DA2"/>
    <w:rsid w:val="0092244F"/>
    <w:rsid w:val="009224C3"/>
    <w:rsid w:val="009227AB"/>
    <w:rsid w:val="009238CC"/>
    <w:rsid w:val="00923A35"/>
    <w:rsid w:val="00923AB6"/>
    <w:rsid w:val="00923E20"/>
    <w:rsid w:val="009245C4"/>
    <w:rsid w:val="00924AB2"/>
    <w:rsid w:val="00924F92"/>
    <w:rsid w:val="0092543A"/>
    <w:rsid w:val="0092584E"/>
    <w:rsid w:val="00925CEB"/>
    <w:rsid w:val="00926123"/>
    <w:rsid w:val="009262D7"/>
    <w:rsid w:val="00926501"/>
    <w:rsid w:val="00926538"/>
    <w:rsid w:val="00926686"/>
    <w:rsid w:val="00926871"/>
    <w:rsid w:val="00927534"/>
    <w:rsid w:val="0092754C"/>
    <w:rsid w:val="009300A8"/>
    <w:rsid w:val="00931085"/>
    <w:rsid w:val="00931423"/>
    <w:rsid w:val="0093167A"/>
    <w:rsid w:val="00931C15"/>
    <w:rsid w:val="009324A8"/>
    <w:rsid w:val="009326BF"/>
    <w:rsid w:val="009328DA"/>
    <w:rsid w:val="0093298E"/>
    <w:rsid w:val="00932F6D"/>
    <w:rsid w:val="009331E4"/>
    <w:rsid w:val="00933547"/>
    <w:rsid w:val="009335AD"/>
    <w:rsid w:val="00933755"/>
    <w:rsid w:val="00934264"/>
    <w:rsid w:val="009344F3"/>
    <w:rsid w:val="0093453F"/>
    <w:rsid w:val="00934989"/>
    <w:rsid w:val="00934A4F"/>
    <w:rsid w:val="00934CDE"/>
    <w:rsid w:val="00935A2F"/>
    <w:rsid w:val="00935B52"/>
    <w:rsid w:val="00935C8F"/>
    <w:rsid w:val="00935FB7"/>
    <w:rsid w:val="009360BB"/>
    <w:rsid w:val="009363ED"/>
    <w:rsid w:val="00936591"/>
    <w:rsid w:val="00937011"/>
    <w:rsid w:val="00937152"/>
    <w:rsid w:val="0093733D"/>
    <w:rsid w:val="0094035C"/>
    <w:rsid w:val="009403C7"/>
    <w:rsid w:val="00940BF2"/>
    <w:rsid w:val="00940DB2"/>
    <w:rsid w:val="009411CC"/>
    <w:rsid w:val="00941286"/>
    <w:rsid w:val="0094141F"/>
    <w:rsid w:val="00941483"/>
    <w:rsid w:val="009417BD"/>
    <w:rsid w:val="009418F3"/>
    <w:rsid w:val="00941A1A"/>
    <w:rsid w:val="00942191"/>
    <w:rsid w:val="0094241D"/>
    <w:rsid w:val="009427AF"/>
    <w:rsid w:val="00942B60"/>
    <w:rsid w:val="00942BEA"/>
    <w:rsid w:val="00942DED"/>
    <w:rsid w:val="00943415"/>
    <w:rsid w:val="00943681"/>
    <w:rsid w:val="009436EE"/>
    <w:rsid w:val="00943AB5"/>
    <w:rsid w:val="0094430F"/>
    <w:rsid w:val="00944312"/>
    <w:rsid w:val="00944A32"/>
    <w:rsid w:val="009450B9"/>
    <w:rsid w:val="009450CF"/>
    <w:rsid w:val="009451E2"/>
    <w:rsid w:val="00945335"/>
    <w:rsid w:val="00945356"/>
    <w:rsid w:val="009453FA"/>
    <w:rsid w:val="00945858"/>
    <w:rsid w:val="00945AFE"/>
    <w:rsid w:val="00945F59"/>
    <w:rsid w:val="009461A2"/>
    <w:rsid w:val="009468C7"/>
    <w:rsid w:val="009469D2"/>
    <w:rsid w:val="00946F09"/>
    <w:rsid w:val="00947A51"/>
    <w:rsid w:val="00947D16"/>
    <w:rsid w:val="00947E98"/>
    <w:rsid w:val="009500AB"/>
    <w:rsid w:val="00951FD7"/>
    <w:rsid w:val="0095202E"/>
    <w:rsid w:val="00952133"/>
    <w:rsid w:val="00952B95"/>
    <w:rsid w:val="009535BC"/>
    <w:rsid w:val="00953F0F"/>
    <w:rsid w:val="00954086"/>
    <w:rsid w:val="00954414"/>
    <w:rsid w:val="009547BA"/>
    <w:rsid w:val="009548AE"/>
    <w:rsid w:val="00954C46"/>
    <w:rsid w:val="00954E1C"/>
    <w:rsid w:val="0095505F"/>
    <w:rsid w:val="009558C8"/>
    <w:rsid w:val="00955EF2"/>
    <w:rsid w:val="009560D9"/>
    <w:rsid w:val="00956315"/>
    <w:rsid w:val="00956B24"/>
    <w:rsid w:val="0095702C"/>
    <w:rsid w:val="0095792F"/>
    <w:rsid w:val="00957E13"/>
    <w:rsid w:val="00957E2E"/>
    <w:rsid w:val="00960158"/>
    <w:rsid w:val="009602B2"/>
    <w:rsid w:val="0096046B"/>
    <w:rsid w:val="00960774"/>
    <w:rsid w:val="00960903"/>
    <w:rsid w:val="00960A3C"/>
    <w:rsid w:val="00960B57"/>
    <w:rsid w:val="009610FC"/>
    <w:rsid w:val="0096133A"/>
    <w:rsid w:val="0096133D"/>
    <w:rsid w:val="009614A0"/>
    <w:rsid w:val="00961BF2"/>
    <w:rsid w:val="00961D31"/>
    <w:rsid w:val="00961D93"/>
    <w:rsid w:val="00962672"/>
    <w:rsid w:val="00963584"/>
    <w:rsid w:val="00963682"/>
    <w:rsid w:val="009638D2"/>
    <w:rsid w:val="00965135"/>
    <w:rsid w:val="00965719"/>
    <w:rsid w:val="00966236"/>
    <w:rsid w:val="0096627C"/>
    <w:rsid w:val="00966582"/>
    <w:rsid w:val="00966C64"/>
    <w:rsid w:val="00966E4E"/>
    <w:rsid w:val="009671DD"/>
    <w:rsid w:val="00967297"/>
    <w:rsid w:val="00967601"/>
    <w:rsid w:val="00967CFA"/>
    <w:rsid w:val="00970119"/>
    <w:rsid w:val="00970E68"/>
    <w:rsid w:val="0097130C"/>
    <w:rsid w:val="009718E5"/>
    <w:rsid w:val="00971DA3"/>
    <w:rsid w:val="009731A6"/>
    <w:rsid w:val="0097323C"/>
    <w:rsid w:val="00973AB5"/>
    <w:rsid w:val="00973CAD"/>
    <w:rsid w:val="00973EFF"/>
    <w:rsid w:val="00974100"/>
    <w:rsid w:val="00974325"/>
    <w:rsid w:val="0097461D"/>
    <w:rsid w:val="00974C2D"/>
    <w:rsid w:val="009756BF"/>
    <w:rsid w:val="009758BC"/>
    <w:rsid w:val="00975AE6"/>
    <w:rsid w:val="00976579"/>
    <w:rsid w:val="00976A4A"/>
    <w:rsid w:val="00976E4D"/>
    <w:rsid w:val="00976EAE"/>
    <w:rsid w:val="009774E0"/>
    <w:rsid w:val="00977975"/>
    <w:rsid w:val="00977A90"/>
    <w:rsid w:val="00980489"/>
    <w:rsid w:val="00980629"/>
    <w:rsid w:val="0098068A"/>
    <w:rsid w:val="00980862"/>
    <w:rsid w:val="0098221A"/>
    <w:rsid w:val="00982816"/>
    <w:rsid w:val="00983393"/>
    <w:rsid w:val="00983C32"/>
    <w:rsid w:val="00983E1C"/>
    <w:rsid w:val="00984327"/>
    <w:rsid w:val="009849AB"/>
    <w:rsid w:val="009850BD"/>
    <w:rsid w:val="00985643"/>
    <w:rsid w:val="00985873"/>
    <w:rsid w:val="009858A1"/>
    <w:rsid w:val="0098596B"/>
    <w:rsid w:val="00985BDA"/>
    <w:rsid w:val="00986264"/>
    <w:rsid w:val="0098681A"/>
    <w:rsid w:val="00986A7C"/>
    <w:rsid w:val="00986C97"/>
    <w:rsid w:val="00987250"/>
    <w:rsid w:val="00987A76"/>
    <w:rsid w:val="00987C99"/>
    <w:rsid w:val="009901A1"/>
    <w:rsid w:val="00990218"/>
    <w:rsid w:val="00990451"/>
    <w:rsid w:val="00990DA0"/>
    <w:rsid w:val="009911E4"/>
    <w:rsid w:val="009919EF"/>
    <w:rsid w:val="009919F4"/>
    <w:rsid w:val="00992577"/>
    <w:rsid w:val="009928C5"/>
    <w:rsid w:val="00992F51"/>
    <w:rsid w:val="009933B5"/>
    <w:rsid w:val="009935D0"/>
    <w:rsid w:val="0099377F"/>
    <w:rsid w:val="009941BE"/>
    <w:rsid w:val="00994503"/>
    <w:rsid w:val="0099453E"/>
    <w:rsid w:val="009946E1"/>
    <w:rsid w:val="00994880"/>
    <w:rsid w:val="00994E94"/>
    <w:rsid w:val="0099513A"/>
    <w:rsid w:val="0099555D"/>
    <w:rsid w:val="00995E3F"/>
    <w:rsid w:val="0099631A"/>
    <w:rsid w:val="00996428"/>
    <w:rsid w:val="009964DD"/>
    <w:rsid w:val="00996AB6"/>
    <w:rsid w:val="00996B6C"/>
    <w:rsid w:val="00996E58"/>
    <w:rsid w:val="00997C1B"/>
    <w:rsid w:val="009A024C"/>
    <w:rsid w:val="009A0551"/>
    <w:rsid w:val="009A0C48"/>
    <w:rsid w:val="009A0D5A"/>
    <w:rsid w:val="009A0E34"/>
    <w:rsid w:val="009A0FB9"/>
    <w:rsid w:val="009A12A2"/>
    <w:rsid w:val="009A1784"/>
    <w:rsid w:val="009A1C5D"/>
    <w:rsid w:val="009A1D2C"/>
    <w:rsid w:val="009A1DAB"/>
    <w:rsid w:val="009A1E76"/>
    <w:rsid w:val="009A2C12"/>
    <w:rsid w:val="009A30FA"/>
    <w:rsid w:val="009A3209"/>
    <w:rsid w:val="009A3307"/>
    <w:rsid w:val="009A339B"/>
    <w:rsid w:val="009A3416"/>
    <w:rsid w:val="009A35FD"/>
    <w:rsid w:val="009A3730"/>
    <w:rsid w:val="009A3CB8"/>
    <w:rsid w:val="009A3EB2"/>
    <w:rsid w:val="009A49BF"/>
    <w:rsid w:val="009A4CE0"/>
    <w:rsid w:val="009A4DFC"/>
    <w:rsid w:val="009A524C"/>
    <w:rsid w:val="009A5406"/>
    <w:rsid w:val="009A542E"/>
    <w:rsid w:val="009A566A"/>
    <w:rsid w:val="009A5F41"/>
    <w:rsid w:val="009A61D0"/>
    <w:rsid w:val="009A635E"/>
    <w:rsid w:val="009A6D69"/>
    <w:rsid w:val="009A7385"/>
    <w:rsid w:val="009A7726"/>
    <w:rsid w:val="009A7975"/>
    <w:rsid w:val="009B0080"/>
    <w:rsid w:val="009B0A4E"/>
    <w:rsid w:val="009B0C34"/>
    <w:rsid w:val="009B10D8"/>
    <w:rsid w:val="009B1457"/>
    <w:rsid w:val="009B1D27"/>
    <w:rsid w:val="009B1EBF"/>
    <w:rsid w:val="009B1ED0"/>
    <w:rsid w:val="009B1F7D"/>
    <w:rsid w:val="009B25B5"/>
    <w:rsid w:val="009B2777"/>
    <w:rsid w:val="009B2F15"/>
    <w:rsid w:val="009B3072"/>
    <w:rsid w:val="009B34A8"/>
    <w:rsid w:val="009B3545"/>
    <w:rsid w:val="009B3B44"/>
    <w:rsid w:val="009B3E86"/>
    <w:rsid w:val="009B4A6B"/>
    <w:rsid w:val="009B50C9"/>
    <w:rsid w:val="009B567B"/>
    <w:rsid w:val="009B5917"/>
    <w:rsid w:val="009B5A91"/>
    <w:rsid w:val="009B5B71"/>
    <w:rsid w:val="009B63B4"/>
    <w:rsid w:val="009B67A9"/>
    <w:rsid w:val="009B6A60"/>
    <w:rsid w:val="009B709C"/>
    <w:rsid w:val="009B7420"/>
    <w:rsid w:val="009B74B6"/>
    <w:rsid w:val="009B7878"/>
    <w:rsid w:val="009B78CC"/>
    <w:rsid w:val="009B7B46"/>
    <w:rsid w:val="009B7E4E"/>
    <w:rsid w:val="009C0363"/>
    <w:rsid w:val="009C0E16"/>
    <w:rsid w:val="009C1396"/>
    <w:rsid w:val="009C1DF2"/>
    <w:rsid w:val="009C2C38"/>
    <w:rsid w:val="009C31E0"/>
    <w:rsid w:val="009C3215"/>
    <w:rsid w:val="009C34C7"/>
    <w:rsid w:val="009C3C6C"/>
    <w:rsid w:val="009C42BF"/>
    <w:rsid w:val="009C42C3"/>
    <w:rsid w:val="009C44D7"/>
    <w:rsid w:val="009C48C2"/>
    <w:rsid w:val="009C517F"/>
    <w:rsid w:val="009C53BA"/>
    <w:rsid w:val="009C56FA"/>
    <w:rsid w:val="009C5808"/>
    <w:rsid w:val="009C5B62"/>
    <w:rsid w:val="009C5BD7"/>
    <w:rsid w:val="009C5EBC"/>
    <w:rsid w:val="009C5F2C"/>
    <w:rsid w:val="009C646A"/>
    <w:rsid w:val="009C6C16"/>
    <w:rsid w:val="009C6CCE"/>
    <w:rsid w:val="009C701A"/>
    <w:rsid w:val="009D026E"/>
    <w:rsid w:val="009D03D3"/>
    <w:rsid w:val="009D06DE"/>
    <w:rsid w:val="009D105C"/>
    <w:rsid w:val="009D169A"/>
    <w:rsid w:val="009D197A"/>
    <w:rsid w:val="009D220D"/>
    <w:rsid w:val="009D3060"/>
    <w:rsid w:val="009D3909"/>
    <w:rsid w:val="009D4672"/>
    <w:rsid w:val="009D479E"/>
    <w:rsid w:val="009D4A8F"/>
    <w:rsid w:val="009D4F9C"/>
    <w:rsid w:val="009D5862"/>
    <w:rsid w:val="009D5B59"/>
    <w:rsid w:val="009D5BED"/>
    <w:rsid w:val="009D5D29"/>
    <w:rsid w:val="009D5E08"/>
    <w:rsid w:val="009D625D"/>
    <w:rsid w:val="009D63BE"/>
    <w:rsid w:val="009D6C41"/>
    <w:rsid w:val="009D7E0D"/>
    <w:rsid w:val="009D7EEF"/>
    <w:rsid w:val="009E019E"/>
    <w:rsid w:val="009E03AB"/>
    <w:rsid w:val="009E088B"/>
    <w:rsid w:val="009E172B"/>
    <w:rsid w:val="009E2436"/>
    <w:rsid w:val="009E26DA"/>
    <w:rsid w:val="009E283B"/>
    <w:rsid w:val="009E28AE"/>
    <w:rsid w:val="009E2CE0"/>
    <w:rsid w:val="009E2EBD"/>
    <w:rsid w:val="009E3E2C"/>
    <w:rsid w:val="009E40BB"/>
    <w:rsid w:val="009E4D51"/>
    <w:rsid w:val="009E5D48"/>
    <w:rsid w:val="009E60AF"/>
    <w:rsid w:val="009E6323"/>
    <w:rsid w:val="009E6501"/>
    <w:rsid w:val="009E6814"/>
    <w:rsid w:val="009E7852"/>
    <w:rsid w:val="009F047C"/>
    <w:rsid w:val="009F11B9"/>
    <w:rsid w:val="009F1546"/>
    <w:rsid w:val="009F205C"/>
    <w:rsid w:val="009F22BC"/>
    <w:rsid w:val="009F2955"/>
    <w:rsid w:val="009F2ACC"/>
    <w:rsid w:val="009F36DF"/>
    <w:rsid w:val="009F3AE8"/>
    <w:rsid w:val="009F4664"/>
    <w:rsid w:val="009F4971"/>
    <w:rsid w:val="009F4B6F"/>
    <w:rsid w:val="009F5866"/>
    <w:rsid w:val="009F643F"/>
    <w:rsid w:val="009F64EF"/>
    <w:rsid w:val="009F6D9C"/>
    <w:rsid w:val="009F7C33"/>
    <w:rsid w:val="00A0016C"/>
    <w:rsid w:val="00A0085F"/>
    <w:rsid w:val="00A00C20"/>
    <w:rsid w:val="00A00D5B"/>
    <w:rsid w:val="00A0118B"/>
    <w:rsid w:val="00A016FD"/>
    <w:rsid w:val="00A01E60"/>
    <w:rsid w:val="00A01EB1"/>
    <w:rsid w:val="00A01EF8"/>
    <w:rsid w:val="00A01FF4"/>
    <w:rsid w:val="00A01FFE"/>
    <w:rsid w:val="00A02A95"/>
    <w:rsid w:val="00A02C44"/>
    <w:rsid w:val="00A03B9E"/>
    <w:rsid w:val="00A03EFE"/>
    <w:rsid w:val="00A04070"/>
    <w:rsid w:val="00A040C7"/>
    <w:rsid w:val="00A04145"/>
    <w:rsid w:val="00A05273"/>
    <w:rsid w:val="00A056AB"/>
    <w:rsid w:val="00A05DB7"/>
    <w:rsid w:val="00A06367"/>
    <w:rsid w:val="00A06472"/>
    <w:rsid w:val="00A06565"/>
    <w:rsid w:val="00A07566"/>
    <w:rsid w:val="00A0783A"/>
    <w:rsid w:val="00A10565"/>
    <w:rsid w:val="00A11232"/>
    <w:rsid w:val="00A1193C"/>
    <w:rsid w:val="00A12299"/>
    <w:rsid w:val="00A1262E"/>
    <w:rsid w:val="00A12EF4"/>
    <w:rsid w:val="00A13BE4"/>
    <w:rsid w:val="00A13F59"/>
    <w:rsid w:val="00A140E0"/>
    <w:rsid w:val="00A14BD4"/>
    <w:rsid w:val="00A14C83"/>
    <w:rsid w:val="00A14C98"/>
    <w:rsid w:val="00A14E77"/>
    <w:rsid w:val="00A15706"/>
    <w:rsid w:val="00A158FD"/>
    <w:rsid w:val="00A16253"/>
    <w:rsid w:val="00A1646C"/>
    <w:rsid w:val="00A166AE"/>
    <w:rsid w:val="00A16AC6"/>
    <w:rsid w:val="00A175B6"/>
    <w:rsid w:val="00A20059"/>
    <w:rsid w:val="00A205D8"/>
    <w:rsid w:val="00A209FC"/>
    <w:rsid w:val="00A20C4A"/>
    <w:rsid w:val="00A20C76"/>
    <w:rsid w:val="00A20E8D"/>
    <w:rsid w:val="00A214D9"/>
    <w:rsid w:val="00A2165E"/>
    <w:rsid w:val="00A21875"/>
    <w:rsid w:val="00A22085"/>
    <w:rsid w:val="00A2245F"/>
    <w:rsid w:val="00A22758"/>
    <w:rsid w:val="00A228CA"/>
    <w:rsid w:val="00A22B58"/>
    <w:rsid w:val="00A22FE2"/>
    <w:rsid w:val="00A236C4"/>
    <w:rsid w:val="00A237B5"/>
    <w:rsid w:val="00A237CC"/>
    <w:rsid w:val="00A237F6"/>
    <w:rsid w:val="00A238EB"/>
    <w:rsid w:val="00A23BD5"/>
    <w:rsid w:val="00A23DAA"/>
    <w:rsid w:val="00A23E54"/>
    <w:rsid w:val="00A23F13"/>
    <w:rsid w:val="00A23FEA"/>
    <w:rsid w:val="00A2464D"/>
    <w:rsid w:val="00A24E42"/>
    <w:rsid w:val="00A25053"/>
    <w:rsid w:val="00A252E9"/>
    <w:rsid w:val="00A25784"/>
    <w:rsid w:val="00A262AF"/>
    <w:rsid w:val="00A262F8"/>
    <w:rsid w:val="00A2676B"/>
    <w:rsid w:val="00A2687C"/>
    <w:rsid w:val="00A269D9"/>
    <w:rsid w:val="00A270E2"/>
    <w:rsid w:val="00A27184"/>
    <w:rsid w:val="00A272E3"/>
    <w:rsid w:val="00A274F3"/>
    <w:rsid w:val="00A27F25"/>
    <w:rsid w:val="00A31350"/>
    <w:rsid w:val="00A31746"/>
    <w:rsid w:val="00A31B71"/>
    <w:rsid w:val="00A31C37"/>
    <w:rsid w:val="00A32717"/>
    <w:rsid w:val="00A32918"/>
    <w:rsid w:val="00A32BE3"/>
    <w:rsid w:val="00A32C53"/>
    <w:rsid w:val="00A3373C"/>
    <w:rsid w:val="00A34436"/>
    <w:rsid w:val="00A34D82"/>
    <w:rsid w:val="00A34E92"/>
    <w:rsid w:val="00A35362"/>
    <w:rsid w:val="00A35DCE"/>
    <w:rsid w:val="00A36316"/>
    <w:rsid w:val="00A3699E"/>
    <w:rsid w:val="00A36E77"/>
    <w:rsid w:val="00A37B6F"/>
    <w:rsid w:val="00A37C2D"/>
    <w:rsid w:val="00A37D15"/>
    <w:rsid w:val="00A37E13"/>
    <w:rsid w:val="00A40125"/>
    <w:rsid w:val="00A40413"/>
    <w:rsid w:val="00A4044F"/>
    <w:rsid w:val="00A40586"/>
    <w:rsid w:val="00A407C5"/>
    <w:rsid w:val="00A40C0B"/>
    <w:rsid w:val="00A40D21"/>
    <w:rsid w:val="00A41138"/>
    <w:rsid w:val="00A41334"/>
    <w:rsid w:val="00A41CDE"/>
    <w:rsid w:val="00A41F6A"/>
    <w:rsid w:val="00A428B7"/>
    <w:rsid w:val="00A42D99"/>
    <w:rsid w:val="00A43953"/>
    <w:rsid w:val="00A44254"/>
    <w:rsid w:val="00A443EE"/>
    <w:rsid w:val="00A444EF"/>
    <w:rsid w:val="00A44804"/>
    <w:rsid w:val="00A44830"/>
    <w:rsid w:val="00A44B77"/>
    <w:rsid w:val="00A44E27"/>
    <w:rsid w:val="00A45182"/>
    <w:rsid w:val="00A451E4"/>
    <w:rsid w:val="00A45498"/>
    <w:rsid w:val="00A460DA"/>
    <w:rsid w:val="00A463F0"/>
    <w:rsid w:val="00A46413"/>
    <w:rsid w:val="00A47B5A"/>
    <w:rsid w:val="00A47FD6"/>
    <w:rsid w:val="00A50B4F"/>
    <w:rsid w:val="00A51AD8"/>
    <w:rsid w:val="00A51F11"/>
    <w:rsid w:val="00A520B9"/>
    <w:rsid w:val="00A52EC4"/>
    <w:rsid w:val="00A5300E"/>
    <w:rsid w:val="00A534B5"/>
    <w:rsid w:val="00A54586"/>
    <w:rsid w:val="00A549FC"/>
    <w:rsid w:val="00A54D0F"/>
    <w:rsid w:val="00A55CED"/>
    <w:rsid w:val="00A560D5"/>
    <w:rsid w:val="00A5621C"/>
    <w:rsid w:val="00A564E2"/>
    <w:rsid w:val="00A566C0"/>
    <w:rsid w:val="00A56E19"/>
    <w:rsid w:val="00A57053"/>
    <w:rsid w:val="00A574AE"/>
    <w:rsid w:val="00A5777C"/>
    <w:rsid w:val="00A57993"/>
    <w:rsid w:val="00A579EB"/>
    <w:rsid w:val="00A57B19"/>
    <w:rsid w:val="00A57F2C"/>
    <w:rsid w:val="00A604F1"/>
    <w:rsid w:val="00A617CC"/>
    <w:rsid w:val="00A619CE"/>
    <w:rsid w:val="00A61FF7"/>
    <w:rsid w:val="00A62653"/>
    <w:rsid w:val="00A62998"/>
    <w:rsid w:val="00A631A3"/>
    <w:rsid w:val="00A632AD"/>
    <w:rsid w:val="00A63788"/>
    <w:rsid w:val="00A63B65"/>
    <w:rsid w:val="00A6418A"/>
    <w:rsid w:val="00A64988"/>
    <w:rsid w:val="00A649D7"/>
    <w:rsid w:val="00A6514A"/>
    <w:rsid w:val="00A65152"/>
    <w:rsid w:val="00A65799"/>
    <w:rsid w:val="00A6580B"/>
    <w:rsid w:val="00A65CAF"/>
    <w:rsid w:val="00A65EEC"/>
    <w:rsid w:val="00A66764"/>
    <w:rsid w:val="00A6721F"/>
    <w:rsid w:val="00A67276"/>
    <w:rsid w:val="00A67324"/>
    <w:rsid w:val="00A701D3"/>
    <w:rsid w:val="00A7053B"/>
    <w:rsid w:val="00A706CF"/>
    <w:rsid w:val="00A709CA"/>
    <w:rsid w:val="00A70B5E"/>
    <w:rsid w:val="00A70C6B"/>
    <w:rsid w:val="00A715FD"/>
    <w:rsid w:val="00A71887"/>
    <w:rsid w:val="00A719C5"/>
    <w:rsid w:val="00A71B98"/>
    <w:rsid w:val="00A72442"/>
    <w:rsid w:val="00A72D15"/>
    <w:rsid w:val="00A7339F"/>
    <w:rsid w:val="00A733ED"/>
    <w:rsid w:val="00A734AF"/>
    <w:rsid w:val="00A73B09"/>
    <w:rsid w:val="00A74093"/>
    <w:rsid w:val="00A744C3"/>
    <w:rsid w:val="00A74CF1"/>
    <w:rsid w:val="00A75061"/>
    <w:rsid w:val="00A750B5"/>
    <w:rsid w:val="00A75332"/>
    <w:rsid w:val="00A75527"/>
    <w:rsid w:val="00A75BC3"/>
    <w:rsid w:val="00A7612E"/>
    <w:rsid w:val="00A762CE"/>
    <w:rsid w:val="00A768B7"/>
    <w:rsid w:val="00A7763D"/>
    <w:rsid w:val="00A77787"/>
    <w:rsid w:val="00A77C94"/>
    <w:rsid w:val="00A77D74"/>
    <w:rsid w:val="00A80263"/>
    <w:rsid w:val="00A80402"/>
    <w:rsid w:val="00A80639"/>
    <w:rsid w:val="00A80716"/>
    <w:rsid w:val="00A8164F"/>
    <w:rsid w:val="00A818BB"/>
    <w:rsid w:val="00A818FC"/>
    <w:rsid w:val="00A82399"/>
    <w:rsid w:val="00A8268C"/>
    <w:rsid w:val="00A82771"/>
    <w:rsid w:val="00A82A33"/>
    <w:rsid w:val="00A8322D"/>
    <w:rsid w:val="00A83D44"/>
    <w:rsid w:val="00A83D70"/>
    <w:rsid w:val="00A842A2"/>
    <w:rsid w:val="00A84895"/>
    <w:rsid w:val="00A84AD4"/>
    <w:rsid w:val="00A84B6D"/>
    <w:rsid w:val="00A84C27"/>
    <w:rsid w:val="00A84F85"/>
    <w:rsid w:val="00A851BD"/>
    <w:rsid w:val="00A85222"/>
    <w:rsid w:val="00A85768"/>
    <w:rsid w:val="00A85AAE"/>
    <w:rsid w:val="00A861C1"/>
    <w:rsid w:val="00A862A5"/>
    <w:rsid w:val="00A86904"/>
    <w:rsid w:val="00A90014"/>
    <w:rsid w:val="00A906F2"/>
    <w:rsid w:val="00A912BF"/>
    <w:rsid w:val="00A92156"/>
    <w:rsid w:val="00A9281C"/>
    <w:rsid w:val="00A92AA0"/>
    <w:rsid w:val="00A92B05"/>
    <w:rsid w:val="00A92EB7"/>
    <w:rsid w:val="00A92F5F"/>
    <w:rsid w:val="00A93AE3"/>
    <w:rsid w:val="00A93DDB"/>
    <w:rsid w:val="00A94042"/>
    <w:rsid w:val="00A948CE"/>
    <w:rsid w:val="00A94AC1"/>
    <w:rsid w:val="00A94C33"/>
    <w:rsid w:val="00A94C92"/>
    <w:rsid w:val="00A95568"/>
    <w:rsid w:val="00A95666"/>
    <w:rsid w:val="00A95F84"/>
    <w:rsid w:val="00A964EF"/>
    <w:rsid w:val="00A96563"/>
    <w:rsid w:val="00A968A9"/>
    <w:rsid w:val="00A96ABE"/>
    <w:rsid w:val="00A96BB1"/>
    <w:rsid w:val="00A96F13"/>
    <w:rsid w:val="00A971F5"/>
    <w:rsid w:val="00A97AE8"/>
    <w:rsid w:val="00A97DE2"/>
    <w:rsid w:val="00AA0747"/>
    <w:rsid w:val="00AA07BB"/>
    <w:rsid w:val="00AA07F1"/>
    <w:rsid w:val="00AA086C"/>
    <w:rsid w:val="00AA1841"/>
    <w:rsid w:val="00AA1C68"/>
    <w:rsid w:val="00AA1EE8"/>
    <w:rsid w:val="00AA20C7"/>
    <w:rsid w:val="00AA25AD"/>
    <w:rsid w:val="00AA275B"/>
    <w:rsid w:val="00AA2948"/>
    <w:rsid w:val="00AA2F8C"/>
    <w:rsid w:val="00AA342C"/>
    <w:rsid w:val="00AA3ED3"/>
    <w:rsid w:val="00AA40AC"/>
    <w:rsid w:val="00AA40DC"/>
    <w:rsid w:val="00AA4B34"/>
    <w:rsid w:val="00AA4B73"/>
    <w:rsid w:val="00AA51A0"/>
    <w:rsid w:val="00AA54D9"/>
    <w:rsid w:val="00AA5561"/>
    <w:rsid w:val="00AA57E8"/>
    <w:rsid w:val="00AA5A43"/>
    <w:rsid w:val="00AA5C04"/>
    <w:rsid w:val="00AA5D54"/>
    <w:rsid w:val="00AA5E98"/>
    <w:rsid w:val="00AA609F"/>
    <w:rsid w:val="00AA669A"/>
    <w:rsid w:val="00AA6886"/>
    <w:rsid w:val="00AA6B9D"/>
    <w:rsid w:val="00AA72A7"/>
    <w:rsid w:val="00AA7585"/>
    <w:rsid w:val="00AA79A4"/>
    <w:rsid w:val="00AB037B"/>
    <w:rsid w:val="00AB0E7A"/>
    <w:rsid w:val="00AB117F"/>
    <w:rsid w:val="00AB1374"/>
    <w:rsid w:val="00AB13CD"/>
    <w:rsid w:val="00AB1A8C"/>
    <w:rsid w:val="00AB1E46"/>
    <w:rsid w:val="00AB2263"/>
    <w:rsid w:val="00AB33D5"/>
    <w:rsid w:val="00AB378B"/>
    <w:rsid w:val="00AB41D1"/>
    <w:rsid w:val="00AB426C"/>
    <w:rsid w:val="00AB46E1"/>
    <w:rsid w:val="00AB4C3D"/>
    <w:rsid w:val="00AB510C"/>
    <w:rsid w:val="00AB5141"/>
    <w:rsid w:val="00AB5286"/>
    <w:rsid w:val="00AB53F8"/>
    <w:rsid w:val="00AB5834"/>
    <w:rsid w:val="00AB5CF0"/>
    <w:rsid w:val="00AB5EF0"/>
    <w:rsid w:val="00AB6ADA"/>
    <w:rsid w:val="00AB6EE9"/>
    <w:rsid w:val="00AB7228"/>
    <w:rsid w:val="00AB7362"/>
    <w:rsid w:val="00AB78BD"/>
    <w:rsid w:val="00AB7BC3"/>
    <w:rsid w:val="00AC1DFF"/>
    <w:rsid w:val="00AC1EA2"/>
    <w:rsid w:val="00AC235F"/>
    <w:rsid w:val="00AC254E"/>
    <w:rsid w:val="00AC2718"/>
    <w:rsid w:val="00AC2A13"/>
    <w:rsid w:val="00AC2B76"/>
    <w:rsid w:val="00AC2D19"/>
    <w:rsid w:val="00AC358E"/>
    <w:rsid w:val="00AC3F95"/>
    <w:rsid w:val="00AC3FB8"/>
    <w:rsid w:val="00AC421C"/>
    <w:rsid w:val="00AC4B1B"/>
    <w:rsid w:val="00AC4C83"/>
    <w:rsid w:val="00AC5284"/>
    <w:rsid w:val="00AC543B"/>
    <w:rsid w:val="00AC6219"/>
    <w:rsid w:val="00AC62BA"/>
    <w:rsid w:val="00AC6449"/>
    <w:rsid w:val="00AC67A6"/>
    <w:rsid w:val="00AC6A8D"/>
    <w:rsid w:val="00AC6CD2"/>
    <w:rsid w:val="00AC7817"/>
    <w:rsid w:val="00AC7FD1"/>
    <w:rsid w:val="00AD00A5"/>
    <w:rsid w:val="00AD04B8"/>
    <w:rsid w:val="00AD0569"/>
    <w:rsid w:val="00AD0974"/>
    <w:rsid w:val="00AD0E70"/>
    <w:rsid w:val="00AD0FDD"/>
    <w:rsid w:val="00AD1D99"/>
    <w:rsid w:val="00AD2341"/>
    <w:rsid w:val="00AD284F"/>
    <w:rsid w:val="00AD2AD6"/>
    <w:rsid w:val="00AD3009"/>
    <w:rsid w:val="00AD3439"/>
    <w:rsid w:val="00AD4309"/>
    <w:rsid w:val="00AD44C4"/>
    <w:rsid w:val="00AD4683"/>
    <w:rsid w:val="00AD4850"/>
    <w:rsid w:val="00AD48E0"/>
    <w:rsid w:val="00AD4906"/>
    <w:rsid w:val="00AD4B73"/>
    <w:rsid w:val="00AD501D"/>
    <w:rsid w:val="00AD5139"/>
    <w:rsid w:val="00AD5536"/>
    <w:rsid w:val="00AD5586"/>
    <w:rsid w:val="00AD56E3"/>
    <w:rsid w:val="00AD5706"/>
    <w:rsid w:val="00AD597F"/>
    <w:rsid w:val="00AD5B86"/>
    <w:rsid w:val="00AD63C9"/>
    <w:rsid w:val="00AD66F2"/>
    <w:rsid w:val="00AD6864"/>
    <w:rsid w:val="00AD6F46"/>
    <w:rsid w:val="00AD70C7"/>
    <w:rsid w:val="00AD7771"/>
    <w:rsid w:val="00AE059D"/>
    <w:rsid w:val="00AE05B8"/>
    <w:rsid w:val="00AE09FD"/>
    <w:rsid w:val="00AE1CC1"/>
    <w:rsid w:val="00AE1EB5"/>
    <w:rsid w:val="00AE253E"/>
    <w:rsid w:val="00AE261B"/>
    <w:rsid w:val="00AE2692"/>
    <w:rsid w:val="00AE3DC6"/>
    <w:rsid w:val="00AE3FCB"/>
    <w:rsid w:val="00AE41BE"/>
    <w:rsid w:val="00AE4323"/>
    <w:rsid w:val="00AE4336"/>
    <w:rsid w:val="00AE45AC"/>
    <w:rsid w:val="00AE4AB0"/>
    <w:rsid w:val="00AE5228"/>
    <w:rsid w:val="00AE5B78"/>
    <w:rsid w:val="00AE5C2E"/>
    <w:rsid w:val="00AE63D0"/>
    <w:rsid w:val="00AE6A25"/>
    <w:rsid w:val="00AE6AE5"/>
    <w:rsid w:val="00AE713C"/>
    <w:rsid w:val="00AE7418"/>
    <w:rsid w:val="00AE75E4"/>
    <w:rsid w:val="00AE7BC7"/>
    <w:rsid w:val="00AE7BF1"/>
    <w:rsid w:val="00AF0550"/>
    <w:rsid w:val="00AF09DF"/>
    <w:rsid w:val="00AF0D52"/>
    <w:rsid w:val="00AF1071"/>
    <w:rsid w:val="00AF1464"/>
    <w:rsid w:val="00AF1524"/>
    <w:rsid w:val="00AF1629"/>
    <w:rsid w:val="00AF28F2"/>
    <w:rsid w:val="00AF29A3"/>
    <w:rsid w:val="00AF2A7C"/>
    <w:rsid w:val="00AF2BA6"/>
    <w:rsid w:val="00AF3271"/>
    <w:rsid w:val="00AF3439"/>
    <w:rsid w:val="00AF3683"/>
    <w:rsid w:val="00AF370B"/>
    <w:rsid w:val="00AF37C9"/>
    <w:rsid w:val="00AF3C44"/>
    <w:rsid w:val="00AF3C59"/>
    <w:rsid w:val="00AF409E"/>
    <w:rsid w:val="00AF44D1"/>
    <w:rsid w:val="00AF4AB1"/>
    <w:rsid w:val="00AF4CD5"/>
    <w:rsid w:val="00AF51E4"/>
    <w:rsid w:val="00AF5792"/>
    <w:rsid w:val="00AF59BF"/>
    <w:rsid w:val="00AF5CEF"/>
    <w:rsid w:val="00AF6660"/>
    <w:rsid w:val="00AF687B"/>
    <w:rsid w:val="00AF6BE5"/>
    <w:rsid w:val="00AF6F39"/>
    <w:rsid w:val="00AF716A"/>
    <w:rsid w:val="00B00BB1"/>
    <w:rsid w:val="00B00BB8"/>
    <w:rsid w:val="00B00C1F"/>
    <w:rsid w:val="00B00D45"/>
    <w:rsid w:val="00B00E56"/>
    <w:rsid w:val="00B00EA4"/>
    <w:rsid w:val="00B00FBC"/>
    <w:rsid w:val="00B0108E"/>
    <w:rsid w:val="00B01358"/>
    <w:rsid w:val="00B013BB"/>
    <w:rsid w:val="00B014D3"/>
    <w:rsid w:val="00B0172E"/>
    <w:rsid w:val="00B01957"/>
    <w:rsid w:val="00B01F8E"/>
    <w:rsid w:val="00B02277"/>
    <w:rsid w:val="00B024D9"/>
    <w:rsid w:val="00B03CD5"/>
    <w:rsid w:val="00B03CFA"/>
    <w:rsid w:val="00B03E13"/>
    <w:rsid w:val="00B03F74"/>
    <w:rsid w:val="00B040FF"/>
    <w:rsid w:val="00B0437D"/>
    <w:rsid w:val="00B04654"/>
    <w:rsid w:val="00B051ED"/>
    <w:rsid w:val="00B056FE"/>
    <w:rsid w:val="00B06241"/>
    <w:rsid w:val="00B062BB"/>
    <w:rsid w:val="00B06EE2"/>
    <w:rsid w:val="00B0748D"/>
    <w:rsid w:val="00B0752C"/>
    <w:rsid w:val="00B07FAA"/>
    <w:rsid w:val="00B10627"/>
    <w:rsid w:val="00B10AC8"/>
    <w:rsid w:val="00B11269"/>
    <w:rsid w:val="00B1151E"/>
    <w:rsid w:val="00B1160A"/>
    <w:rsid w:val="00B121A7"/>
    <w:rsid w:val="00B12673"/>
    <w:rsid w:val="00B12995"/>
    <w:rsid w:val="00B1299E"/>
    <w:rsid w:val="00B13445"/>
    <w:rsid w:val="00B13B34"/>
    <w:rsid w:val="00B13D45"/>
    <w:rsid w:val="00B14160"/>
    <w:rsid w:val="00B152C7"/>
    <w:rsid w:val="00B1562E"/>
    <w:rsid w:val="00B157AF"/>
    <w:rsid w:val="00B1597F"/>
    <w:rsid w:val="00B15F12"/>
    <w:rsid w:val="00B161BC"/>
    <w:rsid w:val="00B16AF4"/>
    <w:rsid w:val="00B1769C"/>
    <w:rsid w:val="00B1773B"/>
    <w:rsid w:val="00B17C00"/>
    <w:rsid w:val="00B17C8D"/>
    <w:rsid w:val="00B17D5E"/>
    <w:rsid w:val="00B20126"/>
    <w:rsid w:val="00B2052D"/>
    <w:rsid w:val="00B208C4"/>
    <w:rsid w:val="00B20C33"/>
    <w:rsid w:val="00B20EB6"/>
    <w:rsid w:val="00B215F0"/>
    <w:rsid w:val="00B218E7"/>
    <w:rsid w:val="00B2190C"/>
    <w:rsid w:val="00B21C02"/>
    <w:rsid w:val="00B21C38"/>
    <w:rsid w:val="00B2207D"/>
    <w:rsid w:val="00B229AB"/>
    <w:rsid w:val="00B22E45"/>
    <w:rsid w:val="00B22FA5"/>
    <w:rsid w:val="00B235CF"/>
    <w:rsid w:val="00B238F5"/>
    <w:rsid w:val="00B23E9B"/>
    <w:rsid w:val="00B242F5"/>
    <w:rsid w:val="00B2434D"/>
    <w:rsid w:val="00B24770"/>
    <w:rsid w:val="00B249E5"/>
    <w:rsid w:val="00B24E1B"/>
    <w:rsid w:val="00B25354"/>
    <w:rsid w:val="00B25736"/>
    <w:rsid w:val="00B25B24"/>
    <w:rsid w:val="00B25F14"/>
    <w:rsid w:val="00B26B2D"/>
    <w:rsid w:val="00B26F22"/>
    <w:rsid w:val="00B2727E"/>
    <w:rsid w:val="00B27944"/>
    <w:rsid w:val="00B27AD4"/>
    <w:rsid w:val="00B27D55"/>
    <w:rsid w:val="00B27F33"/>
    <w:rsid w:val="00B30064"/>
    <w:rsid w:val="00B30586"/>
    <w:rsid w:val="00B3081A"/>
    <w:rsid w:val="00B30F69"/>
    <w:rsid w:val="00B31038"/>
    <w:rsid w:val="00B31105"/>
    <w:rsid w:val="00B31429"/>
    <w:rsid w:val="00B320A6"/>
    <w:rsid w:val="00B3259D"/>
    <w:rsid w:val="00B3267E"/>
    <w:rsid w:val="00B32FA7"/>
    <w:rsid w:val="00B3305A"/>
    <w:rsid w:val="00B33299"/>
    <w:rsid w:val="00B3335D"/>
    <w:rsid w:val="00B334A4"/>
    <w:rsid w:val="00B35195"/>
    <w:rsid w:val="00B35951"/>
    <w:rsid w:val="00B35C14"/>
    <w:rsid w:val="00B35D50"/>
    <w:rsid w:val="00B35FA4"/>
    <w:rsid w:val="00B361C0"/>
    <w:rsid w:val="00B363D4"/>
    <w:rsid w:val="00B3671A"/>
    <w:rsid w:val="00B36B47"/>
    <w:rsid w:val="00B36C2E"/>
    <w:rsid w:val="00B3783C"/>
    <w:rsid w:val="00B37AA2"/>
    <w:rsid w:val="00B37BED"/>
    <w:rsid w:val="00B37E5E"/>
    <w:rsid w:val="00B37E6B"/>
    <w:rsid w:val="00B40340"/>
    <w:rsid w:val="00B403B3"/>
    <w:rsid w:val="00B41218"/>
    <w:rsid w:val="00B4182B"/>
    <w:rsid w:val="00B41858"/>
    <w:rsid w:val="00B41C49"/>
    <w:rsid w:val="00B4200B"/>
    <w:rsid w:val="00B421E1"/>
    <w:rsid w:val="00B427A4"/>
    <w:rsid w:val="00B43005"/>
    <w:rsid w:val="00B43232"/>
    <w:rsid w:val="00B43470"/>
    <w:rsid w:val="00B43A14"/>
    <w:rsid w:val="00B43C0B"/>
    <w:rsid w:val="00B43E4C"/>
    <w:rsid w:val="00B44152"/>
    <w:rsid w:val="00B44175"/>
    <w:rsid w:val="00B4432C"/>
    <w:rsid w:val="00B4448E"/>
    <w:rsid w:val="00B4507B"/>
    <w:rsid w:val="00B451C8"/>
    <w:rsid w:val="00B452AF"/>
    <w:rsid w:val="00B45498"/>
    <w:rsid w:val="00B459B4"/>
    <w:rsid w:val="00B46327"/>
    <w:rsid w:val="00B4662F"/>
    <w:rsid w:val="00B46E6C"/>
    <w:rsid w:val="00B470AC"/>
    <w:rsid w:val="00B471A2"/>
    <w:rsid w:val="00B47772"/>
    <w:rsid w:val="00B47963"/>
    <w:rsid w:val="00B47C44"/>
    <w:rsid w:val="00B514A8"/>
    <w:rsid w:val="00B51A27"/>
    <w:rsid w:val="00B51C85"/>
    <w:rsid w:val="00B52365"/>
    <w:rsid w:val="00B524B4"/>
    <w:rsid w:val="00B524B8"/>
    <w:rsid w:val="00B54050"/>
    <w:rsid w:val="00B54118"/>
    <w:rsid w:val="00B54161"/>
    <w:rsid w:val="00B543A9"/>
    <w:rsid w:val="00B54520"/>
    <w:rsid w:val="00B547D3"/>
    <w:rsid w:val="00B54DA7"/>
    <w:rsid w:val="00B54EF5"/>
    <w:rsid w:val="00B54F5E"/>
    <w:rsid w:val="00B557FB"/>
    <w:rsid w:val="00B559B8"/>
    <w:rsid w:val="00B56306"/>
    <w:rsid w:val="00B56CBB"/>
    <w:rsid w:val="00B57B4B"/>
    <w:rsid w:val="00B57B84"/>
    <w:rsid w:val="00B57CBE"/>
    <w:rsid w:val="00B57EFB"/>
    <w:rsid w:val="00B57FF7"/>
    <w:rsid w:val="00B6019F"/>
    <w:rsid w:val="00B604D0"/>
    <w:rsid w:val="00B60AE4"/>
    <w:rsid w:val="00B60F08"/>
    <w:rsid w:val="00B618DB"/>
    <w:rsid w:val="00B61D43"/>
    <w:rsid w:val="00B61E46"/>
    <w:rsid w:val="00B62DAB"/>
    <w:rsid w:val="00B633E5"/>
    <w:rsid w:val="00B63523"/>
    <w:rsid w:val="00B63669"/>
    <w:rsid w:val="00B63702"/>
    <w:rsid w:val="00B639E0"/>
    <w:rsid w:val="00B63B84"/>
    <w:rsid w:val="00B63DE0"/>
    <w:rsid w:val="00B64889"/>
    <w:rsid w:val="00B65854"/>
    <w:rsid w:val="00B659F3"/>
    <w:rsid w:val="00B65FF8"/>
    <w:rsid w:val="00B66385"/>
    <w:rsid w:val="00B66464"/>
    <w:rsid w:val="00B666E6"/>
    <w:rsid w:val="00B67D8E"/>
    <w:rsid w:val="00B705D5"/>
    <w:rsid w:val="00B70B73"/>
    <w:rsid w:val="00B71D37"/>
    <w:rsid w:val="00B735B7"/>
    <w:rsid w:val="00B73C52"/>
    <w:rsid w:val="00B73EFC"/>
    <w:rsid w:val="00B74524"/>
    <w:rsid w:val="00B74836"/>
    <w:rsid w:val="00B74A97"/>
    <w:rsid w:val="00B74DEC"/>
    <w:rsid w:val="00B7567E"/>
    <w:rsid w:val="00B7588F"/>
    <w:rsid w:val="00B75BCD"/>
    <w:rsid w:val="00B75D06"/>
    <w:rsid w:val="00B7617B"/>
    <w:rsid w:val="00B76843"/>
    <w:rsid w:val="00B768CF"/>
    <w:rsid w:val="00B7770D"/>
    <w:rsid w:val="00B77891"/>
    <w:rsid w:val="00B77D91"/>
    <w:rsid w:val="00B800CE"/>
    <w:rsid w:val="00B8078A"/>
    <w:rsid w:val="00B80A69"/>
    <w:rsid w:val="00B80E12"/>
    <w:rsid w:val="00B80F86"/>
    <w:rsid w:val="00B81498"/>
    <w:rsid w:val="00B81654"/>
    <w:rsid w:val="00B817BF"/>
    <w:rsid w:val="00B81D72"/>
    <w:rsid w:val="00B81F1A"/>
    <w:rsid w:val="00B8228C"/>
    <w:rsid w:val="00B82436"/>
    <w:rsid w:val="00B8252D"/>
    <w:rsid w:val="00B8254C"/>
    <w:rsid w:val="00B825E4"/>
    <w:rsid w:val="00B82E24"/>
    <w:rsid w:val="00B83612"/>
    <w:rsid w:val="00B83916"/>
    <w:rsid w:val="00B83B4A"/>
    <w:rsid w:val="00B83B95"/>
    <w:rsid w:val="00B84063"/>
    <w:rsid w:val="00B8453F"/>
    <w:rsid w:val="00B849FC"/>
    <w:rsid w:val="00B84E02"/>
    <w:rsid w:val="00B84F0E"/>
    <w:rsid w:val="00B85A39"/>
    <w:rsid w:val="00B85C2A"/>
    <w:rsid w:val="00B85E39"/>
    <w:rsid w:val="00B85FE0"/>
    <w:rsid w:val="00B86678"/>
    <w:rsid w:val="00B867E6"/>
    <w:rsid w:val="00B86DE8"/>
    <w:rsid w:val="00B87540"/>
    <w:rsid w:val="00B90654"/>
    <w:rsid w:val="00B90A47"/>
    <w:rsid w:val="00B917AF"/>
    <w:rsid w:val="00B918F1"/>
    <w:rsid w:val="00B92486"/>
    <w:rsid w:val="00B92810"/>
    <w:rsid w:val="00B930C7"/>
    <w:rsid w:val="00B94226"/>
    <w:rsid w:val="00B94528"/>
    <w:rsid w:val="00B94B30"/>
    <w:rsid w:val="00B94E49"/>
    <w:rsid w:val="00B9587F"/>
    <w:rsid w:val="00B96AE9"/>
    <w:rsid w:val="00B96DDB"/>
    <w:rsid w:val="00B9774C"/>
    <w:rsid w:val="00BA0865"/>
    <w:rsid w:val="00BA0B50"/>
    <w:rsid w:val="00BA0E93"/>
    <w:rsid w:val="00BA10C3"/>
    <w:rsid w:val="00BA125F"/>
    <w:rsid w:val="00BA18AD"/>
    <w:rsid w:val="00BA2046"/>
    <w:rsid w:val="00BA2379"/>
    <w:rsid w:val="00BA23BD"/>
    <w:rsid w:val="00BA2592"/>
    <w:rsid w:val="00BA27B5"/>
    <w:rsid w:val="00BA2875"/>
    <w:rsid w:val="00BA29E5"/>
    <w:rsid w:val="00BA2C44"/>
    <w:rsid w:val="00BA2CBD"/>
    <w:rsid w:val="00BA3A51"/>
    <w:rsid w:val="00BA3CA7"/>
    <w:rsid w:val="00BA4279"/>
    <w:rsid w:val="00BA4396"/>
    <w:rsid w:val="00BA453F"/>
    <w:rsid w:val="00BA459A"/>
    <w:rsid w:val="00BA5218"/>
    <w:rsid w:val="00BA5681"/>
    <w:rsid w:val="00BA623D"/>
    <w:rsid w:val="00BA6483"/>
    <w:rsid w:val="00BA6CA5"/>
    <w:rsid w:val="00BA7481"/>
    <w:rsid w:val="00BA7DF5"/>
    <w:rsid w:val="00BA7F59"/>
    <w:rsid w:val="00BB01F2"/>
    <w:rsid w:val="00BB08CA"/>
    <w:rsid w:val="00BB093D"/>
    <w:rsid w:val="00BB0EC1"/>
    <w:rsid w:val="00BB1543"/>
    <w:rsid w:val="00BB158A"/>
    <w:rsid w:val="00BB173A"/>
    <w:rsid w:val="00BB1DD7"/>
    <w:rsid w:val="00BB1EE3"/>
    <w:rsid w:val="00BB20F2"/>
    <w:rsid w:val="00BB216C"/>
    <w:rsid w:val="00BB2443"/>
    <w:rsid w:val="00BB248F"/>
    <w:rsid w:val="00BB267D"/>
    <w:rsid w:val="00BB2B61"/>
    <w:rsid w:val="00BB2ED9"/>
    <w:rsid w:val="00BB3553"/>
    <w:rsid w:val="00BB3B99"/>
    <w:rsid w:val="00BB3C3F"/>
    <w:rsid w:val="00BB3D2C"/>
    <w:rsid w:val="00BB3EC0"/>
    <w:rsid w:val="00BB3F5B"/>
    <w:rsid w:val="00BB4002"/>
    <w:rsid w:val="00BB4151"/>
    <w:rsid w:val="00BB4AD7"/>
    <w:rsid w:val="00BB4B3F"/>
    <w:rsid w:val="00BB4F3E"/>
    <w:rsid w:val="00BB5277"/>
    <w:rsid w:val="00BB544B"/>
    <w:rsid w:val="00BB5C2F"/>
    <w:rsid w:val="00BB6985"/>
    <w:rsid w:val="00BB6EFD"/>
    <w:rsid w:val="00BB6F8A"/>
    <w:rsid w:val="00BB71AB"/>
    <w:rsid w:val="00BB76CB"/>
    <w:rsid w:val="00BB7E71"/>
    <w:rsid w:val="00BC12F0"/>
    <w:rsid w:val="00BC1524"/>
    <w:rsid w:val="00BC1DF4"/>
    <w:rsid w:val="00BC2645"/>
    <w:rsid w:val="00BC2F0E"/>
    <w:rsid w:val="00BC3014"/>
    <w:rsid w:val="00BC31C9"/>
    <w:rsid w:val="00BC3B11"/>
    <w:rsid w:val="00BC3DDD"/>
    <w:rsid w:val="00BC4174"/>
    <w:rsid w:val="00BC425D"/>
    <w:rsid w:val="00BC42FE"/>
    <w:rsid w:val="00BC456A"/>
    <w:rsid w:val="00BC4C21"/>
    <w:rsid w:val="00BC52D1"/>
    <w:rsid w:val="00BC52EB"/>
    <w:rsid w:val="00BC5325"/>
    <w:rsid w:val="00BC55E4"/>
    <w:rsid w:val="00BC57F3"/>
    <w:rsid w:val="00BC5C12"/>
    <w:rsid w:val="00BC63EA"/>
    <w:rsid w:val="00BC6B54"/>
    <w:rsid w:val="00BC6C62"/>
    <w:rsid w:val="00BC73D1"/>
    <w:rsid w:val="00BC7863"/>
    <w:rsid w:val="00BD0205"/>
    <w:rsid w:val="00BD04F5"/>
    <w:rsid w:val="00BD0755"/>
    <w:rsid w:val="00BD0C66"/>
    <w:rsid w:val="00BD0D76"/>
    <w:rsid w:val="00BD1599"/>
    <w:rsid w:val="00BD1C88"/>
    <w:rsid w:val="00BD1FED"/>
    <w:rsid w:val="00BD2234"/>
    <w:rsid w:val="00BD25F5"/>
    <w:rsid w:val="00BD2B20"/>
    <w:rsid w:val="00BD2C3E"/>
    <w:rsid w:val="00BD2D32"/>
    <w:rsid w:val="00BD3092"/>
    <w:rsid w:val="00BD374A"/>
    <w:rsid w:val="00BD3796"/>
    <w:rsid w:val="00BD38CD"/>
    <w:rsid w:val="00BD3A81"/>
    <w:rsid w:val="00BD3F62"/>
    <w:rsid w:val="00BD514F"/>
    <w:rsid w:val="00BD51C3"/>
    <w:rsid w:val="00BD5C28"/>
    <w:rsid w:val="00BD6253"/>
    <w:rsid w:val="00BD66F1"/>
    <w:rsid w:val="00BD6856"/>
    <w:rsid w:val="00BD69FA"/>
    <w:rsid w:val="00BD6A9F"/>
    <w:rsid w:val="00BD6AC0"/>
    <w:rsid w:val="00BD6C80"/>
    <w:rsid w:val="00BD738A"/>
    <w:rsid w:val="00BD7687"/>
    <w:rsid w:val="00BD783C"/>
    <w:rsid w:val="00BD7B78"/>
    <w:rsid w:val="00BD7FDE"/>
    <w:rsid w:val="00BE0221"/>
    <w:rsid w:val="00BE1284"/>
    <w:rsid w:val="00BE23BF"/>
    <w:rsid w:val="00BE28D8"/>
    <w:rsid w:val="00BE2CCB"/>
    <w:rsid w:val="00BE2EF4"/>
    <w:rsid w:val="00BE313F"/>
    <w:rsid w:val="00BE31EB"/>
    <w:rsid w:val="00BE3266"/>
    <w:rsid w:val="00BE3BA5"/>
    <w:rsid w:val="00BE3CC3"/>
    <w:rsid w:val="00BE3D22"/>
    <w:rsid w:val="00BE49D9"/>
    <w:rsid w:val="00BE4EBD"/>
    <w:rsid w:val="00BE5B7B"/>
    <w:rsid w:val="00BE5B95"/>
    <w:rsid w:val="00BE5C2D"/>
    <w:rsid w:val="00BE5FD8"/>
    <w:rsid w:val="00BE5FF7"/>
    <w:rsid w:val="00BE6329"/>
    <w:rsid w:val="00BE6753"/>
    <w:rsid w:val="00BE69A4"/>
    <w:rsid w:val="00BE6ACB"/>
    <w:rsid w:val="00BE6D2A"/>
    <w:rsid w:val="00BE6D62"/>
    <w:rsid w:val="00BE6F67"/>
    <w:rsid w:val="00BE7A9C"/>
    <w:rsid w:val="00BE7B27"/>
    <w:rsid w:val="00BE7DE0"/>
    <w:rsid w:val="00BE7EBF"/>
    <w:rsid w:val="00BF04BC"/>
    <w:rsid w:val="00BF0734"/>
    <w:rsid w:val="00BF0923"/>
    <w:rsid w:val="00BF0ABC"/>
    <w:rsid w:val="00BF168E"/>
    <w:rsid w:val="00BF1B1E"/>
    <w:rsid w:val="00BF3530"/>
    <w:rsid w:val="00BF3C9E"/>
    <w:rsid w:val="00BF3E44"/>
    <w:rsid w:val="00BF419A"/>
    <w:rsid w:val="00BF49F3"/>
    <w:rsid w:val="00BF4CFE"/>
    <w:rsid w:val="00BF4E75"/>
    <w:rsid w:val="00BF5014"/>
    <w:rsid w:val="00BF503D"/>
    <w:rsid w:val="00BF568A"/>
    <w:rsid w:val="00BF5777"/>
    <w:rsid w:val="00BF57B2"/>
    <w:rsid w:val="00BF5863"/>
    <w:rsid w:val="00BF5A85"/>
    <w:rsid w:val="00BF5CB6"/>
    <w:rsid w:val="00BF5EF8"/>
    <w:rsid w:val="00BF5F8B"/>
    <w:rsid w:val="00BF60D5"/>
    <w:rsid w:val="00BF647D"/>
    <w:rsid w:val="00BF7503"/>
    <w:rsid w:val="00BF7B60"/>
    <w:rsid w:val="00BF7BEC"/>
    <w:rsid w:val="00BF7EB9"/>
    <w:rsid w:val="00BF7EE4"/>
    <w:rsid w:val="00C00109"/>
    <w:rsid w:val="00C00180"/>
    <w:rsid w:val="00C004BD"/>
    <w:rsid w:val="00C004E2"/>
    <w:rsid w:val="00C00B07"/>
    <w:rsid w:val="00C00FEE"/>
    <w:rsid w:val="00C010F2"/>
    <w:rsid w:val="00C0138D"/>
    <w:rsid w:val="00C02389"/>
    <w:rsid w:val="00C02787"/>
    <w:rsid w:val="00C02D22"/>
    <w:rsid w:val="00C0380D"/>
    <w:rsid w:val="00C03D99"/>
    <w:rsid w:val="00C0409A"/>
    <w:rsid w:val="00C0437D"/>
    <w:rsid w:val="00C04696"/>
    <w:rsid w:val="00C049B4"/>
    <w:rsid w:val="00C04BEB"/>
    <w:rsid w:val="00C04E18"/>
    <w:rsid w:val="00C05754"/>
    <w:rsid w:val="00C05D1D"/>
    <w:rsid w:val="00C05DD6"/>
    <w:rsid w:val="00C05FC5"/>
    <w:rsid w:val="00C062B6"/>
    <w:rsid w:val="00C065A9"/>
    <w:rsid w:val="00C06DDA"/>
    <w:rsid w:val="00C07052"/>
    <w:rsid w:val="00C0732F"/>
    <w:rsid w:val="00C0749A"/>
    <w:rsid w:val="00C07747"/>
    <w:rsid w:val="00C07924"/>
    <w:rsid w:val="00C103B8"/>
    <w:rsid w:val="00C10F27"/>
    <w:rsid w:val="00C10FE7"/>
    <w:rsid w:val="00C1109F"/>
    <w:rsid w:val="00C1210D"/>
    <w:rsid w:val="00C123AC"/>
    <w:rsid w:val="00C126D2"/>
    <w:rsid w:val="00C126FF"/>
    <w:rsid w:val="00C131C7"/>
    <w:rsid w:val="00C13365"/>
    <w:rsid w:val="00C1337B"/>
    <w:rsid w:val="00C136A4"/>
    <w:rsid w:val="00C1442F"/>
    <w:rsid w:val="00C14EB5"/>
    <w:rsid w:val="00C14F1E"/>
    <w:rsid w:val="00C15D07"/>
    <w:rsid w:val="00C16320"/>
    <w:rsid w:val="00C166F1"/>
    <w:rsid w:val="00C16F28"/>
    <w:rsid w:val="00C17908"/>
    <w:rsid w:val="00C17CE3"/>
    <w:rsid w:val="00C20485"/>
    <w:rsid w:val="00C20D16"/>
    <w:rsid w:val="00C210FB"/>
    <w:rsid w:val="00C21179"/>
    <w:rsid w:val="00C22000"/>
    <w:rsid w:val="00C23351"/>
    <w:rsid w:val="00C23589"/>
    <w:rsid w:val="00C23615"/>
    <w:rsid w:val="00C23DCF"/>
    <w:rsid w:val="00C23DEB"/>
    <w:rsid w:val="00C2491D"/>
    <w:rsid w:val="00C24966"/>
    <w:rsid w:val="00C24BF7"/>
    <w:rsid w:val="00C24EF0"/>
    <w:rsid w:val="00C252CC"/>
    <w:rsid w:val="00C25850"/>
    <w:rsid w:val="00C2594D"/>
    <w:rsid w:val="00C25977"/>
    <w:rsid w:val="00C26346"/>
    <w:rsid w:val="00C26DDE"/>
    <w:rsid w:val="00C271CD"/>
    <w:rsid w:val="00C2734F"/>
    <w:rsid w:val="00C27482"/>
    <w:rsid w:val="00C275D2"/>
    <w:rsid w:val="00C27ABB"/>
    <w:rsid w:val="00C27FC5"/>
    <w:rsid w:val="00C30178"/>
    <w:rsid w:val="00C3113E"/>
    <w:rsid w:val="00C312C8"/>
    <w:rsid w:val="00C31356"/>
    <w:rsid w:val="00C31443"/>
    <w:rsid w:val="00C31E9C"/>
    <w:rsid w:val="00C31ED3"/>
    <w:rsid w:val="00C320A7"/>
    <w:rsid w:val="00C32700"/>
    <w:rsid w:val="00C32802"/>
    <w:rsid w:val="00C32C6E"/>
    <w:rsid w:val="00C33B21"/>
    <w:rsid w:val="00C33F58"/>
    <w:rsid w:val="00C3429A"/>
    <w:rsid w:val="00C347FD"/>
    <w:rsid w:val="00C354A8"/>
    <w:rsid w:val="00C356E4"/>
    <w:rsid w:val="00C3585A"/>
    <w:rsid w:val="00C359D8"/>
    <w:rsid w:val="00C36244"/>
    <w:rsid w:val="00C367A2"/>
    <w:rsid w:val="00C36B04"/>
    <w:rsid w:val="00C36B49"/>
    <w:rsid w:val="00C36BBA"/>
    <w:rsid w:val="00C36BE9"/>
    <w:rsid w:val="00C36F06"/>
    <w:rsid w:val="00C36FF7"/>
    <w:rsid w:val="00C3717A"/>
    <w:rsid w:val="00C374C2"/>
    <w:rsid w:val="00C3767E"/>
    <w:rsid w:val="00C3780C"/>
    <w:rsid w:val="00C37A22"/>
    <w:rsid w:val="00C37ECF"/>
    <w:rsid w:val="00C4031D"/>
    <w:rsid w:val="00C40528"/>
    <w:rsid w:val="00C40AB3"/>
    <w:rsid w:val="00C41E79"/>
    <w:rsid w:val="00C42024"/>
    <w:rsid w:val="00C42028"/>
    <w:rsid w:val="00C422C7"/>
    <w:rsid w:val="00C425A1"/>
    <w:rsid w:val="00C425DA"/>
    <w:rsid w:val="00C428B8"/>
    <w:rsid w:val="00C42B66"/>
    <w:rsid w:val="00C434B2"/>
    <w:rsid w:val="00C43B03"/>
    <w:rsid w:val="00C445AB"/>
    <w:rsid w:val="00C44B71"/>
    <w:rsid w:val="00C456D1"/>
    <w:rsid w:val="00C458DC"/>
    <w:rsid w:val="00C45960"/>
    <w:rsid w:val="00C459FD"/>
    <w:rsid w:val="00C45AB1"/>
    <w:rsid w:val="00C45D5F"/>
    <w:rsid w:val="00C4640F"/>
    <w:rsid w:val="00C46D51"/>
    <w:rsid w:val="00C46F67"/>
    <w:rsid w:val="00C472B2"/>
    <w:rsid w:val="00C47465"/>
    <w:rsid w:val="00C4764F"/>
    <w:rsid w:val="00C4785A"/>
    <w:rsid w:val="00C47B43"/>
    <w:rsid w:val="00C47E4E"/>
    <w:rsid w:val="00C47E65"/>
    <w:rsid w:val="00C501AF"/>
    <w:rsid w:val="00C50806"/>
    <w:rsid w:val="00C50886"/>
    <w:rsid w:val="00C50A88"/>
    <w:rsid w:val="00C50D0D"/>
    <w:rsid w:val="00C50DAA"/>
    <w:rsid w:val="00C51931"/>
    <w:rsid w:val="00C53ABB"/>
    <w:rsid w:val="00C53BD6"/>
    <w:rsid w:val="00C540D5"/>
    <w:rsid w:val="00C54476"/>
    <w:rsid w:val="00C54512"/>
    <w:rsid w:val="00C54804"/>
    <w:rsid w:val="00C5534F"/>
    <w:rsid w:val="00C55548"/>
    <w:rsid w:val="00C55B90"/>
    <w:rsid w:val="00C56201"/>
    <w:rsid w:val="00C57DB3"/>
    <w:rsid w:val="00C57FBA"/>
    <w:rsid w:val="00C6001E"/>
    <w:rsid w:val="00C60B5E"/>
    <w:rsid w:val="00C60B9F"/>
    <w:rsid w:val="00C6105B"/>
    <w:rsid w:val="00C61146"/>
    <w:rsid w:val="00C61435"/>
    <w:rsid w:val="00C614D4"/>
    <w:rsid w:val="00C61A05"/>
    <w:rsid w:val="00C61D2D"/>
    <w:rsid w:val="00C62071"/>
    <w:rsid w:val="00C62C84"/>
    <w:rsid w:val="00C6314E"/>
    <w:rsid w:val="00C63175"/>
    <w:rsid w:val="00C6373A"/>
    <w:rsid w:val="00C63D9C"/>
    <w:rsid w:val="00C63F4D"/>
    <w:rsid w:val="00C64061"/>
    <w:rsid w:val="00C6483C"/>
    <w:rsid w:val="00C64CCD"/>
    <w:rsid w:val="00C64EA2"/>
    <w:rsid w:val="00C65373"/>
    <w:rsid w:val="00C6538F"/>
    <w:rsid w:val="00C654F4"/>
    <w:rsid w:val="00C65BDD"/>
    <w:rsid w:val="00C65FF3"/>
    <w:rsid w:val="00C664AD"/>
    <w:rsid w:val="00C66578"/>
    <w:rsid w:val="00C667B8"/>
    <w:rsid w:val="00C66FDA"/>
    <w:rsid w:val="00C671E3"/>
    <w:rsid w:val="00C678E0"/>
    <w:rsid w:val="00C67B59"/>
    <w:rsid w:val="00C67E84"/>
    <w:rsid w:val="00C67EE3"/>
    <w:rsid w:val="00C700F5"/>
    <w:rsid w:val="00C7013C"/>
    <w:rsid w:val="00C703A6"/>
    <w:rsid w:val="00C707B7"/>
    <w:rsid w:val="00C7089F"/>
    <w:rsid w:val="00C71068"/>
    <w:rsid w:val="00C7147E"/>
    <w:rsid w:val="00C7182F"/>
    <w:rsid w:val="00C720F2"/>
    <w:rsid w:val="00C72C08"/>
    <w:rsid w:val="00C72F0E"/>
    <w:rsid w:val="00C736F7"/>
    <w:rsid w:val="00C73752"/>
    <w:rsid w:val="00C73F64"/>
    <w:rsid w:val="00C745E4"/>
    <w:rsid w:val="00C74C78"/>
    <w:rsid w:val="00C75875"/>
    <w:rsid w:val="00C75D6A"/>
    <w:rsid w:val="00C75FD5"/>
    <w:rsid w:val="00C76969"/>
    <w:rsid w:val="00C76BBC"/>
    <w:rsid w:val="00C76C3F"/>
    <w:rsid w:val="00C7743F"/>
    <w:rsid w:val="00C774AC"/>
    <w:rsid w:val="00C77805"/>
    <w:rsid w:val="00C77977"/>
    <w:rsid w:val="00C80497"/>
    <w:rsid w:val="00C809CA"/>
    <w:rsid w:val="00C809F4"/>
    <w:rsid w:val="00C80D9C"/>
    <w:rsid w:val="00C80DC7"/>
    <w:rsid w:val="00C8153B"/>
    <w:rsid w:val="00C817F3"/>
    <w:rsid w:val="00C8205F"/>
    <w:rsid w:val="00C82711"/>
    <w:rsid w:val="00C828C1"/>
    <w:rsid w:val="00C8312D"/>
    <w:rsid w:val="00C831D8"/>
    <w:rsid w:val="00C83A9E"/>
    <w:rsid w:val="00C8428B"/>
    <w:rsid w:val="00C84447"/>
    <w:rsid w:val="00C84803"/>
    <w:rsid w:val="00C848F8"/>
    <w:rsid w:val="00C8537B"/>
    <w:rsid w:val="00C853EF"/>
    <w:rsid w:val="00C856E4"/>
    <w:rsid w:val="00C8680B"/>
    <w:rsid w:val="00C87390"/>
    <w:rsid w:val="00C901C8"/>
    <w:rsid w:val="00C907B2"/>
    <w:rsid w:val="00C9098B"/>
    <w:rsid w:val="00C91121"/>
    <w:rsid w:val="00C91464"/>
    <w:rsid w:val="00C917A0"/>
    <w:rsid w:val="00C91AF7"/>
    <w:rsid w:val="00C91D40"/>
    <w:rsid w:val="00C921B1"/>
    <w:rsid w:val="00C92829"/>
    <w:rsid w:val="00C928BB"/>
    <w:rsid w:val="00C928FE"/>
    <w:rsid w:val="00C93AAC"/>
    <w:rsid w:val="00C93C8C"/>
    <w:rsid w:val="00C93D98"/>
    <w:rsid w:val="00C93DD3"/>
    <w:rsid w:val="00C93F9C"/>
    <w:rsid w:val="00C943E8"/>
    <w:rsid w:val="00C9459A"/>
    <w:rsid w:val="00C94EEA"/>
    <w:rsid w:val="00C94F16"/>
    <w:rsid w:val="00C95AB6"/>
    <w:rsid w:val="00C95E66"/>
    <w:rsid w:val="00C95EFB"/>
    <w:rsid w:val="00C96420"/>
    <w:rsid w:val="00C96FAD"/>
    <w:rsid w:val="00C97E4E"/>
    <w:rsid w:val="00CA0A35"/>
    <w:rsid w:val="00CA14AB"/>
    <w:rsid w:val="00CA14CD"/>
    <w:rsid w:val="00CA1D00"/>
    <w:rsid w:val="00CA2231"/>
    <w:rsid w:val="00CA2C56"/>
    <w:rsid w:val="00CA2F4C"/>
    <w:rsid w:val="00CA302E"/>
    <w:rsid w:val="00CA311D"/>
    <w:rsid w:val="00CA31A3"/>
    <w:rsid w:val="00CA37FC"/>
    <w:rsid w:val="00CA38BA"/>
    <w:rsid w:val="00CA3DB2"/>
    <w:rsid w:val="00CA3F53"/>
    <w:rsid w:val="00CA4F0D"/>
    <w:rsid w:val="00CA5681"/>
    <w:rsid w:val="00CA5891"/>
    <w:rsid w:val="00CA6310"/>
    <w:rsid w:val="00CA654A"/>
    <w:rsid w:val="00CA65C2"/>
    <w:rsid w:val="00CA6796"/>
    <w:rsid w:val="00CA6924"/>
    <w:rsid w:val="00CA6C35"/>
    <w:rsid w:val="00CA702E"/>
    <w:rsid w:val="00CA73E4"/>
    <w:rsid w:val="00CA75FF"/>
    <w:rsid w:val="00CA7D86"/>
    <w:rsid w:val="00CB0405"/>
    <w:rsid w:val="00CB0C93"/>
    <w:rsid w:val="00CB0CA8"/>
    <w:rsid w:val="00CB0CC6"/>
    <w:rsid w:val="00CB12B7"/>
    <w:rsid w:val="00CB13DB"/>
    <w:rsid w:val="00CB1884"/>
    <w:rsid w:val="00CB1A84"/>
    <w:rsid w:val="00CB1C14"/>
    <w:rsid w:val="00CB22AB"/>
    <w:rsid w:val="00CB22C8"/>
    <w:rsid w:val="00CB2384"/>
    <w:rsid w:val="00CB2876"/>
    <w:rsid w:val="00CB2E75"/>
    <w:rsid w:val="00CB3AE8"/>
    <w:rsid w:val="00CB3B24"/>
    <w:rsid w:val="00CB3F99"/>
    <w:rsid w:val="00CB4498"/>
    <w:rsid w:val="00CB44E4"/>
    <w:rsid w:val="00CB4520"/>
    <w:rsid w:val="00CB499C"/>
    <w:rsid w:val="00CB4FA8"/>
    <w:rsid w:val="00CB500F"/>
    <w:rsid w:val="00CB5171"/>
    <w:rsid w:val="00CB526C"/>
    <w:rsid w:val="00CB53EB"/>
    <w:rsid w:val="00CB6263"/>
    <w:rsid w:val="00CB669D"/>
    <w:rsid w:val="00CB6B3B"/>
    <w:rsid w:val="00CB6E00"/>
    <w:rsid w:val="00CB6F08"/>
    <w:rsid w:val="00CB6F35"/>
    <w:rsid w:val="00CB6FBF"/>
    <w:rsid w:val="00CB7038"/>
    <w:rsid w:val="00CB726F"/>
    <w:rsid w:val="00CB7812"/>
    <w:rsid w:val="00CC07B0"/>
    <w:rsid w:val="00CC0C83"/>
    <w:rsid w:val="00CC10CB"/>
    <w:rsid w:val="00CC1356"/>
    <w:rsid w:val="00CC1B85"/>
    <w:rsid w:val="00CC1CC0"/>
    <w:rsid w:val="00CC1D1C"/>
    <w:rsid w:val="00CC1FEA"/>
    <w:rsid w:val="00CC2471"/>
    <w:rsid w:val="00CC25B0"/>
    <w:rsid w:val="00CC2A03"/>
    <w:rsid w:val="00CC2D49"/>
    <w:rsid w:val="00CC37E8"/>
    <w:rsid w:val="00CC3A0A"/>
    <w:rsid w:val="00CC40B4"/>
    <w:rsid w:val="00CC43A8"/>
    <w:rsid w:val="00CC45B8"/>
    <w:rsid w:val="00CC47A7"/>
    <w:rsid w:val="00CC4900"/>
    <w:rsid w:val="00CC4FF5"/>
    <w:rsid w:val="00CC57F9"/>
    <w:rsid w:val="00CC5AD2"/>
    <w:rsid w:val="00CC5FD1"/>
    <w:rsid w:val="00CC6499"/>
    <w:rsid w:val="00CC681D"/>
    <w:rsid w:val="00CC6903"/>
    <w:rsid w:val="00CC6C49"/>
    <w:rsid w:val="00CC707F"/>
    <w:rsid w:val="00CC741D"/>
    <w:rsid w:val="00CC79D9"/>
    <w:rsid w:val="00CD09AB"/>
    <w:rsid w:val="00CD0DA0"/>
    <w:rsid w:val="00CD137C"/>
    <w:rsid w:val="00CD143B"/>
    <w:rsid w:val="00CD15E6"/>
    <w:rsid w:val="00CD1F8F"/>
    <w:rsid w:val="00CD2004"/>
    <w:rsid w:val="00CD2A9A"/>
    <w:rsid w:val="00CD2DB0"/>
    <w:rsid w:val="00CD2DE0"/>
    <w:rsid w:val="00CD2E11"/>
    <w:rsid w:val="00CD2FAF"/>
    <w:rsid w:val="00CD3133"/>
    <w:rsid w:val="00CD319B"/>
    <w:rsid w:val="00CD32FF"/>
    <w:rsid w:val="00CD38B8"/>
    <w:rsid w:val="00CD3DBE"/>
    <w:rsid w:val="00CD3F41"/>
    <w:rsid w:val="00CD4390"/>
    <w:rsid w:val="00CD43B8"/>
    <w:rsid w:val="00CD4791"/>
    <w:rsid w:val="00CD5025"/>
    <w:rsid w:val="00CD520B"/>
    <w:rsid w:val="00CD563D"/>
    <w:rsid w:val="00CD5B6C"/>
    <w:rsid w:val="00CD643C"/>
    <w:rsid w:val="00CD6739"/>
    <w:rsid w:val="00CD6A06"/>
    <w:rsid w:val="00CD6A26"/>
    <w:rsid w:val="00CD6D1D"/>
    <w:rsid w:val="00CD6D83"/>
    <w:rsid w:val="00CD7330"/>
    <w:rsid w:val="00CD74EA"/>
    <w:rsid w:val="00CE0497"/>
    <w:rsid w:val="00CE05BC"/>
    <w:rsid w:val="00CE074E"/>
    <w:rsid w:val="00CE0ABD"/>
    <w:rsid w:val="00CE0E7A"/>
    <w:rsid w:val="00CE0FB6"/>
    <w:rsid w:val="00CE102D"/>
    <w:rsid w:val="00CE1113"/>
    <w:rsid w:val="00CE1185"/>
    <w:rsid w:val="00CE1462"/>
    <w:rsid w:val="00CE153C"/>
    <w:rsid w:val="00CE1978"/>
    <w:rsid w:val="00CE287D"/>
    <w:rsid w:val="00CE36AD"/>
    <w:rsid w:val="00CE36BF"/>
    <w:rsid w:val="00CE36E0"/>
    <w:rsid w:val="00CE43C9"/>
    <w:rsid w:val="00CE44DB"/>
    <w:rsid w:val="00CE5137"/>
    <w:rsid w:val="00CE55E7"/>
    <w:rsid w:val="00CE5DDF"/>
    <w:rsid w:val="00CE62FD"/>
    <w:rsid w:val="00CE66B6"/>
    <w:rsid w:val="00CE6F67"/>
    <w:rsid w:val="00CE6FB6"/>
    <w:rsid w:val="00CE7057"/>
    <w:rsid w:val="00CE712C"/>
    <w:rsid w:val="00CE77E4"/>
    <w:rsid w:val="00CE7822"/>
    <w:rsid w:val="00CE7882"/>
    <w:rsid w:val="00CE79F3"/>
    <w:rsid w:val="00CE7C5E"/>
    <w:rsid w:val="00CF00D1"/>
    <w:rsid w:val="00CF087E"/>
    <w:rsid w:val="00CF0B3A"/>
    <w:rsid w:val="00CF0CFC"/>
    <w:rsid w:val="00CF1413"/>
    <w:rsid w:val="00CF1E4C"/>
    <w:rsid w:val="00CF2FBF"/>
    <w:rsid w:val="00CF2FF5"/>
    <w:rsid w:val="00CF3799"/>
    <w:rsid w:val="00CF3B09"/>
    <w:rsid w:val="00CF47C5"/>
    <w:rsid w:val="00CF4C05"/>
    <w:rsid w:val="00CF57C3"/>
    <w:rsid w:val="00CF5F3C"/>
    <w:rsid w:val="00CF639C"/>
    <w:rsid w:val="00CF6513"/>
    <w:rsid w:val="00CF66E8"/>
    <w:rsid w:val="00CF6A85"/>
    <w:rsid w:val="00CF7590"/>
    <w:rsid w:val="00CF7779"/>
    <w:rsid w:val="00CF7CA1"/>
    <w:rsid w:val="00D0004D"/>
    <w:rsid w:val="00D004D7"/>
    <w:rsid w:val="00D0097D"/>
    <w:rsid w:val="00D00BFC"/>
    <w:rsid w:val="00D00CA3"/>
    <w:rsid w:val="00D01CCE"/>
    <w:rsid w:val="00D01D20"/>
    <w:rsid w:val="00D01FBD"/>
    <w:rsid w:val="00D01FC9"/>
    <w:rsid w:val="00D020F6"/>
    <w:rsid w:val="00D0215E"/>
    <w:rsid w:val="00D02B0F"/>
    <w:rsid w:val="00D03018"/>
    <w:rsid w:val="00D0354E"/>
    <w:rsid w:val="00D0356A"/>
    <w:rsid w:val="00D03810"/>
    <w:rsid w:val="00D03894"/>
    <w:rsid w:val="00D03A41"/>
    <w:rsid w:val="00D03ACB"/>
    <w:rsid w:val="00D041A9"/>
    <w:rsid w:val="00D0460E"/>
    <w:rsid w:val="00D04A4C"/>
    <w:rsid w:val="00D055E9"/>
    <w:rsid w:val="00D05713"/>
    <w:rsid w:val="00D07543"/>
    <w:rsid w:val="00D07776"/>
    <w:rsid w:val="00D100F1"/>
    <w:rsid w:val="00D10142"/>
    <w:rsid w:val="00D10163"/>
    <w:rsid w:val="00D10367"/>
    <w:rsid w:val="00D1059B"/>
    <w:rsid w:val="00D107DE"/>
    <w:rsid w:val="00D115BC"/>
    <w:rsid w:val="00D11908"/>
    <w:rsid w:val="00D11D04"/>
    <w:rsid w:val="00D1238D"/>
    <w:rsid w:val="00D12FE8"/>
    <w:rsid w:val="00D13F26"/>
    <w:rsid w:val="00D14593"/>
    <w:rsid w:val="00D14787"/>
    <w:rsid w:val="00D14881"/>
    <w:rsid w:val="00D15130"/>
    <w:rsid w:val="00D151EE"/>
    <w:rsid w:val="00D157EB"/>
    <w:rsid w:val="00D16499"/>
    <w:rsid w:val="00D16538"/>
    <w:rsid w:val="00D16C78"/>
    <w:rsid w:val="00D175CC"/>
    <w:rsid w:val="00D176C2"/>
    <w:rsid w:val="00D200BA"/>
    <w:rsid w:val="00D20478"/>
    <w:rsid w:val="00D2162F"/>
    <w:rsid w:val="00D21C49"/>
    <w:rsid w:val="00D22572"/>
    <w:rsid w:val="00D225A4"/>
    <w:rsid w:val="00D22B82"/>
    <w:rsid w:val="00D22FE5"/>
    <w:rsid w:val="00D23302"/>
    <w:rsid w:val="00D235B3"/>
    <w:rsid w:val="00D23667"/>
    <w:rsid w:val="00D23F11"/>
    <w:rsid w:val="00D24429"/>
    <w:rsid w:val="00D24A82"/>
    <w:rsid w:val="00D25724"/>
    <w:rsid w:val="00D25A3F"/>
    <w:rsid w:val="00D26114"/>
    <w:rsid w:val="00D2682F"/>
    <w:rsid w:val="00D27490"/>
    <w:rsid w:val="00D275F4"/>
    <w:rsid w:val="00D27F3B"/>
    <w:rsid w:val="00D30085"/>
    <w:rsid w:val="00D30858"/>
    <w:rsid w:val="00D3097C"/>
    <w:rsid w:val="00D30A24"/>
    <w:rsid w:val="00D30A78"/>
    <w:rsid w:val="00D311BC"/>
    <w:rsid w:val="00D3136E"/>
    <w:rsid w:val="00D31442"/>
    <w:rsid w:val="00D314A8"/>
    <w:rsid w:val="00D31EE3"/>
    <w:rsid w:val="00D325D9"/>
    <w:rsid w:val="00D326C7"/>
    <w:rsid w:val="00D327E0"/>
    <w:rsid w:val="00D329B3"/>
    <w:rsid w:val="00D32A24"/>
    <w:rsid w:val="00D32A76"/>
    <w:rsid w:val="00D32B4E"/>
    <w:rsid w:val="00D32B72"/>
    <w:rsid w:val="00D32C51"/>
    <w:rsid w:val="00D32DC4"/>
    <w:rsid w:val="00D32F86"/>
    <w:rsid w:val="00D33C67"/>
    <w:rsid w:val="00D3448C"/>
    <w:rsid w:val="00D345A1"/>
    <w:rsid w:val="00D348B8"/>
    <w:rsid w:val="00D34BEE"/>
    <w:rsid w:val="00D35480"/>
    <w:rsid w:val="00D357C5"/>
    <w:rsid w:val="00D359FF"/>
    <w:rsid w:val="00D35CCC"/>
    <w:rsid w:val="00D35E22"/>
    <w:rsid w:val="00D366A2"/>
    <w:rsid w:val="00D366FA"/>
    <w:rsid w:val="00D3708A"/>
    <w:rsid w:val="00D3754C"/>
    <w:rsid w:val="00D3792B"/>
    <w:rsid w:val="00D37C2C"/>
    <w:rsid w:val="00D37CB1"/>
    <w:rsid w:val="00D4078D"/>
    <w:rsid w:val="00D41168"/>
    <w:rsid w:val="00D414AE"/>
    <w:rsid w:val="00D4185E"/>
    <w:rsid w:val="00D41A38"/>
    <w:rsid w:val="00D41B6D"/>
    <w:rsid w:val="00D41FF0"/>
    <w:rsid w:val="00D42441"/>
    <w:rsid w:val="00D425D2"/>
    <w:rsid w:val="00D42731"/>
    <w:rsid w:val="00D42A17"/>
    <w:rsid w:val="00D430F8"/>
    <w:rsid w:val="00D4336B"/>
    <w:rsid w:val="00D43431"/>
    <w:rsid w:val="00D43833"/>
    <w:rsid w:val="00D43A0A"/>
    <w:rsid w:val="00D43A14"/>
    <w:rsid w:val="00D43B7F"/>
    <w:rsid w:val="00D43CE7"/>
    <w:rsid w:val="00D45825"/>
    <w:rsid w:val="00D45ACC"/>
    <w:rsid w:val="00D45C4E"/>
    <w:rsid w:val="00D471A5"/>
    <w:rsid w:val="00D47806"/>
    <w:rsid w:val="00D47AC1"/>
    <w:rsid w:val="00D47BBE"/>
    <w:rsid w:val="00D500B3"/>
    <w:rsid w:val="00D500EA"/>
    <w:rsid w:val="00D50336"/>
    <w:rsid w:val="00D5040F"/>
    <w:rsid w:val="00D50979"/>
    <w:rsid w:val="00D50A65"/>
    <w:rsid w:val="00D51037"/>
    <w:rsid w:val="00D510B7"/>
    <w:rsid w:val="00D51578"/>
    <w:rsid w:val="00D51708"/>
    <w:rsid w:val="00D52117"/>
    <w:rsid w:val="00D52222"/>
    <w:rsid w:val="00D52506"/>
    <w:rsid w:val="00D52E37"/>
    <w:rsid w:val="00D530E6"/>
    <w:rsid w:val="00D53212"/>
    <w:rsid w:val="00D533E6"/>
    <w:rsid w:val="00D54586"/>
    <w:rsid w:val="00D55797"/>
    <w:rsid w:val="00D5595C"/>
    <w:rsid w:val="00D55B95"/>
    <w:rsid w:val="00D560DD"/>
    <w:rsid w:val="00D5614D"/>
    <w:rsid w:val="00D56304"/>
    <w:rsid w:val="00D5652B"/>
    <w:rsid w:val="00D5656D"/>
    <w:rsid w:val="00D56B79"/>
    <w:rsid w:val="00D56BE3"/>
    <w:rsid w:val="00D5714F"/>
    <w:rsid w:val="00D579C4"/>
    <w:rsid w:val="00D600A2"/>
    <w:rsid w:val="00D60CC9"/>
    <w:rsid w:val="00D613B7"/>
    <w:rsid w:val="00D61B1C"/>
    <w:rsid w:val="00D62032"/>
    <w:rsid w:val="00D62553"/>
    <w:rsid w:val="00D62D45"/>
    <w:rsid w:val="00D636C0"/>
    <w:rsid w:val="00D6373C"/>
    <w:rsid w:val="00D641EE"/>
    <w:rsid w:val="00D64DB1"/>
    <w:rsid w:val="00D65676"/>
    <w:rsid w:val="00D65717"/>
    <w:rsid w:val="00D658D4"/>
    <w:rsid w:val="00D65C08"/>
    <w:rsid w:val="00D65DB7"/>
    <w:rsid w:val="00D6605C"/>
    <w:rsid w:val="00D661BA"/>
    <w:rsid w:val="00D66E7F"/>
    <w:rsid w:val="00D67B5D"/>
    <w:rsid w:val="00D67BDD"/>
    <w:rsid w:val="00D70465"/>
    <w:rsid w:val="00D7055B"/>
    <w:rsid w:val="00D70A50"/>
    <w:rsid w:val="00D70EED"/>
    <w:rsid w:val="00D71019"/>
    <w:rsid w:val="00D71B6C"/>
    <w:rsid w:val="00D71BD6"/>
    <w:rsid w:val="00D71DEF"/>
    <w:rsid w:val="00D7209C"/>
    <w:rsid w:val="00D72272"/>
    <w:rsid w:val="00D724CF"/>
    <w:rsid w:val="00D7279D"/>
    <w:rsid w:val="00D72B5F"/>
    <w:rsid w:val="00D72BE1"/>
    <w:rsid w:val="00D73160"/>
    <w:rsid w:val="00D7342D"/>
    <w:rsid w:val="00D7391E"/>
    <w:rsid w:val="00D73DFC"/>
    <w:rsid w:val="00D740A8"/>
    <w:rsid w:val="00D74B6D"/>
    <w:rsid w:val="00D74E96"/>
    <w:rsid w:val="00D74F6C"/>
    <w:rsid w:val="00D751DC"/>
    <w:rsid w:val="00D75387"/>
    <w:rsid w:val="00D7554A"/>
    <w:rsid w:val="00D75663"/>
    <w:rsid w:val="00D75E33"/>
    <w:rsid w:val="00D76C54"/>
    <w:rsid w:val="00D77081"/>
    <w:rsid w:val="00D7721F"/>
    <w:rsid w:val="00D80253"/>
    <w:rsid w:val="00D80269"/>
    <w:rsid w:val="00D808A0"/>
    <w:rsid w:val="00D80AB1"/>
    <w:rsid w:val="00D80C3C"/>
    <w:rsid w:val="00D81235"/>
    <w:rsid w:val="00D81267"/>
    <w:rsid w:val="00D814CC"/>
    <w:rsid w:val="00D81557"/>
    <w:rsid w:val="00D81B9B"/>
    <w:rsid w:val="00D81E8C"/>
    <w:rsid w:val="00D81F51"/>
    <w:rsid w:val="00D822AA"/>
    <w:rsid w:val="00D82806"/>
    <w:rsid w:val="00D829F1"/>
    <w:rsid w:val="00D82DD9"/>
    <w:rsid w:val="00D83CD3"/>
    <w:rsid w:val="00D83F08"/>
    <w:rsid w:val="00D84228"/>
    <w:rsid w:val="00D84242"/>
    <w:rsid w:val="00D84327"/>
    <w:rsid w:val="00D84A5C"/>
    <w:rsid w:val="00D85027"/>
    <w:rsid w:val="00D85538"/>
    <w:rsid w:val="00D8596F"/>
    <w:rsid w:val="00D85AC4"/>
    <w:rsid w:val="00D85ADD"/>
    <w:rsid w:val="00D85DC5"/>
    <w:rsid w:val="00D85E4E"/>
    <w:rsid w:val="00D85ECC"/>
    <w:rsid w:val="00D865BE"/>
    <w:rsid w:val="00D86677"/>
    <w:rsid w:val="00D86769"/>
    <w:rsid w:val="00D867E0"/>
    <w:rsid w:val="00D86ACD"/>
    <w:rsid w:val="00D879DC"/>
    <w:rsid w:val="00D87F85"/>
    <w:rsid w:val="00D902CC"/>
    <w:rsid w:val="00D90320"/>
    <w:rsid w:val="00D90373"/>
    <w:rsid w:val="00D912FB"/>
    <w:rsid w:val="00D913ED"/>
    <w:rsid w:val="00D914A7"/>
    <w:rsid w:val="00D91625"/>
    <w:rsid w:val="00D91C79"/>
    <w:rsid w:val="00D91CBD"/>
    <w:rsid w:val="00D924B3"/>
    <w:rsid w:val="00D925FD"/>
    <w:rsid w:val="00D92E06"/>
    <w:rsid w:val="00D93753"/>
    <w:rsid w:val="00D93E4D"/>
    <w:rsid w:val="00D93E51"/>
    <w:rsid w:val="00D943B5"/>
    <w:rsid w:val="00D9467D"/>
    <w:rsid w:val="00D94FD8"/>
    <w:rsid w:val="00D95185"/>
    <w:rsid w:val="00D95555"/>
    <w:rsid w:val="00D95C38"/>
    <w:rsid w:val="00D95E9E"/>
    <w:rsid w:val="00D96F36"/>
    <w:rsid w:val="00D97286"/>
    <w:rsid w:val="00D97396"/>
    <w:rsid w:val="00D97A25"/>
    <w:rsid w:val="00D97BCE"/>
    <w:rsid w:val="00D97C74"/>
    <w:rsid w:val="00D97C95"/>
    <w:rsid w:val="00DA0237"/>
    <w:rsid w:val="00DA13AE"/>
    <w:rsid w:val="00DA1A4D"/>
    <w:rsid w:val="00DA1C9B"/>
    <w:rsid w:val="00DA1DB2"/>
    <w:rsid w:val="00DA23C7"/>
    <w:rsid w:val="00DA2404"/>
    <w:rsid w:val="00DA24ED"/>
    <w:rsid w:val="00DA2B14"/>
    <w:rsid w:val="00DA2BD6"/>
    <w:rsid w:val="00DA2BEA"/>
    <w:rsid w:val="00DA32A6"/>
    <w:rsid w:val="00DA3B46"/>
    <w:rsid w:val="00DA3D91"/>
    <w:rsid w:val="00DA4004"/>
    <w:rsid w:val="00DA458A"/>
    <w:rsid w:val="00DA4EBA"/>
    <w:rsid w:val="00DA556F"/>
    <w:rsid w:val="00DA5C4B"/>
    <w:rsid w:val="00DA6356"/>
    <w:rsid w:val="00DA649E"/>
    <w:rsid w:val="00DA6A00"/>
    <w:rsid w:val="00DA6E70"/>
    <w:rsid w:val="00DA7169"/>
    <w:rsid w:val="00DA770C"/>
    <w:rsid w:val="00DB01F5"/>
    <w:rsid w:val="00DB039E"/>
    <w:rsid w:val="00DB0956"/>
    <w:rsid w:val="00DB1198"/>
    <w:rsid w:val="00DB2B58"/>
    <w:rsid w:val="00DB3372"/>
    <w:rsid w:val="00DB34FE"/>
    <w:rsid w:val="00DB4394"/>
    <w:rsid w:val="00DB4BE6"/>
    <w:rsid w:val="00DB4EAC"/>
    <w:rsid w:val="00DB4F1F"/>
    <w:rsid w:val="00DB590A"/>
    <w:rsid w:val="00DB5B83"/>
    <w:rsid w:val="00DB70E5"/>
    <w:rsid w:val="00DB7249"/>
    <w:rsid w:val="00DB72FB"/>
    <w:rsid w:val="00DB7447"/>
    <w:rsid w:val="00DB7B05"/>
    <w:rsid w:val="00DC019A"/>
    <w:rsid w:val="00DC07A1"/>
    <w:rsid w:val="00DC0919"/>
    <w:rsid w:val="00DC0DD8"/>
    <w:rsid w:val="00DC1167"/>
    <w:rsid w:val="00DC284D"/>
    <w:rsid w:val="00DC28B1"/>
    <w:rsid w:val="00DC2DF5"/>
    <w:rsid w:val="00DC2F2D"/>
    <w:rsid w:val="00DC2F3D"/>
    <w:rsid w:val="00DC31BD"/>
    <w:rsid w:val="00DC3414"/>
    <w:rsid w:val="00DC3957"/>
    <w:rsid w:val="00DC39A0"/>
    <w:rsid w:val="00DC3C46"/>
    <w:rsid w:val="00DC3E35"/>
    <w:rsid w:val="00DC41A0"/>
    <w:rsid w:val="00DC426C"/>
    <w:rsid w:val="00DC4822"/>
    <w:rsid w:val="00DC5982"/>
    <w:rsid w:val="00DC61EF"/>
    <w:rsid w:val="00DC660A"/>
    <w:rsid w:val="00DC66D3"/>
    <w:rsid w:val="00DC68FB"/>
    <w:rsid w:val="00DC74B5"/>
    <w:rsid w:val="00DC77A3"/>
    <w:rsid w:val="00DC7FC3"/>
    <w:rsid w:val="00DD0114"/>
    <w:rsid w:val="00DD04A7"/>
    <w:rsid w:val="00DD08C9"/>
    <w:rsid w:val="00DD0AC7"/>
    <w:rsid w:val="00DD0ADC"/>
    <w:rsid w:val="00DD0D38"/>
    <w:rsid w:val="00DD100B"/>
    <w:rsid w:val="00DD135A"/>
    <w:rsid w:val="00DD1808"/>
    <w:rsid w:val="00DD1979"/>
    <w:rsid w:val="00DD19CA"/>
    <w:rsid w:val="00DD1DB6"/>
    <w:rsid w:val="00DD2D85"/>
    <w:rsid w:val="00DD31AB"/>
    <w:rsid w:val="00DD31C9"/>
    <w:rsid w:val="00DD37FC"/>
    <w:rsid w:val="00DD3EB7"/>
    <w:rsid w:val="00DD3EE0"/>
    <w:rsid w:val="00DD401C"/>
    <w:rsid w:val="00DD503D"/>
    <w:rsid w:val="00DD51F0"/>
    <w:rsid w:val="00DD566E"/>
    <w:rsid w:val="00DD56BB"/>
    <w:rsid w:val="00DD58A2"/>
    <w:rsid w:val="00DD6302"/>
    <w:rsid w:val="00DD6D8C"/>
    <w:rsid w:val="00DD6E61"/>
    <w:rsid w:val="00DD7119"/>
    <w:rsid w:val="00DD7572"/>
    <w:rsid w:val="00DD7888"/>
    <w:rsid w:val="00DD7ADF"/>
    <w:rsid w:val="00DD7C93"/>
    <w:rsid w:val="00DE07DD"/>
    <w:rsid w:val="00DE12A7"/>
    <w:rsid w:val="00DE1833"/>
    <w:rsid w:val="00DE1B71"/>
    <w:rsid w:val="00DE1CA6"/>
    <w:rsid w:val="00DE1CC1"/>
    <w:rsid w:val="00DE3323"/>
    <w:rsid w:val="00DE3A76"/>
    <w:rsid w:val="00DE3D2F"/>
    <w:rsid w:val="00DE43E7"/>
    <w:rsid w:val="00DE5E93"/>
    <w:rsid w:val="00DE6676"/>
    <w:rsid w:val="00DE793C"/>
    <w:rsid w:val="00DE7EC5"/>
    <w:rsid w:val="00DE7FCD"/>
    <w:rsid w:val="00DF0141"/>
    <w:rsid w:val="00DF029F"/>
    <w:rsid w:val="00DF04A5"/>
    <w:rsid w:val="00DF07BE"/>
    <w:rsid w:val="00DF07FD"/>
    <w:rsid w:val="00DF0931"/>
    <w:rsid w:val="00DF0AF2"/>
    <w:rsid w:val="00DF0CF7"/>
    <w:rsid w:val="00DF0F16"/>
    <w:rsid w:val="00DF0F5D"/>
    <w:rsid w:val="00DF10E5"/>
    <w:rsid w:val="00DF13B7"/>
    <w:rsid w:val="00DF13E9"/>
    <w:rsid w:val="00DF142D"/>
    <w:rsid w:val="00DF1DA5"/>
    <w:rsid w:val="00DF34B0"/>
    <w:rsid w:val="00DF3549"/>
    <w:rsid w:val="00DF36F6"/>
    <w:rsid w:val="00DF4603"/>
    <w:rsid w:val="00DF47F9"/>
    <w:rsid w:val="00DF49CD"/>
    <w:rsid w:val="00DF4ADB"/>
    <w:rsid w:val="00DF4BA4"/>
    <w:rsid w:val="00DF4F1B"/>
    <w:rsid w:val="00DF59BF"/>
    <w:rsid w:val="00DF5CA3"/>
    <w:rsid w:val="00DF6163"/>
    <w:rsid w:val="00DF687C"/>
    <w:rsid w:val="00DF6AB0"/>
    <w:rsid w:val="00DF74D2"/>
    <w:rsid w:val="00DF7562"/>
    <w:rsid w:val="00DF7A2C"/>
    <w:rsid w:val="00DF7B32"/>
    <w:rsid w:val="00DF7D21"/>
    <w:rsid w:val="00E0012D"/>
    <w:rsid w:val="00E00243"/>
    <w:rsid w:val="00E00E1F"/>
    <w:rsid w:val="00E00F9E"/>
    <w:rsid w:val="00E01374"/>
    <w:rsid w:val="00E0182A"/>
    <w:rsid w:val="00E019F1"/>
    <w:rsid w:val="00E01B99"/>
    <w:rsid w:val="00E0247D"/>
    <w:rsid w:val="00E027CE"/>
    <w:rsid w:val="00E029FC"/>
    <w:rsid w:val="00E02F32"/>
    <w:rsid w:val="00E0300F"/>
    <w:rsid w:val="00E039AB"/>
    <w:rsid w:val="00E03BD0"/>
    <w:rsid w:val="00E03D06"/>
    <w:rsid w:val="00E03F6C"/>
    <w:rsid w:val="00E04589"/>
    <w:rsid w:val="00E05195"/>
    <w:rsid w:val="00E0532D"/>
    <w:rsid w:val="00E054EA"/>
    <w:rsid w:val="00E05700"/>
    <w:rsid w:val="00E05AD4"/>
    <w:rsid w:val="00E05F52"/>
    <w:rsid w:val="00E06298"/>
    <w:rsid w:val="00E065FE"/>
    <w:rsid w:val="00E07079"/>
    <w:rsid w:val="00E07694"/>
    <w:rsid w:val="00E07961"/>
    <w:rsid w:val="00E079C9"/>
    <w:rsid w:val="00E07CE2"/>
    <w:rsid w:val="00E07CF3"/>
    <w:rsid w:val="00E104E5"/>
    <w:rsid w:val="00E10AD6"/>
    <w:rsid w:val="00E11247"/>
    <w:rsid w:val="00E11364"/>
    <w:rsid w:val="00E113C8"/>
    <w:rsid w:val="00E11D09"/>
    <w:rsid w:val="00E11EE7"/>
    <w:rsid w:val="00E11F8B"/>
    <w:rsid w:val="00E1277C"/>
    <w:rsid w:val="00E12888"/>
    <w:rsid w:val="00E129D9"/>
    <w:rsid w:val="00E12EB2"/>
    <w:rsid w:val="00E135BE"/>
    <w:rsid w:val="00E1385B"/>
    <w:rsid w:val="00E14104"/>
    <w:rsid w:val="00E14CAE"/>
    <w:rsid w:val="00E14DC6"/>
    <w:rsid w:val="00E14F01"/>
    <w:rsid w:val="00E14FBE"/>
    <w:rsid w:val="00E151DE"/>
    <w:rsid w:val="00E153D6"/>
    <w:rsid w:val="00E164AB"/>
    <w:rsid w:val="00E16AD3"/>
    <w:rsid w:val="00E16F3B"/>
    <w:rsid w:val="00E17487"/>
    <w:rsid w:val="00E1751D"/>
    <w:rsid w:val="00E17EC1"/>
    <w:rsid w:val="00E20183"/>
    <w:rsid w:val="00E20CE7"/>
    <w:rsid w:val="00E21460"/>
    <w:rsid w:val="00E215D7"/>
    <w:rsid w:val="00E21AB7"/>
    <w:rsid w:val="00E22069"/>
    <w:rsid w:val="00E22213"/>
    <w:rsid w:val="00E222A4"/>
    <w:rsid w:val="00E22C96"/>
    <w:rsid w:val="00E23352"/>
    <w:rsid w:val="00E23C5B"/>
    <w:rsid w:val="00E23E54"/>
    <w:rsid w:val="00E24039"/>
    <w:rsid w:val="00E24190"/>
    <w:rsid w:val="00E24399"/>
    <w:rsid w:val="00E24E59"/>
    <w:rsid w:val="00E25098"/>
    <w:rsid w:val="00E251E8"/>
    <w:rsid w:val="00E2594F"/>
    <w:rsid w:val="00E25C5B"/>
    <w:rsid w:val="00E26410"/>
    <w:rsid w:val="00E26D2A"/>
    <w:rsid w:val="00E26F06"/>
    <w:rsid w:val="00E27663"/>
    <w:rsid w:val="00E276C3"/>
    <w:rsid w:val="00E27BB2"/>
    <w:rsid w:val="00E27E4B"/>
    <w:rsid w:val="00E27F06"/>
    <w:rsid w:val="00E3094B"/>
    <w:rsid w:val="00E315E2"/>
    <w:rsid w:val="00E31A3B"/>
    <w:rsid w:val="00E326D7"/>
    <w:rsid w:val="00E344E4"/>
    <w:rsid w:val="00E346F6"/>
    <w:rsid w:val="00E3543E"/>
    <w:rsid w:val="00E357FB"/>
    <w:rsid w:val="00E360FF"/>
    <w:rsid w:val="00E36113"/>
    <w:rsid w:val="00E365DE"/>
    <w:rsid w:val="00E3664F"/>
    <w:rsid w:val="00E36985"/>
    <w:rsid w:val="00E36A36"/>
    <w:rsid w:val="00E36E39"/>
    <w:rsid w:val="00E375AA"/>
    <w:rsid w:val="00E37763"/>
    <w:rsid w:val="00E379F7"/>
    <w:rsid w:val="00E37BBA"/>
    <w:rsid w:val="00E37BD1"/>
    <w:rsid w:val="00E37D99"/>
    <w:rsid w:val="00E4004E"/>
    <w:rsid w:val="00E4010F"/>
    <w:rsid w:val="00E40BF6"/>
    <w:rsid w:val="00E41026"/>
    <w:rsid w:val="00E41498"/>
    <w:rsid w:val="00E423B3"/>
    <w:rsid w:val="00E427D0"/>
    <w:rsid w:val="00E42BDB"/>
    <w:rsid w:val="00E43872"/>
    <w:rsid w:val="00E438BA"/>
    <w:rsid w:val="00E439AC"/>
    <w:rsid w:val="00E43C01"/>
    <w:rsid w:val="00E43F7D"/>
    <w:rsid w:val="00E44161"/>
    <w:rsid w:val="00E449E8"/>
    <w:rsid w:val="00E45056"/>
    <w:rsid w:val="00E45547"/>
    <w:rsid w:val="00E45621"/>
    <w:rsid w:val="00E45E4F"/>
    <w:rsid w:val="00E466E0"/>
    <w:rsid w:val="00E46E3C"/>
    <w:rsid w:val="00E46E4F"/>
    <w:rsid w:val="00E471FE"/>
    <w:rsid w:val="00E47468"/>
    <w:rsid w:val="00E47644"/>
    <w:rsid w:val="00E477BE"/>
    <w:rsid w:val="00E47C56"/>
    <w:rsid w:val="00E5002E"/>
    <w:rsid w:val="00E503E0"/>
    <w:rsid w:val="00E50926"/>
    <w:rsid w:val="00E50AA5"/>
    <w:rsid w:val="00E50AAA"/>
    <w:rsid w:val="00E50B0C"/>
    <w:rsid w:val="00E50BC4"/>
    <w:rsid w:val="00E51226"/>
    <w:rsid w:val="00E51BD1"/>
    <w:rsid w:val="00E525CB"/>
    <w:rsid w:val="00E52E5D"/>
    <w:rsid w:val="00E53EE7"/>
    <w:rsid w:val="00E5465E"/>
    <w:rsid w:val="00E54EF6"/>
    <w:rsid w:val="00E5558E"/>
    <w:rsid w:val="00E556DA"/>
    <w:rsid w:val="00E55D0C"/>
    <w:rsid w:val="00E5630E"/>
    <w:rsid w:val="00E572F2"/>
    <w:rsid w:val="00E575BE"/>
    <w:rsid w:val="00E5781E"/>
    <w:rsid w:val="00E57831"/>
    <w:rsid w:val="00E57EC1"/>
    <w:rsid w:val="00E60227"/>
    <w:rsid w:val="00E605ED"/>
    <w:rsid w:val="00E60C1C"/>
    <w:rsid w:val="00E60F38"/>
    <w:rsid w:val="00E61006"/>
    <w:rsid w:val="00E61070"/>
    <w:rsid w:val="00E610DC"/>
    <w:rsid w:val="00E61118"/>
    <w:rsid w:val="00E613BE"/>
    <w:rsid w:val="00E614C7"/>
    <w:rsid w:val="00E61625"/>
    <w:rsid w:val="00E616ED"/>
    <w:rsid w:val="00E61879"/>
    <w:rsid w:val="00E61ED3"/>
    <w:rsid w:val="00E621B6"/>
    <w:rsid w:val="00E62247"/>
    <w:rsid w:val="00E62672"/>
    <w:rsid w:val="00E62738"/>
    <w:rsid w:val="00E631F3"/>
    <w:rsid w:val="00E63A73"/>
    <w:rsid w:val="00E63CDC"/>
    <w:rsid w:val="00E63D17"/>
    <w:rsid w:val="00E63E8B"/>
    <w:rsid w:val="00E63FF4"/>
    <w:rsid w:val="00E64030"/>
    <w:rsid w:val="00E645FC"/>
    <w:rsid w:val="00E64951"/>
    <w:rsid w:val="00E64BC6"/>
    <w:rsid w:val="00E64ED5"/>
    <w:rsid w:val="00E651C7"/>
    <w:rsid w:val="00E652D3"/>
    <w:rsid w:val="00E656FA"/>
    <w:rsid w:val="00E65763"/>
    <w:rsid w:val="00E659CD"/>
    <w:rsid w:val="00E6632A"/>
    <w:rsid w:val="00E66B1D"/>
    <w:rsid w:val="00E66B3E"/>
    <w:rsid w:val="00E66CA3"/>
    <w:rsid w:val="00E6704B"/>
    <w:rsid w:val="00E672D7"/>
    <w:rsid w:val="00E67A44"/>
    <w:rsid w:val="00E700CA"/>
    <w:rsid w:val="00E70139"/>
    <w:rsid w:val="00E701D0"/>
    <w:rsid w:val="00E7041E"/>
    <w:rsid w:val="00E7042D"/>
    <w:rsid w:val="00E704C2"/>
    <w:rsid w:val="00E71056"/>
    <w:rsid w:val="00E71548"/>
    <w:rsid w:val="00E71B54"/>
    <w:rsid w:val="00E71BE6"/>
    <w:rsid w:val="00E71C72"/>
    <w:rsid w:val="00E71C7B"/>
    <w:rsid w:val="00E725B8"/>
    <w:rsid w:val="00E72F48"/>
    <w:rsid w:val="00E7304E"/>
    <w:rsid w:val="00E73CDC"/>
    <w:rsid w:val="00E73D39"/>
    <w:rsid w:val="00E73E46"/>
    <w:rsid w:val="00E73F85"/>
    <w:rsid w:val="00E747DD"/>
    <w:rsid w:val="00E74DF6"/>
    <w:rsid w:val="00E74FB4"/>
    <w:rsid w:val="00E75666"/>
    <w:rsid w:val="00E75801"/>
    <w:rsid w:val="00E76930"/>
    <w:rsid w:val="00E76BF5"/>
    <w:rsid w:val="00E77CCB"/>
    <w:rsid w:val="00E800AD"/>
    <w:rsid w:val="00E80DD3"/>
    <w:rsid w:val="00E812E0"/>
    <w:rsid w:val="00E81A35"/>
    <w:rsid w:val="00E81CAD"/>
    <w:rsid w:val="00E81D37"/>
    <w:rsid w:val="00E81E50"/>
    <w:rsid w:val="00E82406"/>
    <w:rsid w:val="00E82427"/>
    <w:rsid w:val="00E829F7"/>
    <w:rsid w:val="00E8359A"/>
    <w:rsid w:val="00E83956"/>
    <w:rsid w:val="00E8416D"/>
    <w:rsid w:val="00E84BB3"/>
    <w:rsid w:val="00E8593E"/>
    <w:rsid w:val="00E859FE"/>
    <w:rsid w:val="00E85A47"/>
    <w:rsid w:val="00E860CB"/>
    <w:rsid w:val="00E86585"/>
    <w:rsid w:val="00E866BE"/>
    <w:rsid w:val="00E86AF7"/>
    <w:rsid w:val="00E87013"/>
    <w:rsid w:val="00E8795E"/>
    <w:rsid w:val="00E87DFA"/>
    <w:rsid w:val="00E90610"/>
    <w:rsid w:val="00E90696"/>
    <w:rsid w:val="00E90879"/>
    <w:rsid w:val="00E909DB"/>
    <w:rsid w:val="00E910EA"/>
    <w:rsid w:val="00E91195"/>
    <w:rsid w:val="00E916FC"/>
    <w:rsid w:val="00E91D78"/>
    <w:rsid w:val="00E91F0F"/>
    <w:rsid w:val="00E91FC9"/>
    <w:rsid w:val="00E920E8"/>
    <w:rsid w:val="00E92500"/>
    <w:rsid w:val="00E92AB7"/>
    <w:rsid w:val="00E9333E"/>
    <w:rsid w:val="00E93694"/>
    <w:rsid w:val="00E93711"/>
    <w:rsid w:val="00E93CC2"/>
    <w:rsid w:val="00E945DD"/>
    <w:rsid w:val="00E94614"/>
    <w:rsid w:val="00E947E1"/>
    <w:rsid w:val="00E9493C"/>
    <w:rsid w:val="00E949BA"/>
    <w:rsid w:val="00E94C8B"/>
    <w:rsid w:val="00E95027"/>
    <w:rsid w:val="00E95585"/>
    <w:rsid w:val="00E9563F"/>
    <w:rsid w:val="00E95854"/>
    <w:rsid w:val="00E9641A"/>
    <w:rsid w:val="00E9663C"/>
    <w:rsid w:val="00E967E0"/>
    <w:rsid w:val="00E96AFE"/>
    <w:rsid w:val="00E96BAE"/>
    <w:rsid w:val="00E9716B"/>
    <w:rsid w:val="00E9725E"/>
    <w:rsid w:val="00E975E2"/>
    <w:rsid w:val="00E9776E"/>
    <w:rsid w:val="00E9777F"/>
    <w:rsid w:val="00E97A94"/>
    <w:rsid w:val="00E97FB3"/>
    <w:rsid w:val="00EA045F"/>
    <w:rsid w:val="00EA055E"/>
    <w:rsid w:val="00EA0B3B"/>
    <w:rsid w:val="00EA0C8B"/>
    <w:rsid w:val="00EA119F"/>
    <w:rsid w:val="00EA1328"/>
    <w:rsid w:val="00EA13D7"/>
    <w:rsid w:val="00EA2221"/>
    <w:rsid w:val="00EA271E"/>
    <w:rsid w:val="00EA2997"/>
    <w:rsid w:val="00EA2CAD"/>
    <w:rsid w:val="00EA34A4"/>
    <w:rsid w:val="00EA34CA"/>
    <w:rsid w:val="00EA3C52"/>
    <w:rsid w:val="00EA5A19"/>
    <w:rsid w:val="00EA5BBB"/>
    <w:rsid w:val="00EA63A6"/>
    <w:rsid w:val="00EA644F"/>
    <w:rsid w:val="00EA688C"/>
    <w:rsid w:val="00EA6B1E"/>
    <w:rsid w:val="00EA6BE6"/>
    <w:rsid w:val="00EA6F51"/>
    <w:rsid w:val="00EA7236"/>
    <w:rsid w:val="00EA749C"/>
    <w:rsid w:val="00EA7B41"/>
    <w:rsid w:val="00EA7F5F"/>
    <w:rsid w:val="00EB0019"/>
    <w:rsid w:val="00EB01AE"/>
    <w:rsid w:val="00EB03C6"/>
    <w:rsid w:val="00EB055F"/>
    <w:rsid w:val="00EB0608"/>
    <w:rsid w:val="00EB092F"/>
    <w:rsid w:val="00EB0EDC"/>
    <w:rsid w:val="00EB0FF3"/>
    <w:rsid w:val="00EB2179"/>
    <w:rsid w:val="00EB26B0"/>
    <w:rsid w:val="00EB290D"/>
    <w:rsid w:val="00EB2B26"/>
    <w:rsid w:val="00EB371E"/>
    <w:rsid w:val="00EB3907"/>
    <w:rsid w:val="00EB3A18"/>
    <w:rsid w:val="00EB4347"/>
    <w:rsid w:val="00EB485E"/>
    <w:rsid w:val="00EB4A1C"/>
    <w:rsid w:val="00EB4F9B"/>
    <w:rsid w:val="00EB5485"/>
    <w:rsid w:val="00EB54A2"/>
    <w:rsid w:val="00EB54B6"/>
    <w:rsid w:val="00EB5507"/>
    <w:rsid w:val="00EB585C"/>
    <w:rsid w:val="00EB5E2C"/>
    <w:rsid w:val="00EB6070"/>
    <w:rsid w:val="00EB62C2"/>
    <w:rsid w:val="00EB6AE4"/>
    <w:rsid w:val="00EB7041"/>
    <w:rsid w:val="00EB708C"/>
    <w:rsid w:val="00EB752F"/>
    <w:rsid w:val="00EB75EB"/>
    <w:rsid w:val="00EB7A76"/>
    <w:rsid w:val="00EB7BB6"/>
    <w:rsid w:val="00EB7D6B"/>
    <w:rsid w:val="00EC0280"/>
    <w:rsid w:val="00EC0926"/>
    <w:rsid w:val="00EC0F0E"/>
    <w:rsid w:val="00EC13ED"/>
    <w:rsid w:val="00EC170E"/>
    <w:rsid w:val="00EC17A6"/>
    <w:rsid w:val="00EC1A03"/>
    <w:rsid w:val="00EC1FC5"/>
    <w:rsid w:val="00EC217B"/>
    <w:rsid w:val="00EC24E1"/>
    <w:rsid w:val="00EC2B93"/>
    <w:rsid w:val="00EC2E6B"/>
    <w:rsid w:val="00EC3467"/>
    <w:rsid w:val="00EC36E4"/>
    <w:rsid w:val="00EC38D4"/>
    <w:rsid w:val="00EC3C46"/>
    <w:rsid w:val="00EC4280"/>
    <w:rsid w:val="00EC430A"/>
    <w:rsid w:val="00EC4689"/>
    <w:rsid w:val="00EC50C8"/>
    <w:rsid w:val="00EC5A0D"/>
    <w:rsid w:val="00EC5A5B"/>
    <w:rsid w:val="00EC662C"/>
    <w:rsid w:val="00EC6D93"/>
    <w:rsid w:val="00EC6E6D"/>
    <w:rsid w:val="00EC6EC3"/>
    <w:rsid w:val="00EC6F79"/>
    <w:rsid w:val="00EC7010"/>
    <w:rsid w:val="00EC71EE"/>
    <w:rsid w:val="00EC7BD7"/>
    <w:rsid w:val="00EC7CE3"/>
    <w:rsid w:val="00EC7FCF"/>
    <w:rsid w:val="00ED05D1"/>
    <w:rsid w:val="00ED0797"/>
    <w:rsid w:val="00ED0873"/>
    <w:rsid w:val="00ED17F5"/>
    <w:rsid w:val="00ED1E94"/>
    <w:rsid w:val="00ED1FF8"/>
    <w:rsid w:val="00ED2186"/>
    <w:rsid w:val="00ED2268"/>
    <w:rsid w:val="00ED2304"/>
    <w:rsid w:val="00ED2813"/>
    <w:rsid w:val="00ED3D11"/>
    <w:rsid w:val="00ED49A8"/>
    <w:rsid w:val="00ED4E42"/>
    <w:rsid w:val="00ED54DF"/>
    <w:rsid w:val="00ED552E"/>
    <w:rsid w:val="00ED5584"/>
    <w:rsid w:val="00ED55C4"/>
    <w:rsid w:val="00ED5817"/>
    <w:rsid w:val="00ED5C9F"/>
    <w:rsid w:val="00ED6278"/>
    <w:rsid w:val="00ED6490"/>
    <w:rsid w:val="00ED746A"/>
    <w:rsid w:val="00ED748A"/>
    <w:rsid w:val="00ED7557"/>
    <w:rsid w:val="00ED7C6C"/>
    <w:rsid w:val="00EE0948"/>
    <w:rsid w:val="00EE0DB5"/>
    <w:rsid w:val="00EE1313"/>
    <w:rsid w:val="00EE17F7"/>
    <w:rsid w:val="00EE283F"/>
    <w:rsid w:val="00EE2FB7"/>
    <w:rsid w:val="00EE374B"/>
    <w:rsid w:val="00EE3FE2"/>
    <w:rsid w:val="00EE3FFA"/>
    <w:rsid w:val="00EE419F"/>
    <w:rsid w:val="00EE4332"/>
    <w:rsid w:val="00EE4820"/>
    <w:rsid w:val="00EE5420"/>
    <w:rsid w:val="00EE542E"/>
    <w:rsid w:val="00EE55A9"/>
    <w:rsid w:val="00EE55AE"/>
    <w:rsid w:val="00EE5639"/>
    <w:rsid w:val="00EE5819"/>
    <w:rsid w:val="00EE6072"/>
    <w:rsid w:val="00EE6376"/>
    <w:rsid w:val="00EE6E23"/>
    <w:rsid w:val="00EE7C2E"/>
    <w:rsid w:val="00EE7D10"/>
    <w:rsid w:val="00EF00AE"/>
    <w:rsid w:val="00EF0440"/>
    <w:rsid w:val="00EF072C"/>
    <w:rsid w:val="00EF083F"/>
    <w:rsid w:val="00EF0930"/>
    <w:rsid w:val="00EF0AF1"/>
    <w:rsid w:val="00EF0CF0"/>
    <w:rsid w:val="00EF0D38"/>
    <w:rsid w:val="00EF1041"/>
    <w:rsid w:val="00EF1170"/>
    <w:rsid w:val="00EF1320"/>
    <w:rsid w:val="00EF1895"/>
    <w:rsid w:val="00EF1DEF"/>
    <w:rsid w:val="00EF1EF5"/>
    <w:rsid w:val="00EF20A1"/>
    <w:rsid w:val="00EF226D"/>
    <w:rsid w:val="00EF282D"/>
    <w:rsid w:val="00EF2972"/>
    <w:rsid w:val="00EF2B2E"/>
    <w:rsid w:val="00EF3A76"/>
    <w:rsid w:val="00EF3F5C"/>
    <w:rsid w:val="00EF3FCE"/>
    <w:rsid w:val="00EF43EA"/>
    <w:rsid w:val="00EF461C"/>
    <w:rsid w:val="00EF47FD"/>
    <w:rsid w:val="00EF4A7D"/>
    <w:rsid w:val="00EF4E4D"/>
    <w:rsid w:val="00EF5692"/>
    <w:rsid w:val="00EF5756"/>
    <w:rsid w:val="00EF595A"/>
    <w:rsid w:val="00EF657E"/>
    <w:rsid w:val="00EF6AF2"/>
    <w:rsid w:val="00EF6AF8"/>
    <w:rsid w:val="00EF6B42"/>
    <w:rsid w:val="00EF721E"/>
    <w:rsid w:val="00F0048A"/>
    <w:rsid w:val="00F006B5"/>
    <w:rsid w:val="00F00F2C"/>
    <w:rsid w:val="00F017BE"/>
    <w:rsid w:val="00F01CC1"/>
    <w:rsid w:val="00F01CCF"/>
    <w:rsid w:val="00F03747"/>
    <w:rsid w:val="00F03C55"/>
    <w:rsid w:val="00F04394"/>
    <w:rsid w:val="00F045F8"/>
    <w:rsid w:val="00F0465F"/>
    <w:rsid w:val="00F054A0"/>
    <w:rsid w:val="00F0573A"/>
    <w:rsid w:val="00F058CE"/>
    <w:rsid w:val="00F05973"/>
    <w:rsid w:val="00F05E4D"/>
    <w:rsid w:val="00F06346"/>
    <w:rsid w:val="00F06794"/>
    <w:rsid w:val="00F06943"/>
    <w:rsid w:val="00F06BDB"/>
    <w:rsid w:val="00F07B24"/>
    <w:rsid w:val="00F10AB1"/>
    <w:rsid w:val="00F10E8D"/>
    <w:rsid w:val="00F10F00"/>
    <w:rsid w:val="00F122FC"/>
    <w:rsid w:val="00F12683"/>
    <w:rsid w:val="00F1299D"/>
    <w:rsid w:val="00F129EF"/>
    <w:rsid w:val="00F1384F"/>
    <w:rsid w:val="00F13959"/>
    <w:rsid w:val="00F13E8C"/>
    <w:rsid w:val="00F15AA3"/>
    <w:rsid w:val="00F17190"/>
    <w:rsid w:val="00F17454"/>
    <w:rsid w:val="00F1776E"/>
    <w:rsid w:val="00F2035C"/>
    <w:rsid w:val="00F20EDE"/>
    <w:rsid w:val="00F20F44"/>
    <w:rsid w:val="00F2132C"/>
    <w:rsid w:val="00F2133C"/>
    <w:rsid w:val="00F213F6"/>
    <w:rsid w:val="00F2155E"/>
    <w:rsid w:val="00F2159F"/>
    <w:rsid w:val="00F217D6"/>
    <w:rsid w:val="00F21813"/>
    <w:rsid w:val="00F21C1B"/>
    <w:rsid w:val="00F2279B"/>
    <w:rsid w:val="00F227A7"/>
    <w:rsid w:val="00F2364A"/>
    <w:rsid w:val="00F24393"/>
    <w:rsid w:val="00F2498D"/>
    <w:rsid w:val="00F24E5B"/>
    <w:rsid w:val="00F252B9"/>
    <w:rsid w:val="00F2566C"/>
    <w:rsid w:val="00F25F58"/>
    <w:rsid w:val="00F26304"/>
    <w:rsid w:val="00F26312"/>
    <w:rsid w:val="00F26528"/>
    <w:rsid w:val="00F26F06"/>
    <w:rsid w:val="00F275AF"/>
    <w:rsid w:val="00F27DEF"/>
    <w:rsid w:val="00F3086D"/>
    <w:rsid w:val="00F3188D"/>
    <w:rsid w:val="00F324FB"/>
    <w:rsid w:val="00F32679"/>
    <w:rsid w:val="00F32BE0"/>
    <w:rsid w:val="00F32FD3"/>
    <w:rsid w:val="00F330A6"/>
    <w:rsid w:val="00F34622"/>
    <w:rsid w:val="00F34B01"/>
    <w:rsid w:val="00F34D05"/>
    <w:rsid w:val="00F3654A"/>
    <w:rsid w:val="00F374BC"/>
    <w:rsid w:val="00F37741"/>
    <w:rsid w:val="00F379D0"/>
    <w:rsid w:val="00F37C3B"/>
    <w:rsid w:val="00F37CE2"/>
    <w:rsid w:val="00F37CFF"/>
    <w:rsid w:val="00F37FA6"/>
    <w:rsid w:val="00F40078"/>
    <w:rsid w:val="00F40150"/>
    <w:rsid w:val="00F405F8"/>
    <w:rsid w:val="00F40932"/>
    <w:rsid w:val="00F40C26"/>
    <w:rsid w:val="00F40DC1"/>
    <w:rsid w:val="00F40E20"/>
    <w:rsid w:val="00F40EA9"/>
    <w:rsid w:val="00F410AD"/>
    <w:rsid w:val="00F419E6"/>
    <w:rsid w:val="00F419FB"/>
    <w:rsid w:val="00F41B54"/>
    <w:rsid w:val="00F41D8C"/>
    <w:rsid w:val="00F41E1F"/>
    <w:rsid w:val="00F4210E"/>
    <w:rsid w:val="00F4224F"/>
    <w:rsid w:val="00F42465"/>
    <w:rsid w:val="00F42DB2"/>
    <w:rsid w:val="00F431B6"/>
    <w:rsid w:val="00F4346F"/>
    <w:rsid w:val="00F435BA"/>
    <w:rsid w:val="00F43680"/>
    <w:rsid w:val="00F43A7A"/>
    <w:rsid w:val="00F43FD1"/>
    <w:rsid w:val="00F4454E"/>
    <w:rsid w:val="00F446A9"/>
    <w:rsid w:val="00F44996"/>
    <w:rsid w:val="00F458CE"/>
    <w:rsid w:val="00F45B91"/>
    <w:rsid w:val="00F45DE8"/>
    <w:rsid w:val="00F46142"/>
    <w:rsid w:val="00F46540"/>
    <w:rsid w:val="00F470B5"/>
    <w:rsid w:val="00F473CF"/>
    <w:rsid w:val="00F47636"/>
    <w:rsid w:val="00F47B9D"/>
    <w:rsid w:val="00F5035D"/>
    <w:rsid w:val="00F508C3"/>
    <w:rsid w:val="00F50A22"/>
    <w:rsid w:val="00F50DBE"/>
    <w:rsid w:val="00F51B7C"/>
    <w:rsid w:val="00F51CDE"/>
    <w:rsid w:val="00F51FDD"/>
    <w:rsid w:val="00F528C3"/>
    <w:rsid w:val="00F52A10"/>
    <w:rsid w:val="00F52BA9"/>
    <w:rsid w:val="00F52C76"/>
    <w:rsid w:val="00F52D7B"/>
    <w:rsid w:val="00F533D6"/>
    <w:rsid w:val="00F5411D"/>
    <w:rsid w:val="00F5423E"/>
    <w:rsid w:val="00F543CA"/>
    <w:rsid w:val="00F54401"/>
    <w:rsid w:val="00F544CA"/>
    <w:rsid w:val="00F5452B"/>
    <w:rsid w:val="00F54595"/>
    <w:rsid w:val="00F5459F"/>
    <w:rsid w:val="00F54AE5"/>
    <w:rsid w:val="00F54FDA"/>
    <w:rsid w:val="00F55119"/>
    <w:rsid w:val="00F5516D"/>
    <w:rsid w:val="00F555EF"/>
    <w:rsid w:val="00F56040"/>
    <w:rsid w:val="00F5653E"/>
    <w:rsid w:val="00F5678D"/>
    <w:rsid w:val="00F56A9F"/>
    <w:rsid w:val="00F56B48"/>
    <w:rsid w:val="00F56C14"/>
    <w:rsid w:val="00F56FF3"/>
    <w:rsid w:val="00F605B0"/>
    <w:rsid w:val="00F60C4E"/>
    <w:rsid w:val="00F60EED"/>
    <w:rsid w:val="00F615AD"/>
    <w:rsid w:val="00F61863"/>
    <w:rsid w:val="00F6194C"/>
    <w:rsid w:val="00F61A52"/>
    <w:rsid w:val="00F61DAC"/>
    <w:rsid w:val="00F61E7F"/>
    <w:rsid w:val="00F62016"/>
    <w:rsid w:val="00F62D4F"/>
    <w:rsid w:val="00F6436E"/>
    <w:rsid w:val="00F64654"/>
    <w:rsid w:val="00F647A1"/>
    <w:rsid w:val="00F656AB"/>
    <w:rsid w:val="00F6587B"/>
    <w:rsid w:val="00F65B6E"/>
    <w:rsid w:val="00F65DB7"/>
    <w:rsid w:val="00F65EE1"/>
    <w:rsid w:val="00F65FC5"/>
    <w:rsid w:val="00F6615D"/>
    <w:rsid w:val="00F6669A"/>
    <w:rsid w:val="00F67178"/>
    <w:rsid w:val="00F67427"/>
    <w:rsid w:val="00F67686"/>
    <w:rsid w:val="00F67BA7"/>
    <w:rsid w:val="00F701D4"/>
    <w:rsid w:val="00F70298"/>
    <w:rsid w:val="00F70675"/>
    <w:rsid w:val="00F706A8"/>
    <w:rsid w:val="00F70755"/>
    <w:rsid w:val="00F70E5D"/>
    <w:rsid w:val="00F710C2"/>
    <w:rsid w:val="00F71185"/>
    <w:rsid w:val="00F71738"/>
    <w:rsid w:val="00F71843"/>
    <w:rsid w:val="00F71FB2"/>
    <w:rsid w:val="00F726F2"/>
    <w:rsid w:val="00F729C2"/>
    <w:rsid w:val="00F73C20"/>
    <w:rsid w:val="00F74913"/>
    <w:rsid w:val="00F7495C"/>
    <w:rsid w:val="00F74A93"/>
    <w:rsid w:val="00F74F66"/>
    <w:rsid w:val="00F7538C"/>
    <w:rsid w:val="00F7554D"/>
    <w:rsid w:val="00F755EC"/>
    <w:rsid w:val="00F75ABA"/>
    <w:rsid w:val="00F75EAD"/>
    <w:rsid w:val="00F76592"/>
    <w:rsid w:val="00F765A7"/>
    <w:rsid w:val="00F768A1"/>
    <w:rsid w:val="00F768E5"/>
    <w:rsid w:val="00F76F2B"/>
    <w:rsid w:val="00F775AC"/>
    <w:rsid w:val="00F778AB"/>
    <w:rsid w:val="00F80A2F"/>
    <w:rsid w:val="00F81335"/>
    <w:rsid w:val="00F819EB"/>
    <w:rsid w:val="00F82159"/>
    <w:rsid w:val="00F82171"/>
    <w:rsid w:val="00F83087"/>
    <w:rsid w:val="00F8375B"/>
    <w:rsid w:val="00F83A97"/>
    <w:rsid w:val="00F83D7C"/>
    <w:rsid w:val="00F83F22"/>
    <w:rsid w:val="00F840ED"/>
    <w:rsid w:val="00F84481"/>
    <w:rsid w:val="00F8475A"/>
    <w:rsid w:val="00F84A0D"/>
    <w:rsid w:val="00F84D3C"/>
    <w:rsid w:val="00F850FF"/>
    <w:rsid w:val="00F8524A"/>
    <w:rsid w:val="00F855AC"/>
    <w:rsid w:val="00F85BF9"/>
    <w:rsid w:val="00F85DC2"/>
    <w:rsid w:val="00F85FCE"/>
    <w:rsid w:val="00F8672C"/>
    <w:rsid w:val="00F86B15"/>
    <w:rsid w:val="00F9038A"/>
    <w:rsid w:val="00F90611"/>
    <w:rsid w:val="00F90855"/>
    <w:rsid w:val="00F90C37"/>
    <w:rsid w:val="00F90C3F"/>
    <w:rsid w:val="00F90C7F"/>
    <w:rsid w:val="00F9106A"/>
    <w:rsid w:val="00F9131E"/>
    <w:rsid w:val="00F916C0"/>
    <w:rsid w:val="00F9258B"/>
    <w:rsid w:val="00F92865"/>
    <w:rsid w:val="00F92E65"/>
    <w:rsid w:val="00F936F5"/>
    <w:rsid w:val="00F93E09"/>
    <w:rsid w:val="00F943C3"/>
    <w:rsid w:val="00F94923"/>
    <w:rsid w:val="00F94DCB"/>
    <w:rsid w:val="00F95102"/>
    <w:rsid w:val="00F96561"/>
    <w:rsid w:val="00F96D2A"/>
    <w:rsid w:val="00F97156"/>
    <w:rsid w:val="00F97177"/>
    <w:rsid w:val="00F9719B"/>
    <w:rsid w:val="00F9733C"/>
    <w:rsid w:val="00F973BF"/>
    <w:rsid w:val="00F97416"/>
    <w:rsid w:val="00F9772D"/>
    <w:rsid w:val="00F97E97"/>
    <w:rsid w:val="00FA0289"/>
    <w:rsid w:val="00FA02C0"/>
    <w:rsid w:val="00FA0DE4"/>
    <w:rsid w:val="00FA0DF4"/>
    <w:rsid w:val="00FA107F"/>
    <w:rsid w:val="00FA1B45"/>
    <w:rsid w:val="00FA21C2"/>
    <w:rsid w:val="00FA2699"/>
    <w:rsid w:val="00FA27F1"/>
    <w:rsid w:val="00FA3950"/>
    <w:rsid w:val="00FA3BFD"/>
    <w:rsid w:val="00FA3D36"/>
    <w:rsid w:val="00FA4521"/>
    <w:rsid w:val="00FA5273"/>
    <w:rsid w:val="00FA5410"/>
    <w:rsid w:val="00FA5437"/>
    <w:rsid w:val="00FA5A86"/>
    <w:rsid w:val="00FA5AEE"/>
    <w:rsid w:val="00FA60C5"/>
    <w:rsid w:val="00FA7F97"/>
    <w:rsid w:val="00FB0A60"/>
    <w:rsid w:val="00FB0A63"/>
    <w:rsid w:val="00FB0D76"/>
    <w:rsid w:val="00FB0DF4"/>
    <w:rsid w:val="00FB1602"/>
    <w:rsid w:val="00FB18F2"/>
    <w:rsid w:val="00FB25F6"/>
    <w:rsid w:val="00FB28CA"/>
    <w:rsid w:val="00FB2A42"/>
    <w:rsid w:val="00FB3173"/>
    <w:rsid w:val="00FB353E"/>
    <w:rsid w:val="00FB358A"/>
    <w:rsid w:val="00FB37E6"/>
    <w:rsid w:val="00FB3B4B"/>
    <w:rsid w:val="00FB3FC9"/>
    <w:rsid w:val="00FB4053"/>
    <w:rsid w:val="00FB4154"/>
    <w:rsid w:val="00FB4C62"/>
    <w:rsid w:val="00FB4CE0"/>
    <w:rsid w:val="00FB5C08"/>
    <w:rsid w:val="00FB5C7A"/>
    <w:rsid w:val="00FB619A"/>
    <w:rsid w:val="00FB6363"/>
    <w:rsid w:val="00FB66F7"/>
    <w:rsid w:val="00FB6F6C"/>
    <w:rsid w:val="00FB76EB"/>
    <w:rsid w:val="00FB7AD1"/>
    <w:rsid w:val="00FC0574"/>
    <w:rsid w:val="00FC057B"/>
    <w:rsid w:val="00FC0A83"/>
    <w:rsid w:val="00FC0B65"/>
    <w:rsid w:val="00FC0DF5"/>
    <w:rsid w:val="00FC0EB7"/>
    <w:rsid w:val="00FC0FBF"/>
    <w:rsid w:val="00FC1002"/>
    <w:rsid w:val="00FC13FD"/>
    <w:rsid w:val="00FC159D"/>
    <w:rsid w:val="00FC19E5"/>
    <w:rsid w:val="00FC2194"/>
    <w:rsid w:val="00FC25CF"/>
    <w:rsid w:val="00FC3096"/>
    <w:rsid w:val="00FC30D8"/>
    <w:rsid w:val="00FC323C"/>
    <w:rsid w:val="00FC3E38"/>
    <w:rsid w:val="00FC42E3"/>
    <w:rsid w:val="00FC4436"/>
    <w:rsid w:val="00FC4D95"/>
    <w:rsid w:val="00FC4F98"/>
    <w:rsid w:val="00FC539E"/>
    <w:rsid w:val="00FC5A40"/>
    <w:rsid w:val="00FC5E6B"/>
    <w:rsid w:val="00FC65CE"/>
    <w:rsid w:val="00FC75ED"/>
    <w:rsid w:val="00FC77CC"/>
    <w:rsid w:val="00FC7A83"/>
    <w:rsid w:val="00FC7D72"/>
    <w:rsid w:val="00FD0A05"/>
    <w:rsid w:val="00FD1C07"/>
    <w:rsid w:val="00FD25EF"/>
    <w:rsid w:val="00FD2A15"/>
    <w:rsid w:val="00FD31E6"/>
    <w:rsid w:val="00FD3370"/>
    <w:rsid w:val="00FD3BD6"/>
    <w:rsid w:val="00FD46C0"/>
    <w:rsid w:val="00FD47C7"/>
    <w:rsid w:val="00FD4991"/>
    <w:rsid w:val="00FD4CDC"/>
    <w:rsid w:val="00FD53E9"/>
    <w:rsid w:val="00FD5BD4"/>
    <w:rsid w:val="00FD5D34"/>
    <w:rsid w:val="00FD6546"/>
    <w:rsid w:val="00FD66AB"/>
    <w:rsid w:val="00FD66E3"/>
    <w:rsid w:val="00FD6A47"/>
    <w:rsid w:val="00FD6AD0"/>
    <w:rsid w:val="00FD6BDC"/>
    <w:rsid w:val="00FD6C4E"/>
    <w:rsid w:val="00FD6C50"/>
    <w:rsid w:val="00FD777E"/>
    <w:rsid w:val="00FE05B7"/>
    <w:rsid w:val="00FE09C8"/>
    <w:rsid w:val="00FE0A53"/>
    <w:rsid w:val="00FE1389"/>
    <w:rsid w:val="00FE16FB"/>
    <w:rsid w:val="00FE1BA4"/>
    <w:rsid w:val="00FE24CA"/>
    <w:rsid w:val="00FE261A"/>
    <w:rsid w:val="00FE2A9E"/>
    <w:rsid w:val="00FE316A"/>
    <w:rsid w:val="00FE320C"/>
    <w:rsid w:val="00FE3780"/>
    <w:rsid w:val="00FE3F1F"/>
    <w:rsid w:val="00FE4533"/>
    <w:rsid w:val="00FE4C03"/>
    <w:rsid w:val="00FE4FA6"/>
    <w:rsid w:val="00FE50E6"/>
    <w:rsid w:val="00FE551F"/>
    <w:rsid w:val="00FE65DC"/>
    <w:rsid w:val="00FE67A6"/>
    <w:rsid w:val="00FE6B6F"/>
    <w:rsid w:val="00FE6DC3"/>
    <w:rsid w:val="00FE708F"/>
    <w:rsid w:val="00FE719E"/>
    <w:rsid w:val="00FE763E"/>
    <w:rsid w:val="00FE773B"/>
    <w:rsid w:val="00FE7C4A"/>
    <w:rsid w:val="00FE7EAA"/>
    <w:rsid w:val="00FF00C6"/>
    <w:rsid w:val="00FF0B2F"/>
    <w:rsid w:val="00FF20CF"/>
    <w:rsid w:val="00FF2188"/>
    <w:rsid w:val="00FF2357"/>
    <w:rsid w:val="00FF2413"/>
    <w:rsid w:val="00FF2B6C"/>
    <w:rsid w:val="00FF35DE"/>
    <w:rsid w:val="00FF3AF0"/>
    <w:rsid w:val="00FF3C36"/>
    <w:rsid w:val="00FF3C37"/>
    <w:rsid w:val="00FF3F7A"/>
    <w:rsid w:val="00FF409E"/>
    <w:rsid w:val="00FF42CF"/>
    <w:rsid w:val="00FF4489"/>
    <w:rsid w:val="00FF474F"/>
    <w:rsid w:val="00FF4DF6"/>
    <w:rsid w:val="00FF5756"/>
    <w:rsid w:val="00FF5960"/>
    <w:rsid w:val="00FF5F7C"/>
    <w:rsid w:val="00FF66B4"/>
    <w:rsid w:val="00FF66BE"/>
    <w:rsid w:val="00FF6FE4"/>
    <w:rsid w:val="00FF77A5"/>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5904294"/>
  <w15:docId w15:val="{BCEAFDEB-73C4-4F8C-AFBC-4B90903614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sz w:val="24"/>
        <w:szCs w:val="22"/>
        <w:lang w:val="bg-BG" w:eastAsia="bg-BG" w:bidi="ar-SA"/>
      </w:rPr>
    </w:rPrDefault>
    <w:pPrDefault>
      <w:pPr>
        <w:spacing w:after="1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2BE0"/>
  </w:style>
  <w:style w:type="paragraph" w:styleId="Heading1">
    <w:name w:val="heading 1"/>
    <w:basedOn w:val="Normal"/>
    <w:next w:val="Normal"/>
    <w:link w:val="Heading1Char"/>
    <w:uiPriority w:val="9"/>
    <w:qFormat/>
    <w:rsid w:val="0073650C"/>
    <w:pPr>
      <w:keepNext/>
      <w:keepLines/>
      <w:pageBreakBefore/>
      <w:numPr>
        <w:numId w:val="1"/>
      </w:numPr>
      <w:tabs>
        <w:tab w:val="left" w:pos="567"/>
      </w:tabs>
      <w:spacing w:before="600" w:after="1200" w:line="216" w:lineRule="auto"/>
      <w:jc w:val="left"/>
      <w:outlineLvl w:val="0"/>
    </w:pPr>
    <w:rPr>
      <w:bCs/>
      <w:smallCaps/>
      <w:color w:val="6768AB"/>
      <w:sz w:val="56"/>
      <w:szCs w:val="28"/>
    </w:rPr>
  </w:style>
  <w:style w:type="paragraph" w:styleId="Heading2">
    <w:name w:val="heading 2"/>
    <w:basedOn w:val="Normal"/>
    <w:next w:val="Normal"/>
    <w:link w:val="Heading2Char"/>
    <w:uiPriority w:val="9"/>
    <w:unhideWhenUsed/>
    <w:qFormat/>
    <w:rsid w:val="0073650C"/>
    <w:pPr>
      <w:keepNext/>
      <w:keepLines/>
      <w:numPr>
        <w:ilvl w:val="1"/>
        <w:numId w:val="1"/>
      </w:numPr>
      <w:spacing w:before="240" w:after="240"/>
      <w:jc w:val="left"/>
      <w:outlineLvl w:val="1"/>
    </w:pPr>
    <w:rPr>
      <w:b/>
      <w:bCs/>
      <w:color w:val="6768AB"/>
      <w:sz w:val="26"/>
      <w:szCs w:val="26"/>
    </w:rPr>
  </w:style>
  <w:style w:type="paragraph" w:styleId="Heading3">
    <w:name w:val="heading 3"/>
    <w:basedOn w:val="Normal"/>
    <w:next w:val="Normal"/>
    <w:link w:val="Heading3Char"/>
    <w:uiPriority w:val="9"/>
    <w:unhideWhenUsed/>
    <w:qFormat/>
    <w:rsid w:val="0073650C"/>
    <w:pPr>
      <w:keepNext/>
      <w:keepLines/>
      <w:numPr>
        <w:ilvl w:val="2"/>
        <w:numId w:val="1"/>
      </w:numPr>
      <w:tabs>
        <w:tab w:val="left" w:pos="357"/>
      </w:tabs>
      <w:spacing w:before="240"/>
      <w:ind w:left="720"/>
      <w:jc w:val="left"/>
      <w:outlineLvl w:val="2"/>
    </w:pPr>
    <w:rPr>
      <w:b/>
      <w:bCs/>
      <w:color w:val="6768AB"/>
      <w:szCs w:val="20"/>
    </w:rPr>
  </w:style>
  <w:style w:type="paragraph" w:styleId="Heading4">
    <w:name w:val="heading 4"/>
    <w:basedOn w:val="Normal"/>
    <w:next w:val="Normal"/>
    <w:link w:val="Heading4Char"/>
    <w:uiPriority w:val="9"/>
    <w:unhideWhenUsed/>
    <w:qFormat/>
    <w:rsid w:val="00BE5B7B"/>
    <w:pPr>
      <w:keepNext/>
      <w:keepLines/>
      <w:numPr>
        <w:numId w:val="2"/>
      </w:numPr>
      <w:spacing w:before="200"/>
      <w:outlineLvl w:val="3"/>
    </w:pPr>
    <w:rPr>
      <w:rFonts w:asciiTheme="majorHAnsi" w:hAnsiTheme="majorHAnsi"/>
      <w:b/>
      <w:bCs/>
      <w:iCs/>
      <w:color w:val="6768AB"/>
      <w:szCs w:val="20"/>
    </w:rPr>
  </w:style>
  <w:style w:type="paragraph" w:styleId="Heading5">
    <w:name w:val="heading 5"/>
    <w:basedOn w:val="Normal"/>
    <w:next w:val="Normal"/>
    <w:link w:val="Heading5Char"/>
    <w:uiPriority w:val="9"/>
    <w:unhideWhenUsed/>
    <w:qFormat/>
    <w:rsid w:val="00BE5B7B"/>
    <w:pPr>
      <w:keepNext/>
      <w:keepLines/>
      <w:numPr>
        <w:numId w:val="5"/>
      </w:numPr>
      <w:tabs>
        <w:tab w:val="left" w:pos="709"/>
      </w:tabs>
      <w:spacing w:before="200"/>
      <w:outlineLvl w:val="4"/>
    </w:pPr>
    <w:rPr>
      <w:rFonts w:asciiTheme="majorHAnsi" w:eastAsiaTheme="majorEastAsia" w:hAnsiTheme="majorHAnsi" w:cstheme="majorBidi"/>
      <w:b/>
      <w:color w:val="000000" w:themeColor="text1"/>
    </w:rPr>
  </w:style>
  <w:style w:type="paragraph" w:styleId="Heading6">
    <w:name w:val="heading 6"/>
    <w:basedOn w:val="Normal"/>
    <w:next w:val="Normal"/>
    <w:link w:val="Heading6Char"/>
    <w:uiPriority w:val="9"/>
    <w:unhideWhenUsed/>
    <w:qFormat/>
    <w:rsid w:val="00274467"/>
    <w:pPr>
      <w:keepNext/>
      <w:keepLines/>
      <w:numPr>
        <w:ilvl w:val="5"/>
        <w:numId w:val="1"/>
      </w:numPr>
      <w:spacing w:before="200" w:after="0"/>
      <w:outlineLvl w:val="5"/>
    </w:pPr>
    <w:rPr>
      <w:rFonts w:asciiTheme="majorHAnsi" w:eastAsiaTheme="majorEastAsia" w:hAnsiTheme="majorHAnsi" w:cstheme="majorBidi"/>
      <w:i/>
      <w:iCs/>
      <w:color w:val="773F04" w:themeColor="accent1" w:themeShade="7F"/>
    </w:rPr>
  </w:style>
  <w:style w:type="paragraph" w:styleId="Heading7">
    <w:name w:val="heading 7"/>
    <w:basedOn w:val="Normal"/>
    <w:next w:val="Normal"/>
    <w:link w:val="Heading7Char"/>
    <w:uiPriority w:val="9"/>
    <w:unhideWhenUsed/>
    <w:qFormat/>
    <w:rsid w:val="00E63A73"/>
    <w:pPr>
      <w:keepNext/>
      <w:keepLines/>
      <w:numPr>
        <w:ilvl w:val="6"/>
        <w:numId w:val="1"/>
      </w:numPr>
      <w:spacing w:before="200" w:after="0"/>
      <w:outlineLvl w:val="6"/>
    </w:pPr>
    <w:rPr>
      <w:rFonts w:ascii="Cambria" w:hAnsi="Cambria"/>
      <w:i/>
      <w:iCs/>
      <w:color w:val="404040"/>
      <w:sz w:val="20"/>
      <w:szCs w:val="20"/>
    </w:rPr>
  </w:style>
  <w:style w:type="paragraph" w:styleId="Heading8">
    <w:name w:val="heading 8"/>
    <w:basedOn w:val="Normal"/>
    <w:next w:val="Normal"/>
    <w:link w:val="Heading8Char"/>
    <w:uiPriority w:val="9"/>
    <w:unhideWhenUsed/>
    <w:qFormat/>
    <w:rsid w:val="00E63A73"/>
    <w:pPr>
      <w:keepNext/>
      <w:keepLines/>
      <w:numPr>
        <w:ilvl w:val="7"/>
        <w:numId w:val="1"/>
      </w:numPr>
      <w:spacing w:before="200" w:after="0"/>
      <w:outlineLvl w:val="7"/>
    </w:pPr>
    <w:rPr>
      <w:rFonts w:ascii="Cambria" w:hAnsi="Cambria"/>
      <w:color w:val="FE8637"/>
      <w:sz w:val="20"/>
      <w:szCs w:val="20"/>
    </w:rPr>
  </w:style>
  <w:style w:type="paragraph" w:styleId="Heading9">
    <w:name w:val="heading 9"/>
    <w:basedOn w:val="Normal"/>
    <w:next w:val="Normal"/>
    <w:link w:val="Heading9Char"/>
    <w:uiPriority w:val="9"/>
    <w:unhideWhenUsed/>
    <w:qFormat/>
    <w:rsid w:val="00E63A73"/>
    <w:pPr>
      <w:keepNext/>
      <w:keepLines/>
      <w:numPr>
        <w:ilvl w:val="8"/>
        <w:numId w:val="1"/>
      </w:numPr>
      <w:spacing w:before="200" w:after="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73650C"/>
    <w:rPr>
      <w:bCs/>
      <w:smallCaps/>
      <w:color w:val="6768AB"/>
      <w:sz w:val="56"/>
      <w:szCs w:val="28"/>
    </w:rPr>
  </w:style>
  <w:style w:type="character" w:customStyle="1" w:styleId="Heading2Char">
    <w:name w:val="Heading 2 Char"/>
    <w:link w:val="Heading2"/>
    <w:uiPriority w:val="9"/>
    <w:rsid w:val="0073650C"/>
    <w:rPr>
      <w:b/>
      <w:bCs/>
      <w:color w:val="6768AB"/>
      <w:sz w:val="26"/>
      <w:szCs w:val="26"/>
    </w:rPr>
  </w:style>
  <w:style w:type="character" w:customStyle="1" w:styleId="Heading3Char">
    <w:name w:val="Heading 3 Char"/>
    <w:link w:val="Heading3"/>
    <w:uiPriority w:val="9"/>
    <w:rsid w:val="0073650C"/>
    <w:rPr>
      <w:b/>
      <w:bCs/>
      <w:color w:val="6768AB"/>
      <w:szCs w:val="20"/>
    </w:rPr>
  </w:style>
  <w:style w:type="character" w:customStyle="1" w:styleId="Heading7Char">
    <w:name w:val="Heading 7 Char"/>
    <w:link w:val="Heading7"/>
    <w:uiPriority w:val="9"/>
    <w:rsid w:val="00E63A73"/>
    <w:rPr>
      <w:rFonts w:ascii="Cambria" w:hAnsi="Cambria"/>
      <w:i/>
      <w:iCs/>
      <w:color w:val="404040"/>
      <w:sz w:val="20"/>
      <w:szCs w:val="20"/>
    </w:rPr>
  </w:style>
  <w:style w:type="character" w:customStyle="1" w:styleId="Heading8Char">
    <w:name w:val="Heading 8 Char"/>
    <w:link w:val="Heading8"/>
    <w:uiPriority w:val="9"/>
    <w:rsid w:val="00E63A73"/>
    <w:rPr>
      <w:rFonts w:ascii="Cambria" w:hAnsi="Cambria"/>
      <w:color w:val="FE8637"/>
      <w:sz w:val="20"/>
      <w:szCs w:val="20"/>
    </w:rPr>
  </w:style>
  <w:style w:type="character" w:customStyle="1" w:styleId="Heading9Char">
    <w:name w:val="Heading 9 Char"/>
    <w:link w:val="Heading9"/>
    <w:uiPriority w:val="9"/>
    <w:rsid w:val="00E63A73"/>
    <w:rPr>
      <w:rFonts w:ascii="Cambria" w:hAnsi="Cambria"/>
      <w:i/>
      <w:iCs/>
      <w:color w:val="404040"/>
      <w:sz w:val="20"/>
      <w:szCs w:val="20"/>
    </w:rPr>
  </w:style>
  <w:style w:type="numbering" w:customStyle="1" w:styleId="NoList1">
    <w:name w:val="No List1"/>
    <w:next w:val="NoList"/>
    <w:uiPriority w:val="99"/>
    <w:semiHidden/>
    <w:unhideWhenUsed/>
    <w:rsid w:val="00D359FF"/>
  </w:style>
  <w:style w:type="paragraph" w:styleId="BalloonText">
    <w:name w:val="Balloon Text"/>
    <w:basedOn w:val="Normal"/>
    <w:link w:val="BalloonTextChar"/>
    <w:semiHidden/>
    <w:unhideWhenUsed/>
    <w:rsid w:val="007923B3"/>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7923B3"/>
    <w:rPr>
      <w:rFonts w:ascii="Tahoma" w:hAnsi="Tahoma" w:cs="Tahoma"/>
      <w:color w:val="404040" w:themeColor="text1" w:themeTint="BF"/>
      <w:sz w:val="16"/>
      <w:szCs w:val="16"/>
      <w:lang w:eastAsia="en-US"/>
    </w:rPr>
  </w:style>
  <w:style w:type="paragraph" w:styleId="Footer">
    <w:name w:val="footer"/>
    <w:basedOn w:val="Normal"/>
    <w:link w:val="FooterChar"/>
    <w:uiPriority w:val="99"/>
    <w:rsid w:val="005D2BBF"/>
    <w:pPr>
      <w:tabs>
        <w:tab w:val="center" w:pos="4536"/>
        <w:tab w:val="right" w:pos="9072"/>
      </w:tabs>
      <w:spacing w:after="0" w:line="216" w:lineRule="auto"/>
      <w:ind w:left="-851" w:right="-851"/>
    </w:pPr>
    <w:rPr>
      <w:rFonts w:eastAsia="Calibri"/>
      <w:color w:val="877952" w:themeColor="background2" w:themeShade="80"/>
      <w:spacing w:val="20"/>
      <w:sz w:val="18"/>
      <w:szCs w:val="24"/>
    </w:rPr>
  </w:style>
  <w:style w:type="character" w:customStyle="1" w:styleId="FooterChar">
    <w:name w:val="Footer Char"/>
    <w:link w:val="Footer"/>
    <w:uiPriority w:val="99"/>
    <w:rsid w:val="005D2BBF"/>
    <w:rPr>
      <w:rFonts w:asciiTheme="minorHAnsi" w:eastAsia="Calibri" w:hAnsiTheme="minorHAnsi"/>
      <w:color w:val="877952" w:themeColor="background2" w:themeShade="80"/>
      <w:spacing w:val="20"/>
      <w:sz w:val="18"/>
      <w:szCs w:val="24"/>
      <w:lang w:eastAsia="en-US"/>
    </w:rPr>
  </w:style>
  <w:style w:type="character" w:styleId="PageNumber">
    <w:name w:val="page number"/>
    <w:rsid w:val="007923B3"/>
    <w:rPr>
      <w:rFonts w:ascii="Cambria" w:hAnsi="Cambria" w:cs="Times New Roman"/>
      <w:color w:val="877952" w:themeColor="background2" w:themeShade="80"/>
      <w:sz w:val="20"/>
    </w:rPr>
  </w:style>
  <w:style w:type="paragraph" w:styleId="FootnoteText">
    <w:name w:val="footnote text"/>
    <w:aliases w:val="Footnote,Footnote1,Footnote2,Footnote3,stile 1,Footnote4,Footnote5,Footnote6,Footnote7,Footnote8,Footnote9,Footnote10,Footnote11,Footnote21,Footnote31,Footnote41,Footnote51,Footnote61,Footnote71,Footnote81,Footnote91,single space,fn,stile"/>
    <w:basedOn w:val="Normal"/>
    <w:link w:val="FootnoteTextChar"/>
    <w:uiPriority w:val="99"/>
    <w:qFormat/>
    <w:rsid w:val="00A95666"/>
    <w:pPr>
      <w:tabs>
        <w:tab w:val="left" w:pos="284"/>
      </w:tabs>
      <w:spacing w:after="60"/>
      <w:ind w:left="284" w:hanging="284"/>
    </w:pPr>
    <w:rPr>
      <w:rFonts w:eastAsia="Calibri"/>
      <w:sz w:val="18"/>
      <w:szCs w:val="20"/>
    </w:rPr>
  </w:style>
  <w:style w:type="character" w:customStyle="1" w:styleId="FootnoteTextChar">
    <w:name w:val="Footnote Text Char"/>
    <w:aliases w:val="Footnote Char,Footnote1 Char,Footnote2 Char,Footnote3 Char,stile 1 Char,Footnote4 Char,Footnote5 Char,Footnote6 Char,Footnote7 Char,Footnote8 Char,Footnote9 Char,Footnote10 Char,Footnote11 Char,Footnote21 Char,Footnote31 Char,fn Char"/>
    <w:link w:val="FootnoteText"/>
    <w:uiPriority w:val="99"/>
    <w:rsid w:val="00A95666"/>
    <w:rPr>
      <w:rFonts w:asciiTheme="minorHAnsi" w:eastAsia="Calibri" w:hAnsiTheme="minorHAnsi"/>
      <w:color w:val="404040" w:themeColor="text1" w:themeTint="BF"/>
      <w:sz w:val="18"/>
      <w:lang w:eastAsia="en-US"/>
    </w:rPr>
  </w:style>
  <w:style w:type="paragraph" w:styleId="Caption">
    <w:name w:val="caption"/>
    <w:basedOn w:val="Normal"/>
    <w:next w:val="Normal"/>
    <w:link w:val="CaptionChar"/>
    <w:unhideWhenUsed/>
    <w:qFormat/>
    <w:rsid w:val="0073650C"/>
    <w:pPr>
      <w:tabs>
        <w:tab w:val="left" w:pos="1134"/>
      </w:tabs>
      <w:spacing w:before="240" w:after="240"/>
      <w:ind w:left="1134" w:hanging="1134"/>
      <w:jc w:val="left"/>
    </w:pPr>
    <w:rPr>
      <w:b/>
      <w:bCs/>
      <w:color w:val="6768AB"/>
      <w:sz w:val="20"/>
      <w:szCs w:val="18"/>
    </w:rPr>
  </w:style>
  <w:style w:type="paragraph" w:styleId="ListParagraph">
    <w:name w:val="List Paragraph"/>
    <w:aliases w:val="Recommendatio,Párrafo de lista,Recommendation,OBC Bullet,Dot pt,F5 List Paragraph,No Spacing1,List Paragraph Char Char Char,Indicator Text,Numbered Para 1,Bullet 1,Bullet Points,L,3,References,Colorful List - Accent 11"/>
    <w:basedOn w:val="Normal"/>
    <w:link w:val="ListParagraphChar"/>
    <w:uiPriority w:val="34"/>
    <w:qFormat/>
    <w:rsid w:val="00CF6A85"/>
    <w:pPr>
      <w:numPr>
        <w:numId w:val="3"/>
      </w:numPr>
      <w:tabs>
        <w:tab w:val="left" w:pos="680"/>
      </w:tabs>
    </w:pPr>
  </w:style>
  <w:style w:type="paragraph" w:styleId="BodyTextIndent">
    <w:name w:val="Body Text Indent"/>
    <w:basedOn w:val="Normal"/>
    <w:link w:val="BodyTextIndentChar"/>
    <w:semiHidden/>
    <w:rsid w:val="00D359FF"/>
    <w:pPr>
      <w:spacing w:line="260" w:lineRule="atLeast"/>
      <w:ind w:left="283"/>
    </w:pPr>
    <w:rPr>
      <w:rFonts w:ascii="Verdana" w:eastAsia="Calibri" w:hAnsi="Verdana"/>
      <w:sz w:val="18"/>
      <w:szCs w:val="24"/>
    </w:rPr>
  </w:style>
  <w:style w:type="character" w:customStyle="1" w:styleId="BodyTextIndentChar">
    <w:name w:val="Body Text Indent Char"/>
    <w:link w:val="BodyTextIndent"/>
    <w:semiHidden/>
    <w:rsid w:val="00D359FF"/>
    <w:rPr>
      <w:rFonts w:ascii="Verdana" w:eastAsia="Calibri" w:hAnsi="Verdana" w:cs="Times New Roman"/>
      <w:sz w:val="18"/>
      <w:szCs w:val="24"/>
    </w:rPr>
  </w:style>
  <w:style w:type="character" w:styleId="Hyperlink">
    <w:name w:val="Hyperlink"/>
    <w:uiPriority w:val="99"/>
    <w:rsid w:val="00D359FF"/>
    <w:rPr>
      <w:rFonts w:cs="Times New Roman"/>
      <w:color w:val="0000FF"/>
      <w:u w:val="single"/>
    </w:rPr>
  </w:style>
  <w:style w:type="paragraph" w:customStyle="1" w:styleId="Default">
    <w:name w:val="Default"/>
    <w:rsid w:val="00D359FF"/>
    <w:pPr>
      <w:autoSpaceDE w:val="0"/>
      <w:autoSpaceDN w:val="0"/>
      <w:adjustRightInd w:val="0"/>
    </w:pPr>
    <w:rPr>
      <w:rFonts w:eastAsia="Calibri" w:cs="Calibri"/>
      <w:color w:val="000000"/>
      <w:szCs w:val="24"/>
      <w:lang w:eastAsia="en-US"/>
    </w:rPr>
  </w:style>
  <w:style w:type="character" w:styleId="IntenseEmphasis">
    <w:name w:val="Intense Emphasis"/>
    <w:uiPriority w:val="21"/>
    <w:qFormat/>
    <w:rsid w:val="00E63A73"/>
    <w:rPr>
      <w:b/>
      <w:bCs/>
      <w:i/>
      <w:iCs/>
      <w:color w:val="FE8637"/>
    </w:rPr>
  </w:style>
  <w:style w:type="paragraph" w:styleId="Header">
    <w:name w:val="header"/>
    <w:basedOn w:val="Normal"/>
    <w:link w:val="HeaderChar"/>
    <w:rsid w:val="00D359FF"/>
    <w:pPr>
      <w:tabs>
        <w:tab w:val="center" w:pos="4536"/>
        <w:tab w:val="right" w:pos="9072"/>
      </w:tabs>
      <w:spacing w:line="260" w:lineRule="atLeast"/>
    </w:pPr>
    <w:rPr>
      <w:rFonts w:ascii="Verdana" w:eastAsia="Calibri" w:hAnsi="Verdana"/>
      <w:sz w:val="18"/>
      <w:szCs w:val="24"/>
    </w:rPr>
  </w:style>
  <w:style w:type="character" w:customStyle="1" w:styleId="HeaderChar">
    <w:name w:val="Header Char"/>
    <w:link w:val="Header"/>
    <w:rsid w:val="00D359FF"/>
    <w:rPr>
      <w:rFonts w:ascii="Verdana" w:eastAsia="Calibri" w:hAnsi="Verdana" w:cs="Times New Roman"/>
      <w:sz w:val="18"/>
      <w:szCs w:val="24"/>
    </w:rPr>
  </w:style>
  <w:style w:type="paragraph" w:styleId="CommentSubject">
    <w:name w:val="annotation subject"/>
    <w:basedOn w:val="Normal"/>
    <w:link w:val="CommentSubjectChar"/>
    <w:semiHidden/>
    <w:rsid w:val="007A3E85"/>
    <w:rPr>
      <w:rFonts w:ascii="Verdana" w:eastAsia="Calibri" w:hAnsi="Verdana"/>
      <w:b/>
      <w:bCs/>
      <w:sz w:val="20"/>
      <w:szCs w:val="20"/>
    </w:rPr>
  </w:style>
  <w:style w:type="character" w:customStyle="1" w:styleId="CommentSubjectChar">
    <w:name w:val="Comment Subject Char"/>
    <w:link w:val="CommentSubject"/>
    <w:semiHidden/>
    <w:rsid w:val="007A3E85"/>
    <w:rPr>
      <w:rFonts w:ascii="Verdana" w:eastAsia="Calibri" w:hAnsi="Verdana" w:cs="Times New Roman"/>
      <w:b/>
      <w:bCs/>
      <w:sz w:val="20"/>
      <w:szCs w:val="20"/>
      <w:lang w:eastAsia="bg-BG"/>
    </w:rPr>
  </w:style>
  <w:style w:type="table" w:styleId="TableGrid">
    <w:name w:val="Table Grid"/>
    <w:basedOn w:val="TableNormal"/>
    <w:uiPriority w:val="39"/>
    <w:rsid w:val="00561149"/>
    <w:rPr>
      <w:rFonts w:eastAsia="Calibri"/>
    </w:rPr>
    <w:tblPr>
      <w:tblBorders>
        <w:insideH w:val="single" w:sz="4" w:space="0" w:color="7F7F7F" w:themeColor="text1" w:themeTint="80"/>
        <w:insideV w:val="single" w:sz="4" w:space="0" w:color="7F7F7F" w:themeColor="text1" w:themeTint="80"/>
      </w:tblBorders>
    </w:tblPr>
  </w:style>
  <w:style w:type="paragraph" w:customStyle="1" w:styleId="tabletextleft">
    <w:name w:val="table text left"/>
    <w:basedOn w:val="Normal"/>
    <w:link w:val="tabletextleftChar"/>
    <w:rsid w:val="00C04BEB"/>
    <w:pPr>
      <w:spacing w:before="20" w:after="20"/>
      <w:jc w:val="left"/>
    </w:pPr>
    <w:rPr>
      <w:sz w:val="18"/>
      <w:szCs w:val="20"/>
    </w:rPr>
  </w:style>
  <w:style w:type="character" w:customStyle="1" w:styleId="tabletextleftChar">
    <w:name w:val="table text left Char"/>
    <w:link w:val="tabletextleft"/>
    <w:rsid w:val="00C04BEB"/>
    <w:rPr>
      <w:sz w:val="18"/>
      <w:szCs w:val="20"/>
    </w:rPr>
  </w:style>
  <w:style w:type="character" w:customStyle="1" w:styleId="CharChar3">
    <w:name w:val="Char Char3"/>
    <w:semiHidden/>
    <w:rsid w:val="00D359FF"/>
    <w:rPr>
      <w:lang w:val="bg-BG" w:eastAsia="en-US" w:bidi="ar-SA"/>
    </w:rPr>
  </w:style>
  <w:style w:type="character" w:styleId="Strong">
    <w:name w:val="Strong"/>
    <w:uiPriority w:val="22"/>
    <w:qFormat/>
    <w:rsid w:val="00E63A73"/>
    <w:rPr>
      <w:b/>
      <w:bCs/>
    </w:rPr>
  </w:style>
  <w:style w:type="paragraph" w:styleId="IntenseQuote">
    <w:name w:val="Intense Quote"/>
    <w:basedOn w:val="Normal"/>
    <w:next w:val="Normal"/>
    <w:link w:val="IntenseQuoteChar"/>
    <w:uiPriority w:val="30"/>
    <w:qFormat/>
    <w:rsid w:val="00E63A73"/>
    <w:pPr>
      <w:pBdr>
        <w:bottom w:val="single" w:sz="4" w:space="4" w:color="FE8637"/>
      </w:pBdr>
      <w:spacing w:before="200" w:after="280"/>
      <w:ind w:left="936" w:right="936"/>
    </w:pPr>
    <w:rPr>
      <w:b/>
      <w:bCs/>
      <w:i/>
      <w:iCs/>
      <w:color w:val="FE8637"/>
      <w:sz w:val="20"/>
      <w:szCs w:val="20"/>
    </w:rPr>
  </w:style>
  <w:style w:type="character" w:customStyle="1" w:styleId="IntenseQuoteChar">
    <w:name w:val="Intense Quote Char"/>
    <w:link w:val="IntenseQuote"/>
    <w:uiPriority w:val="30"/>
    <w:rsid w:val="00E63A73"/>
    <w:rPr>
      <w:b/>
      <w:bCs/>
      <w:i/>
      <w:iCs/>
      <w:color w:val="FE8637"/>
    </w:rPr>
  </w:style>
  <w:style w:type="paragraph" w:styleId="Title">
    <w:name w:val="Title"/>
    <w:basedOn w:val="Normal"/>
    <w:next w:val="Normal"/>
    <w:link w:val="TitleChar"/>
    <w:uiPriority w:val="10"/>
    <w:qFormat/>
    <w:rsid w:val="00F70298"/>
    <w:pPr>
      <w:spacing w:before="2600" w:after="0"/>
      <w:contextualSpacing/>
    </w:pPr>
    <w:rPr>
      <w:rFonts w:ascii="Cambria" w:hAnsi="Cambria"/>
      <w:caps/>
      <w:color w:val="877952" w:themeColor="background2" w:themeShade="80"/>
      <w:spacing w:val="5"/>
      <w:w w:val="90"/>
      <w:kern w:val="28"/>
      <w:sz w:val="96"/>
      <w:szCs w:val="52"/>
    </w:rPr>
  </w:style>
  <w:style w:type="paragraph" w:customStyle="1" w:styleId="a">
    <w:name w:val="Източник"/>
    <w:basedOn w:val="Normal"/>
    <w:link w:val="Char"/>
    <w:rsid w:val="00215D6A"/>
    <w:pPr>
      <w:spacing w:before="60" w:after="240"/>
      <w:jc w:val="right"/>
    </w:pPr>
    <w:rPr>
      <w:rFonts w:eastAsia="Calibri"/>
      <w:sz w:val="18"/>
      <w:szCs w:val="24"/>
    </w:rPr>
  </w:style>
  <w:style w:type="paragraph" w:customStyle="1" w:styleId="a0">
    <w:name w:val="граф"/>
    <w:basedOn w:val="Normal"/>
    <w:link w:val="Char0"/>
    <w:rsid w:val="00701AC1"/>
    <w:pPr>
      <w:spacing w:before="120"/>
      <w:jc w:val="left"/>
    </w:pPr>
    <w:rPr>
      <w:rFonts w:eastAsia="Calibri"/>
      <w:noProof/>
      <w:sz w:val="18"/>
      <w:szCs w:val="24"/>
    </w:rPr>
  </w:style>
  <w:style w:type="character" w:customStyle="1" w:styleId="Char">
    <w:name w:val="Източник Char"/>
    <w:link w:val="a"/>
    <w:rsid w:val="00215D6A"/>
    <w:rPr>
      <w:rFonts w:eastAsia="Calibri"/>
      <w:color w:val="404040" w:themeColor="text1" w:themeTint="BF"/>
      <w:sz w:val="18"/>
      <w:szCs w:val="24"/>
    </w:rPr>
  </w:style>
  <w:style w:type="character" w:customStyle="1" w:styleId="Char0">
    <w:name w:val="граф Char"/>
    <w:link w:val="a0"/>
    <w:rsid w:val="00701AC1"/>
    <w:rPr>
      <w:rFonts w:eastAsia="Calibri"/>
      <w:noProof/>
      <w:color w:val="404040" w:themeColor="text1" w:themeTint="BF"/>
      <w:sz w:val="18"/>
      <w:szCs w:val="24"/>
    </w:rPr>
  </w:style>
  <w:style w:type="paragraph" w:styleId="Revision">
    <w:name w:val="Revision"/>
    <w:hidden/>
    <w:uiPriority w:val="99"/>
    <w:semiHidden/>
    <w:rsid w:val="00D359FF"/>
    <w:rPr>
      <w:rFonts w:ascii="Verdana" w:eastAsia="Calibri" w:hAnsi="Verdana"/>
      <w:sz w:val="18"/>
      <w:szCs w:val="24"/>
      <w:lang w:eastAsia="en-US"/>
    </w:rPr>
  </w:style>
  <w:style w:type="paragraph" w:styleId="TOC1">
    <w:name w:val="toc 1"/>
    <w:basedOn w:val="Normal"/>
    <w:next w:val="Normal"/>
    <w:autoRedefine/>
    <w:uiPriority w:val="39"/>
    <w:rsid w:val="004621D9"/>
    <w:pPr>
      <w:tabs>
        <w:tab w:val="left" w:pos="567"/>
        <w:tab w:val="left" w:pos="993"/>
        <w:tab w:val="right" w:pos="9070"/>
      </w:tabs>
      <w:spacing w:before="60" w:after="60"/>
    </w:pPr>
    <w:rPr>
      <w:rFonts w:asciiTheme="majorHAnsi" w:eastAsia="Calibri" w:hAnsiTheme="majorHAnsi"/>
      <w:b/>
      <w:bCs/>
      <w:noProof/>
      <w:color w:val="6768AB"/>
      <w:kern w:val="32"/>
      <w:sz w:val="20"/>
      <w:szCs w:val="18"/>
    </w:rPr>
  </w:style>
  <w:style w:type="paragraph" w:styleId="TOC2">
    <w:name w:val="toc 2"/>
    <w:basedOn w:val="Normal"/>
    <w:next w:val="Normal"/>
    <w:autoRedefine/>
    <w:uiPriority w:val="39"/>
    <w:rsid w:val="00CB7812"/>
    <w:pPr>
      <w:tabs>
        <w:tab w:val="left" w:pos="993"/>
        <w:tab w:val="right" w:pos="9070"/>
      </w:tabs>
      <w:spacing w:after="0"/>
      <w:ind w:left="578" w:hanging="397"/>
      <w:jc w:val="left"/>
    </w:pPr>
    <w:rPr>
      <w:rFonts w:eastAsia="Calibri"/>
      <w:noProof/>
      <w:sz w:val="20"/>
      <w:szCs w:val="20"/>
      <w:lang w:val="ru-RU"/>
    </w:rPr>
  </w:style>
  <w:style w:type="paragraph" w:styleId="TOC3">
    <w:name w:val="toc 3"/>
    <w:basedOn w:val="Normal"/>
    <w:next w:val="Normal"/>
    <w:autoRedefine/>
    <w:uiPriority w:val="39"/>
    <w:rsid w:val="00D359FF"/>
    <w:pPr>
      <w:spacing w:after="100" w:line="260" w:lineRule="atLeast"/>
      <w:ind w:left="360"/>
    </w:pPr>
    <w:rPr>
      <w:rFonts w:ascii="Verdana" w:eastAsia="Calibri" w:hAnsi="Verdana"/>
      <w:sz w:val="18"/>
      <w:szCs w:val="24"/>
    </w:rPr>
  </w:style>
  <w:style w:type="paragraph" w:styleId="NoSpacing">
    <w:name w:val="No Spacing"/>
    <w:basedOn w:val="Normal"/>
    <w:link w:val="NoSpacingChar"/>
    <w:uiPriority w:val="1"/>
    <w:qFormat/>
    <w:rsid w:val="00D62D45"/>
    <w:pPr>
      <w:spacing w:after="0"/>
    </w:pPr>
    <w:rPr>
      <w:rFonts w:eastAsia="Calibri"/>
      <w:sz w:val="20"/>
      <w:szCs w:val="24"/>
    </w:rPr>
  </w:style>
  <w:style w:type="character" w:customStyle="1" w:styleId="NoSpacingChar">
    <w:name w:val="No Spacing Char"/>
    <w:link w:val="NoSpacing"/>
    <w:uiPriority w:val="1"/>
    <w:rsid w:val="007A3E85"/>
    <w:rPr>
      <w:rFonts w:eastAsia="Calibri" w:cs="Times New Roman"/>
      <w:szCs w:val="24"/>
    </w:rPr>
  </w:style>
  <w:style w:type="table" w:styleId="LightList-Accent2">
    <w:name w:val="Light List Accent 2"/>
    <w:basedOn w:val="TableNormal"/>
    <w:uiPriority w:val="61"/>
    <w:rsid w:val="00F52D7B"/>
    <w:tblPr>
      <w:tblStyleRowBandSize w:val="1"/>
      <w:tblStyleColBandSize w:val="1"/>
      <w:tblBorders>
        <w:top w:val="single" w:sz="8" w:space="0" w:color="7598D9"/>
        <w:left w:val="single" w:sz="8" w:space="0" w:color="7598D9"/>
        <w:bottom w:val="single" w:sz="8" w:space="0" w:color="7598D9"/>
        <w:right w:val="single" w:sz="8" w:space="0" w:color="7598D9"/>
      </w:tblBorders>
    </w:tblPr>
    <w:tblStylePr w:type="firstRow">
      <w:pPr>
        <w:spacing w:before="0" w:after="0" w:line="240" w:lineRule="auto"/>
      </w:pPr>
      <w:rPr>
        <w:b/>
        <w:bCs/>
        <w:color w:val="FFFFFF"/>
      </w:rPr>
      <w:tblPr/>
      <w:tcPr>
        <w:shd w:val="clear" w:color="auto" w:fill="7598D9"/>
      </w:tcPr>
    </w:tblStylePr>
    <w:tblStylePr w:type="lastRow">
      <w:pPr>
        <w:spacing w:before="0" w:after="0" w:line="240" w:lineRule="auto"/>
      </w:pPr>
      <w:rPr>
        <w:b/>
        <w:bCs/>
      </w:rPr>
      <w:tblPr/>
      <w:tcPr>
        <w:tcBorders>
          <w:top w:val="double" w:sz="6" w:space="0" w:color="7598D9"/>
          <w:left w:val="single" w:sz="8" w:space="0" w:color="7598D9"/>
          <w:bottom w:val="single" w:sz="8" w:space="0" w:color="7598D9"/>
          <w:right w:val="single" w:sz="8" w:space="0" w:color="7598D9"/>
        </w:tcBorders>
      </w:tcPr>
    </w:tblStylePr>
    <w:tblStylePr w:type="firstCol">
      <w:rPr>
        <w:b/>
        <w:bCs/>
      </w:rPr>
    </w:tblStylePr>
    <w:tblStylePr w:type="lastCol">
      <w:rPr>
        <w:b/>
        <w:bCs/>
      </w:rPr>
    </w:tblStylePr>
    <w:tblStylePr w:type="band1Vert">
      <w:tblPr/>
      <w:tcPr>
        <w:tcBorders>
          <w:top w:val="single" w:sz="8" w:space="0" w:color="7598D9"/>
          <w:left w:val="single" w:sz="8" w:space="0" w:color="7598D9"/>
          <w:bottom w:val="single" w:sz="8" w:space="0" w:color="7598D9"/>
          <w:right w:val="single" w:sz="8" w:space="0" w:color="7598D9"/>
        </w:tcBorders>
      </w:tcPr>
    </w:tblStylePr>
    <w:tblStylePr w:type="band1Horz">
      <w:tblPr/>
      <w:tcPr>
        <w:tcBorders>
          <w:top w:val="single" w:sz="8" w:space="0" w:color="7598D9"/>
          <w:left w:val="single" w:sz="8" w:space="0" w:color="7598D9"/>
          <w:bottom w:val="single" w:sz="8" w:space="0" w:color="7598D9"/>
          <w:right w:val="single" w:sz="8" w:space="0" w:color="7598D9"/>
        </w:tcBorders>
      </w:tcPr>
    </w:tblStylePr>
  </w:style>
  <w:style w:type="table" w:customStyle="1" w:styleId="-11">
    <w:name w:val="Светло оцветяване - Акцент 11"/>
    <w:basedOn w:val="TableNormal"/>
    <w:next w:val="LightShading-Accent11"/>
    <w:uiPriority w:val="60"/>
    <w:rsid w:val="00EE7D10"/>
    <w:rPr>
      <w:color w:val="0B5294"/>
      <w:lang w:val="en-US"/>
    </w:rPr>
    <w:tblPr>
      <w:tblStyleRowBandSize w:val="1"/>
      <w:tblStyleColBandSize w:val="1"/>
      <w:tblBorders>
        <w:top w:val="single" w:sz="8" w:space="0" w:color="0F6FC6"/>
        <w:bottom w:val="single" w:sz="8" w:space="0" w:color="0F6FC6"/>
      </w:tblBorders>
    </w:tblPr>
    <w:tblStylePr w:type="firstRow">
      <w:pPr>
        <w:spacing w:before="0" w:after="0" w:line="240" w:lineRule="auto"/>
      </w:pPr>
      <w:rPr>
        <w:b/>
        <w:bCs/>
      </w:rPr>
      <w:tblPr/>
      <w:tcPr>
        <w:tcBorders>
          <w:top w:val="single" w:sz="8" w:space="0" w:color="0F6FC6"/>
          <w:left w:val="nil"/>
          <w:bottom w:val="single" w:sz="8" w:space="0" w:color="0F6FC6"/>
          <w:right w:val="nil"/>
          <w:insideH w:val="nil"/>
          <w:insideV w:val="nil"/>
        </w:tcBorders>
      </w:tcPr>
    </w:tblStylePr>
    <w:tblStylePr w:type="lastRow">
      <w:pPr>
        <w:spacing w:before="0" w:after="0" w:line="240" w:lineRule="auto"/>
      </w:pPr>
      <w:rPr>
        <w:b/>
        <w:bCs/>
      </w:rPr>
      <w:tblPr/>
      <w:tcPr>
        <w:tcBorders>
          <w:top w:val="single" w:sz="8" w:space="0" w:color="0F6FC6"/>
          <w:left w:val="nil"/>
          <w:bottom w:val="single" w:sz="8" w:space="0" w:color="0F6F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ADBF9"/>
      </w:tcPr>
    </w:tblStylePr>
    <w:tblStylePr w:type="band1Horz">
      <w:tblPr/>
      <w:tcPr>
        <w:tcBorders>
          <w:left w:val="nil"/>
          <w:right w:val="nil"/>
          <w:insideH w:val="nil"/>
          <w:insideV w:val="nil"/>
        </w:tcBorders>
        <w:shd w:val="clear" w:color="auto" w:fill="BADBF9"/>
      </w:tcPr>
    </w:tblStylePr>
  </w:style>
  <w:style w:type="table" w:customStyle="1" w:styleId="LightShading-Accent11">
    <w:name w:val="Light Shading - Accent 11"/>
    <w:basedOn w:val="TableNormal"/>
    <w:uiPriority w:val="60"/>
    <w:rsid w:val="00EE7D10"/>
    <w:rPr>
      <w:color w:val="E65B01"/>
    </w:rPr>
    <w:tblPr>
      <w:tblStyleRowBandSize w:val="1"/>
      <w:tblStyleColBandSize w:val="1"/>
      <w:tblBorders>
        <w:top w:val="single" w:sz="8" w:space="0" w:color="FE8637"/>
        <w:bottom w:val="single" w:sz="8" w:space="0" w:color="FE8637"/>
      </w:tblBorders>
    </w:tblPr>
    <w:tblStylePr w:type="firstRow">
      <w:pPr>
        <w:spacing w:before="0" w:after="0" w:line="240" w:lineRule="auto"/>
      </w:pPr>
      <w:rPr>
        <w:b/>
        <w:bCs/>
      </w:rPr>
      <w:tblPr/>
      <w:tcPr>
        <w:tcBorders>
          <w:top w:val="single" w:sz="8" w:space="0" w:color="FE8637"/>
          <w:left w:val="nil"/>
          <w:bottom w:val="single" w:sz="8" w:space="0" w:color="FE8637"/>
          <w:right w:val="nil"/>
          <w:insideH w:val="nil"/>
          <w:insideV w:val="nil"/>
        </w:tcBorders>
      </w:tcPr>
    </w:tblStylePr>
    <w:tblStylePr w:type="lastRow">
      <w:pPr>
        <w:spacing w:before="0" w:after="0" w:line="240" w:lineRule="auto"/>
      </w:pPr>
      <w:rPr>
        <w:b/>
        <w:bCs/>
      </w:rPr>
      <w:tblPr/>
      <w:tcPr>
        <w:tcBorders>
          <w:top w:val="single" w:sz="8" w:space="0" w:color="FE8637"/>
          <w:left w:val="nil"/>
          <w:bottom w:val="single" w:sz="8" w:space="0" w:color="FE863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1CD"/>
      </w:tcPr>
    </w:tblStylePr>
    <w:tblStylePr w:type="band1Horz">
      <w:tblPr/>
      <w:tcPr>
        <w:tcBorders>
          <w:left w:val="nil"/>
          <w:right w:val="nil"/>
          <w:insideH w:val="nil"/>
          <w:insideV w:val="nil"/>
        </w:tcBorders>
        <w:shd w:val="clear" w:color="auto" w:fill="FEE1CD"/>
      </w:tcPr>
    </w:tblStylePr>
  </w:style>
  <w:style w:type="table" w:styleId="LightGrid-Accent2">
    <w:name w:val="Light Grid Accent 2"/>
    <w:basedOn w:val="TableNormal"/>
    <w:uiPriority w:val="62"/>
    <w:rsid w:val="00A3699E"/>
    <w:tblPr>
      <w:tblStyleRowBandSize w:val="1"/>
      <w:tblStyleColBandSize w:val="1"/>
      <w:tblBorders>
        <w:top w:val="single" w:sz="8" w:space="0" w:color="7598D9"/>
        <w:left w:val="single" w:sz="8" w:space="0" w:color="7598D9"/>
        <w:bottom w:val="single" w:sz="8" w:space="0" w:color="7598D9"/>
        <w:right w:val="single" w:sz="8" w:space="0" w:color="7598D9"/>
        <w:insideH w:val="single" w:sz="8" w:space="0" w:color="7598D9"/>
        <w:insideV w:val="single" w:sz="8" w:space="0" w:color="7598D9"/>
      </w:tblBorders>
    </w:tblPr>
    <w:tblStylePr w:type="firstRow">
      <w:pPr>
        <w:spacing w:before="0" w:after="0" w:line="240" w:lineRule="auto"/>
      </w:pPr>
      <w:rPr>
        <w:rFonts w:ascii="Cambria" w:eastAsia="Times New Roman" w:hAnsi="Cambria" w:cs="Times New Roman"/>
        <w:b/>
        <w:bCs/>
      </w:rPr>
      <w:tblPr/>
      <w:tcPr>
        <w:tcBorders>
          <w:top w:val="single" w:sz="8" w:space="0" w:color="7598D9"/>
          <w:left w:val="single" w:sz="8" w:space="0" w:color="7598D9"/>
          <w:bottom w:val="single" w:sz="18" w:space="0" w:color="7598D9"/>
          <w:right w:val="single" w:sz="8" w:space="0" w:color="7598D9"/>
          <w:insideH w:val="nil"/>
          <w:insideV w:val="single" w:sz="8" w:space="0" w:color="7598D9"/>
        </w:tcBorders>
      </w:tcPr>
    </w:tblStylePr>
    <w:tblStylePr w:type="lastRow">
      <w:pPr>
        <w:spacing w:before="0" w:after="0" w:line="240" w:lineRule="auto"/>
      </w:pPr>
      <w:rPr>
        <w:rFonts w:ascii="Cambria" w:eastAsia="Times New Roman" w:hAnsi="Cambria" w:cs="Times New Roman"/>
        <w:b/>
        <w:bCs/>
      </w:rPr>
      <w:tblPr/>
      <w:tcPr>
        <w:tcBorders>
          <w:top w:val="double" w:sz="6" w:space="0" w:color="7598D9"/>
          <w:left w:val="single" w:sz="8" w:space="0" w:color="7598D9"/>
          <w:bottom w:val="single" w:sz="8" w:space="0" w:color="7598D9"/>
          <w:right w:val="single" w:sz="8" w:space="0" w:color="7598D9"/>
          <w:insideH w:val="nil"/>
          <w:insideV w:val="single" w:sz="8" w:space="0" w:color="7598D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7598D9"/>
          <w:left w:val="single" w:sz="8" w:space="0" w:color="7598D9"/>
          <w:bottom w:val="single" w:sz="8" w:space="0" w:color="7598D9"/>
          <w:right w:val="single" w:sz="8" w:space="0" w:color="7598D9"/>
        </w:tcBorders>
      </w:tcPr>
    </w:tblStylePr>
    <w:tblStylePr w:type="band1Vert">
      <w:tblPr/>
      <w:tcPr>
        <w:tcBorders>
          <w:top w:val="single" w:sz="8" w:space="0" w:color="7598D9"/>
          <w:left w:val="single" w:sz="8" w:space="0" w:color="7598D9"/>
          <w:bottom w:val="single" w:sz="8" w:space="0" w:color="7598D9"/>
          <w:right w:val="single" w:sz="8" w:space="0" w:color="7598D9"/>
        </w:tcBorders>
        <w:shd w:val="clear" w:color="auto" w:fill="DCE5F5"/>
      </w:tcPr>
    </w:tblStylePr>
    <w:tblStylePr w:type="band1Horz">
      <w:tblPr/>
      <w:tcPr>
        <w:tcBorders>
          <w:top w:val="single" w:sz="8" w:space="0" w:color="7598D9"/>
          <w:left w:val="single" w:sz="8" w:space="0" w:color="7598D9"/>
          <w:bottom w:val="single" w:sz="8" w:space="0" w:color="7598D9"/>
          <w:right w:val="single" w:sz="8" w:space="0" w:color="7598D9"/>
          <w:insideV w:val="single" w:sz="8" w:space="0" w:color="7598D9"/>
        </w:tcBorders>
        <w:shd w:val="clear" w:color="auto" w:fill="DCE5F5"/>
      </w:tcPr>
    </w:tblStylePr>
    <w:tblStylePr w:type="band2Horz">
      <w:tblPr/>
      <w:tcPr>
        <w:tcBorders>
          <w:top w:val="single" w:sz="8" w:space="0" w:color="7598D9"/>
          <w:left w:val="single" w:sz="8" w:space="0" w:color="7598D9"/>
          <w:bottom w:val="single" w:sz="8" w:space="0" w:color="7598D9"/>
          <w:right w:val="single" w:sz="8" w:space="0" w:color="7598D9"/>
          <w:insideV w:val="single" w:sz="8" w:space="0" w:color="7598D9"/>
        </w:tcBorders>
      </w:tcPr>
    </w:tblStylePr>
  </w:style>
  <w:style w:type="table" w:styleId="LightShading-Accent2">
    <w:name w:val="Light Shading Accent 2"/>
    <w:basedOn w:val="TableNormal"/>
    <w:uiPriority w:val="60"/>
    <w:rsid w:val="00DA4004"/>
    <w:rPr>
      <w:color w:val="3667C3"/>
    </w:rPr>
    <w:tblPr>
      <w:tblStyleRowBandSize w:val="1"/>
      <w:tblStyleColBandSize w:val="1"/>
      <w:tblBorders>
        <w:top w:val="single" w:sz="8" w:space="0" w:color="7598D9"/>
        <w:bottom w:val="single" w:sz="8" w:space="0" w:color="7598D9"/>
      </w:tblBorders>
    </w:tblPr>
    <w:tblStylePr w:type="firstRow">
      <w:pPr>
        <w:spacing w:before="0" w:after="0" w:line="240" w:lineRule="auto"/>
      </w:pPr>
      <w:rPr>
        <w:b/>
        <w:bCs/>
      </w:rPr>
      <w:tblPr/>
      <w:tcPr>
        <w:tcBorders>
          <w:top w:val="single" w:sz="8" w:space="0" w:color="7598D9"/>
          <w:left w:val="nil"/>
          <w:bottom w:val="single" w:sz="8" w:space="0" w:color="7598D9"/>
          <w:right w:val="nil"/>
          <w:insideH w:val="nil"/>
          <w:insideV w:val="nil"/>
        </w:tcBorders>
      </w:tcPr>
    </w:tblStylePr>
    <w:tblStylePr w:type="lastRow">
      <w:pPr>
        <w:spacing w:before="0" w:after="0" w:line="240" w:lineRule="auto"/>
      </w:pPr>
      <w:rPr>
        <w:b/>
        <w:bCs/>
      </w:rPr>
      <w:tblPr/>
      <w:tcPr>
        <w:tcBorders>
          <w:top w:val="single" w:sz="8" w:space="0" w:color="7598D9"/>
          <w:left w:val="nil"/>
          <w:bottom w:val="single" w:sz="8" w:space="0" w:color="7598D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CE5F5"/>
      </w:tcPr>
    </w:tblStylePr>
    <w:tblStylePr w:type="band1Horz">
      <w:tblPr/>
      <w:tcPr>
        <w:tcBorders>
          <w:left w:val="nil"/>
          <w:right w:val="nil"/>
          <w:insideH w:val="nil"/>
          <w:insideV w:val="nil"/>
        </w:tcBorders>
        <w:shd w:val="clear" w:color="auto" w:fill="DCE5F5"/>
      </w:tcPr>
    </w:tblStylePr>
  </w:style>
  <w:style w:type="character" w:customStyle="1" w:styleId="a1">
    <w:name w:val="Заглавие Знак"/>
    <w:uiPriority w:val="10"/>
    <w:rsid w:val="00D62D45"/>
    <w:rPr>
      <w:rFonts w:ascii="Cambria" w:hAnsi="Cambria" w:cs="Times New Roman"/>
      <w:color w:val="414751"/>
      <w:w w:val="90"/>
      <w:kern w:val="28"/>
      <w:sz w:val="60"/>
      <w:szCs w:val="52"/>
    </w:rPr>
  </w:style>
  <w:style w:type="character" w:styleId="Emphasis">
    <w:name w:val="Emphasis"/>
    <w:uiPriority w:val="20"/>
    <w:qFormat/>
    <w:rsid w:val="00E63A73"/>
    <w:rPr>
      <w:i/>
      <w:iCs/>
    </w:rPr>
  </w:style>
  <w:style w:type="paragraph" w:styleId="Quote">
    <w:name w:val="Quote"/>
    <w:basedOn w:val="Normal"/>
    <w:next w:val="Normal"/>
    <w:link w:val="QuoteChar"/>
    <w:uiPriority w:val="29"/>
    <w:qFormat/>
    <w:rsid w:val="00E63A73"/>
    <w:rPr>
      <w:i/>
      <w:iCs/>
      <w:color w:val="000000"/>
      <w:sz w:val="20"/>
      <w:szCs w:val="20"/>
    </w:rPr>
  </w:style>
  <w:style w:type="character" w:customStyle="1" w:styleId="QuoteChar">
    <w:name w:val="Quote Char"/>
    <w:link w:val="Quote"/>
    <w:uiPriority w:val="29"/>
    <w:rsid w:val="00E63A73"/>
    <w:rPr>
      <w:i/>
      <w:iCs/>
      <w:color w:val="000000"/>
    </w:rPr>
  </w:style>
  <w:style w:type="character" w:styleId="SubtleEmphasis">
    <w:name w:val="Subtle Emphasis"/>
    <w:uiPriority w:val="19"/>
    <w:qFormat/>
    <w:rsid w:val="00E63A73"/>
    <w:rPr>
      <w:i/>
      <w:iCs/>
      <w:color w:val="808080"/>
    </w:rPr>
  </w:style>
  <w:style w:type="character" w:styleId="SubtleReference">
    <w:name w:val="Subtle Reference"/>
    <w:uiPriority w:val="31"/>
    <w:qFormat/>
    <w:rsid w:val="00E63A73"/>
    <w:rPr>
      <w:smallCaps/>
      <w:color w:val="7598D9"/>
      <w:u w:val="single"/>
    </w:rPr>
  </w:style>
  <w:style w:type="character" w:styleId="IntenseReference">
    <w:name w:val="Intense Reference"/>
    <w:uiPriority w:val="32"/>
    <w:qFormat/>
    <w:rsid w:val="00E63A73"/>
    <w:rPr>
      <w:b/>
      <w:bCs/>
      <w:smallCaps/>
      <w:color w:val="7598D9"/>
      <w:spacing w:val="5"/>
      <w:u w:val="single"/>
    </w:rPr>
  </w:style>
  <w:style w:type="paragraph" w:styleId="TOCHeading">
    <w:name w:val="TOC Heading"/>
    <w:basedOn w:val="Heading1"/>
    <w:next w:val="Normal"/>
    <w:uiPriority w:val="39"/>
    <w:semiHidden/>
    <w:unhideWhenUsed/>
    <w:qFormat/>
    <w:rsid w:val="00E63A73"/>
    <w:pPr>
      <w:outlineLvl w:val="9"/>
    </w:pPr>
  </w:style>
  <w:style w:type="table" w:customStyle="1" w:styleId="LightGrid-Accent11">
    <w:name w:val="Light Grid - Accent 11"/>
    <w:basedOn w:val="TableNormal"/>
    <w:uiPriority w:val="62"/>
    <w:rsid w:val="00E63A73"/>
    <w:tblPr>
      <w:tblStyleRowBandSize w:val="1"/>
      <w:tblStyleColBandSize w:val="1"/>
      <w:tblBorders>
        <w:top w:val="single" w:sz="8" w:space="0" w:color="FE8637"/>
        <w:left w:val="single" w:sz="8" w:space="0" w:color="FE8637"/>
        <w:bottom w:val="single" w:sz="8" w:space="0" w:color="FE8637"/>
        <w:right w:val="single" w:sz="8" w:space="0" w:color="FE8637"/>
        <w:insideH w:val="single" w:sz="8" w:space="0" w:color="FE8637"/>
        <w:insideV w:val="single" w:sz="8" w:space="0" w:color="FE8637"/>
      </w:tblBorders>
    </w:tblPr>
    <w:tblStylePr w:type="firstRow">
      <w:pPr>
        <w:spacing w:before="0" w:after="0" w:line="240" w:lineRule="auto"/>
      </w:pPr>
      <w:rPr>
        <w:rFonts w:ascii="Cambria" w:eastAsia="Times New Roman" w:hAnsi="Cambria" w:cs="Times New Roman"/>
        <w:b/>
        <w:bCs/>
      </w:rPr>
      <w:tblPr/>
      <w:tcPr>
        <w:tcBorders>
          <w:top w:val="single" w:sz="8" w:space="0" w:color="FE8637"/>
          <w:left w:val="single" w:sz="8" w:space="0" w:color="FE8637"/>
          <w:bottom w:val="single" w:sz="18" w:space="0" w:color="FE8637"/>
          <w:right w:val="single" w:sz="8" w:space="0" w:color="FE8637"/>
          <w:insideH w:val="nil"/>
          <w:insideV w:val="single" w:sz="8" w:space="0" w:color="FE8637"/>
        </w:tcBorders>
      </w:tcPr>
    </w:tblStylePr>
    <w:tblStylePr w:type="lastRow">
      <w:pPr>
        <w:spacing w:before="0" w:after="0" w:line="240" w:lineRule="auto"/>
      </w:pPr>
      <w:rPr>
        <w:rFonts w:ascii="Cambria" w:eastAsia="Times New Roman" w:hAnsi="Cambria" w:cs="Times New Roman"/>
        <w:b/>
        <w:bCs/>
      </w:rPr>
      <w:tblPr/>
      <w:tcPr>
        <w:tcBorders>
          <w:top w:val="double" w:sz="6" w:space="0" w:color="FE8637"/>
          <w:left w:val="single" w:sz="8" w:space="0" w:color="FE8637"/>
          <w:bottom w:val="single" w:sz="8" w:space="0" w:color="FE8637"/>
          <w:right w:val="single" w:sz="8" w:space="0" w:color="FE8637"/>
          <w:insideH w:val="nil"/>
          <w:insideV w:val="single" w:sz="8" w:space="0" w:color="FE8637"/>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E8637"/>
          <w:left w:val="single" w:sz="8" w:space="0" w:color="FE8637"/>
          <w:bottom w:val="single" w:sz="8" w:space="0" w:color="FE8637"/>
          <w:right w:val="single" w:sz="8" w:space="0" w:color="FE8637"/>
        </w:tcBorders>
      </w:tcPr>
    </w:tblStylePr>
    <w:tblStylePr w:type="band1Vert">
      <w:tblPr/>
      <w:tcPr>
        <w:tcBorders>
          <w:top w:val="single" w:sz="8" w:space="0" w:color="FE8637"/>
          <w:left w:val="single" w:sz="8" w:space="0" w:color="FE8637"/>
          <w:bottom w:val="single" w:sz="8" w:space="0" w:color="FE8637"/>
          <w:right w:val="single" w:sz="8" w:space="0" w:color="FE8637"/>
        </w:tcBorders>
        <w:shd w:val="clear" w:color="auto" w:fill="FEE1CD"/>
      </w:tcPr>
    </w:tblStylePr>
    <w:tblStylePr w:type="band1Horz">
      <w:tblPr/>
      <w:tcPr>
        <w:tcBorders>
          <w:top w:val="single" w:sz="8" w:space="0" w:color="FE8637"/>
          <w:left w:val="single" w:sz="8" w:space="0" w:color="FE8637"/>
          <w:bottom w:val="single" w:sz="8" w:space="0" w:color="FE8637"/>
          <w:right w:val="single" w:sz="8" w:space="0" w:color="FE8637"/>
          <w:insideV w:val="single" w:sz="8" w:space="0" w:color="FE8637"/>
        </w:tcBorders>
        <w:shd w:val="clear" w:color="auto" w:fill="FEE1CD"/>
      </w:tcPr>
    </w:tblStylePr>
    <w:tblStylePr w:type="band2Horz">
      <w:tblPr/>
      <w:tcPr>
        <w:tcBorders>
          <w:top w:val="single" w:sz="8" w:space="0" w:color="FE8637"/>
          <w:left w:val="single" w:sz="8" w:space="0" w:color="FE8637"/>
          <w:bottom w:val="single" w:sz="8" w:space="0" w:color="FE8637"/>
          <w:right w:val="single" w:sz="8" w:space="0" w:color="FE8637"/>
          <w:insideV w:val="single" w:sz="8" w:space="0" w:color="FE8637"/>
        </w:tcBorders>
      </w:tcPr>
    </w:tblStylePr>
  </w:style>
  <w:style w:type="table" w:customStyle="1" w:styleId="MediumShading1-Accent11">
    <w:name w:val="Medium Shading 1 - Accent 11"/>
    <w:basedOn w:val="TableNormal"/>
    <w:uiPriority w:val="63"/>
    <w:rsid w:val="00E63A73"/>
    <w:tblPr>
      <w:tblStyleRowBandSize w:val="1"/>
      <w:tblStyleColBandSize w:val="1"/>
      <w:tblBorders>
        <w:top w:val="single" w:sz="8" w:space="0" w:color="FEA469"/>
        <w:left w:val="single" w:sz="8" w:space="0" w:color="FEA469"/>
        <w:bottom w:val="single" w:sz="8" w:space="0" w:color="FEA469"/>
        <w:right w:val="single" w:sz="8" w:space="0" w:color="FEA469"/>
        <w:insideH w:val="single" w:sz="8" w:space="0" w:color="FEA469"/>
      </w:tblBorders>
    </w:tblPr>
    <w:tblStylePr w:type="firstRow">
      <w:pPr>
        <w:spacing w:before="0" w:after="0" w:line="240" w:lineRule="auto"/>
      </w:pPr>
      <w:rPr>
        <w:b/>
        <w:bCs/>
        <w:color w:val="FFFFFF"/>
      </w:rPr>
      <w:tblPr/>
      <w:tcPr>
        <w:tcBorders>
          <w:top w:val="single" w:sz="8" w:space="0" w:color="FEA469"/>
          <w:left w:val="single" w:sz="8" w:space="0" w:color="FEA469"/>
          <w:bottom w:val="single" w:sz="8" w:space="0" w:color="FEA469"/>
          <w:right w:val="single" w:sz="8" w:space="0" w:color="FEA469"/>
          <w:insideH w:val="nil"/>
          <w:insideV w:val="nil"/>
        </w:tcBorders>
        <w:shd w:val="clear" w:color="auto" w:fill="FE8637"/>
      </w:tcPr>
    </w:tblStylePr>
    <w:tblStylePr w:type="lastRow">
      <w:pPr>
        <w:spacing w:before="0" w:after="0" w:line="240" w:lineRule="auto"/>
      </w:pPr>
      <w:rPr>
        <w:b/>
        <w:bCs/>
      </w:rPr>
      <w:tblPr/>
      <w:tcPr>
        <w:tcBorders>
          <w:top w:val="double" w:sz="6" w:space="0" w:color="FEA469"/>
          <w:left w:val="single" w:sz="8" w:space="0" w:color="FEA469"/>
          <w:bottom w:val="single" w:sz="8" w:space="0" w:color="FEA469"/>
          <w:right w:val="single" w:sz="8" w:space="0" w:color="FEA469"/>
          <w:insideH w:val="nil"/>
          <w:insideV w:val="nil"/>
        </w:tcBorders>
      </w:tcPr>
    </w:tblStylePr>
    <w:tblStylePr w:type="firstCol">
      <w:rPr>
        <w:b/>
        <w:bCs/>
      </w:rPr>
    </w:tblStylePr>
    <w:tblStylePr w:type="lastCol">
      <w:rPr>
        <w:b/>
        <w:bCs/>
      </w:rPr>
    </w:tblStylePr>
    <w:tblStylePr w:type="band1Vert">
      <w:tblPr/>
      <w:tcPr>
        <w:shd w:val="clear" w:color="auto" w:fill="FEE1CD"/>
      </w:tcPr>
    </w:tblStylePr>
    <w:tblStylePr w:type="band1Horz">
      <w:tblPr/>
      <w:tcPr>
        <w:tcBorders>
          <w:insideH w:val="nil"/>
          <w:insideV w:val="nil"/>
        </w:tcBorders>
        <w:shd w:val="clear" w:color="auto" w:fill="FEE1CD"/>
      </w:tcPr>
    </w:tblStylePr>
    <w:tblStylePr w:type="band2Horz">
      <w:tblPr/>
      <w:tcPr>
        <w:tcBorders>
          <w:insideH w:val="nil"/>
          <w:insideV w:val="nil"/>
        </w:tcBorders>
      </w:tcPr>
    </w:tblStylePr>
  </w:style>
  <w:style w:type="table" w:customStyle="1" w:styleId="LightShading-Accent12">
    <w:name w:val="Light Shading - Accent 12"/>
    <w:basedOn w:val="TableNormal"/>
    <w:uiPriority w:val="60"/>
    <w:rsid w:val="002F1E9D"/>
    <w:pPr>
      <w:spacing w:before="20" w:after="20"/>
    </w:pPr>
    <w:rPr>
      <w:color w:val="000000"/>
      <w:sz w:val="18"/>
    </w:rPr>
    <w:tblPr>
      <w:tblStyleRowBandSize w:val="1"/>
      <w:tblStyleColBandSize w:val="1"/>
      <w:tblInd w:w="113" w:type="dxa"/>
      <w:tblBorders>
        <w:top w:val="single" w:sz="8" w:space="0" w:color="FE8637"/>
        <w:bottom w:val="single" w:sz="8" w:space="0" w:color="FE8637"/>
      </w:tblBorders>
    </w:tblPr>
    <w:tblStylePr w:type="firstRow">
      <w:pPr>
        <w:spacing w:before="0" w:after="0" w:line="240" w:lineRule="auto"/>
      </w:pPr>
      <w:rPr>
        <w:b/>
        <w:bCs/>
      </w:rPr>
      <w:tblPr/>
      <w:tcPr>
        <w:tcBorders>
          <w:top w:val="single" w:sz="8" w:space="0" w:color="FE8637"/>
          <w:left w:val="nil"/>
          <w:bottom w:val="single" w:sz="8" w:space="0" w:color="FE8637"/>
          <w:right w:val="nil"/>
          <w:insideH w:val="nil"/>
          <w:insideV w:val="nil"/>
        </w:tcBorders>
      </w:tcPr>
    </w:tblStylePr>
    <w:tblStylePr w:type="lastRow">
      <w:pPr>
        <w:spacing w:before="0" w:after="0" w:line="240" w:lineRule="auto"/>
      </w:pPr>
      <w:rPr>
        <w:b/>
        <w:bCs/>
      </w:rPr>
      <w:tblPr/>
      <w:tcPr>
        <w:tcBorders>
          <w:top w:val="single" w:sz="8" w:space="0" w:color="FE8637"/>
          <w:left w:val="nil"/>
          <w:bottom w:val="single" w:sz="8" w:space="0" w:color="FE863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1CD"/>
      </w:tcPr>
    </w:tblStylePr>
    <w:tblStylePr w:type="band1Horz">
      <w:tblPr/>
      <w:tcPr>
        <w:tcBorders>
          <w:left w:val="nil"/>
          <w:right w:val="nil"/>
          <w:insideH w:val="nil"/>
          <w:insideV w:val="nil"/>
        </w:tcBorders>
        <w:shd w:val="clear" w:color="auto" w:fill="FEE1CD"/>
      </w:tcPr>
    </w:tblStylePr>
  </w:style>
  <w:style w:type="table" w:styleId="LightShading-Accent5">
    <w:name w:val="Light Shading Accent 5"/>
    <w:basedOn w:val="TableNormal"/>
    <w:uiPriority w:val="60"/>
    <w:rsid w:val="00B4432C"/>
    <w:rPr>
      <w:color w:val="6D83B3"/>
    </w:rPr>
    <w:tblPr>
      <w:tblStyleRowBandSize w:val="1"/>
      <w:tblStyleColBandSize w:val="1"/>
      <w:tblBorders>
        <w:top w:val="single" w:sz="8" w:space="0" w:color="AEBAD5"/>
        <w:bottom w:val="single" w:sz="8" w:space="0" w:color="AEBAD5"/>
      </w:tblBorders>
    </w:tblPr>
    <w:tblStylePr w:type="firstRow">
      <w:pPr>
        <w:spacing w:before="0" w:after="0" w:line="240" w:lineRule="auto"/>
      </w:pPr>
      <w:rPr>
        <w:b/>
        <w:bCs/>
      </w:rPr>
      <w:tblPr/>
      <w:tcPr>
        <w:tcBorders>
          <w:top w:val="single" w:sz="8" w:space="0" w:color="AEBAD5"/>
          <w:left w:val="nil"/>
          <w:bottom w:val="single" w:sz="8" w:space="0" w:color="AEBAD5"/>
          <w:right w:val="nil"/>
          <w:insideH w:val="nil"/>
          <w:insideV w:val="nil"/>
        </w:tcBorders>
      </w:tcPr>
    </w:tblStylePr>
    <w:tblStylePr w:type="lastRow">
      <w:pPr>
        <w:spacing w:before="0" w:after="0" w:line="240" w:lineRule="auto"/>
      </w:pPr>
      <w:rPr>
        <w:b/>
        <w:bCs/>
      </w:rPr>
      <w:tblPr/>
      <w:tcPr>
        <w:tcBorders>
          <w:top w:val="single" w:sz="8" w:space="0" w:color="AEBAD5"/>
          <w:left w:val="nil"/>
          <w:bottom w:val="single" w:sz="8" w:space="0" w:color="AEBA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DF4"/>
      </w:tcPr>
    </w:tblStylePr>
    <w:tblStylePr w:type="band1Horz">
      <w:tblPr/>
      <w:tcPr>
        <w:tcBorders>
          <w:left w:val="nil"/>
          <w:right w:val="nil"/>
          <w:insideH w:val="nil"/>
          <w:insideV w:val="nil"/>
        </w:tcBorders>
        <w:shd w:val="clear" w:color="auto" w:fill="EAEDF4"/>
      </w:tcPr>
    </w:tblStylePr>
  </w:style>
  <w:style w:type="paragraph" w:styleId="CommentText">
    <w:name w:val="annotation text"/>
    <w:basedOn w:val="Normal"/>
    <w:link w:val="CommentTextChar"/>
    <w:uiPriority w:val="99"/>
    <w:unhideWhenUsed/>
    <w:rsid w:val="0016224D"/>
    <w:rPr>
      <w:sz w:val="20"/>
      <w:szCs w:val="20"/>
    </w:rPr>
  </w:style>
  <w:style w:type="character" w:customStyle="1" w:styleId="CommentTextChar">
    <w:name w:val="Comment Text Char"/>
    <w:link w:val="CommentText"/>
    <w:uiPriority w:val="99"/>
    <w:rsid w:val="0016224D"/>
    <w:rPr>
      <w:sz w:val="20"/>
      <w:szCs w:val="20"/>
    </w:rPr>
  </w:style>
  <w:style w:type="character" w:styleId="CommentReference">
    <w:name w:val="annotation reference"/>
    <w:uiPriority w:val="99"/>
    <w:unhideWhenUsed/>
    <w:rsid w:val="0016224D"/>
    <w:rPr>
      <w:sz w:val="16"/>
      <w:szCs w:val="16"/>
    </w:rPr>
  </w:style>
  <w:style w:type="paragraph" w:styleId="TableofFigures">
    <w:name w:val="table of figures"/>
    <w:basedOn w:val="Normal"/>
    <w:next w:val="Normal"/>
    <w:uiPriority w:val="99"/>
    <w:unhideWhenUsed/>
    <w:rsid w:val="00E37BBA"/>
    <w:pPr>
      <w:spacing w:after="0"/>
      <w:ind w:left="440" w:hanging="440"/>
    </w:pPr>
    <w:rPr>
      <w:b/>
      <w:bCs/>
      <w:sz w:val="20"/>
      <w:szCs w:val="20"/>
    </w:rPr>
  </w:style>
  <w:style w:type="character" w:customStyle="1" w:styleId="TitleChar">
    <w:name w:val="Title Char"/>
    <w:link w:val="Title"/>
    <w:uiPriority w:val="10"/>
    <w:rsid w:val="00F70298"/>
    <w:rPr>
      <w:rFonts w:ascii="Cambria" w:hAnsi="Cambria"/>
      <w:caps/>
      <w:color w:val="877952" w:themeColor="background2" w:themeShade="80"/>
      <w:spacing w:val="5"/>
      <w:w w:val="90"/>
      <w:kern w:val="28"/>
      <w:sz w:val="96"/>
      <w:szCs w:val="52"/>
      <w:lang w:eastAsia="en-US"/>
    </w:rPr>
  </w:style>
  <w:style w:type="character" w:customStyle="1" w:styleId="Heading4Char">
    <w:name w:val="Heading 4 Char"/>
    <w:link w:val="Heading4"/>
    <w:uiPriority w:val="9"/>
    <w:rsid w:val="00BE5B7B"/>
    <w:rPr>
      <w:rFonts w:asciiTheme="majorHAnsi" w:hAnsiTheme="majorHAnsi"/>
      <w:b/>
      <w:bCs/>
      <w:iCs/>
      <w:color w:val="6768AB"/>
      <w:szCs w:val="20"/>
    </w:rPr>
  </w:style>
  <w:style w:type="table" w:customStyle="1" w:styleId="LightShading-Accent13">
    <w:name w:val="Light Shading - Accent 13"/>
    <w:basedOn w:val="TableNormal"/>
    <w:uiPriority w:val="60"/>
    <w:rsid w:val="003F6ABC"/>
    <w:rPr>
      <w:rFonts w:eastAsia="Calibri"/>
      <w:color w:val="E65B01"/>
    </w:rPr>
    <w:tblPr>
      <w:tblStyleRowBandSize w:val="1"/>
      <w:tblStyleColBandSize w:val="1"/>
      <w:tblBorders>
        <w:top w:val="single" w:sz="8" w:space="0" w:color="FE8637"/>
        <w:bottom w:val="single" w:sz="8" w:space="0" w:color="FE8637"/>
      </w:tblBorders>
    </w:tblPr>
    <w:tblStylePr w:type="firstRow">
      <w:pPr>
        <w:spacing w:before="0" w:after="0" w:line="240" w:lineRule="auto"/>
      </w:pPr>
      <w:rPr>
        <w:b/>
        <w:bCs/>
      </w:rPr>
      <w:tblPr/>
      <w:tcPr>
        <w:tcBorders>
          <w:top w:val="single" w:sz="8" w:space="0" w:color="FE8637"/>
          <w:left w:val="nil"/>
          <w:bottom w:val="single" w:sz="8" w:space="0" w:color="FE8637"/>
          <w:right w:val="nil"/>
          <w:insideH w:val="nil"/>
          <w:insideV w:val="nil"/>
        </w:tcBorders>
      </w:tcPr>
    </w:tblStylePr>
    <w:tblStylePr w:type="lastRow">
      <w:pPr>
        <w:spacing w:before="0" w:after="0" w:line="240" w:lineRule="auto"/>
      </w:pPr>
      <w:rPr>
        <w:b/>
        <w:bCs/>
      </w:rPr>
      <w:tblPr/>
      <w:tcPr>
        <w:tcBorders>
          <w:top w:val="single" w:sz="8" w:space="0" w:color="FE8637"/>
          <w:left w:val="nil"/>
          <w:bottom w:val="single" w:sz="8" w:space="0" w:color="FE863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1CD"/>
      </w:tcPr>
    </w:tblStylePr>
    <w:tblStylePr w:type="band1Horz">
      <w:tblPr/>
      <w:tcPr>
        <w:tcBorders>
          <w:left w:val="nil"/>
          <w:right w:val="nil"/>
          <w:insideH w:val="nil"/>
          <w:insideV w:val="nil"/>
        </w:tcBorders>
        <w:shd w:val="clear" w:color="auto" w:fill="FEE1CD"/>
      </w:tcPr>
    </w:tblStylePr>
  </w:style>
  <w:style w:type="table" w:styleId="LightShading-Accent6">
    <w:name w:val="Light Shading Accent 6"/>
    <w:basedOn w:val="TableNormal"/>
    <w:uiPriority w:val="60"/>
    <w:rsid w:val="002C3333"/>
    <w:rPr>
      <w:color w:val="000000"/>
    </w:rPr>
    <w:tblPr>
      <w:tblStyleRowBandSize w:val="1"/>
      <w:tblStyleColBandSize w:val="1"/>
      <w:tblInd w:w="113" w:type="dxa"/>
      <w:tblBorders>
        <w:top w:val="single" w:sz="8" w:space="0" w:color="777C84"/>
        <w:bottom w:val="single" w:sz="8" w:space="0" w:color="777C84"/>
      </w:tblBorders>
    </w:tblPr>
    <w:tblStylePr w:type="firstRow">
      <w:pPr>
        <w:spacing w:before="0" w:after="0" w:line="240" w:lineRule="auto"/>
      </w:pPr>
      <w:rPr>
        <w:b/>
        <w:bCs/>
      </w:rPr>
      <w:tblPr/>
      <w:tcPr>
        <w:tcBorders>
          <w:top w:val="single" w:sz="8" w:space="0" w:color="777C84"/>
          <w:left w:val="nil"/>
          <w:bottom w:val="single" w:sz="8" w:space="0" w:color="777C84"/>
          <w:right w:val="nil"/>
          <w:insideH w:val="nil"/>
          <w:insideV w:val="nil"/>
        </w:tcBorders>
      </w:tcPr>
    </w:tblStylePr>
    <w:tblStylePr w:type="lastRow">
      <w:pPr>
        <w:spacing w:before="0" w:after="0" w:line="240" w:lineRule="auto"/>
      </w:pPr>
      <w:rPr>
        <w:b/>
        <w:bCs/>
      </w:rPr>
      <w:tblPr/>
      <w:tcPr>
        <w:tcBorders>
          <w:top w:val="single" w:sz="8" w:space="0" w:color="777C84"/>
          <w:left w:val="nil"/>
          <w:bottom w:val="single" w:sz="8" w:space="0" w:color="777C8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DEE0"/>
      </w:tcPr>
    </w:tblStylePr>
    <w:tblStylePr w:type="band1Horz">
      <w:tblPr/>
      <w:tcPr>
        <w:tcBorders>
          <w:left w:val="nil"/>
          <w:right w:val="nil"/>
          <w:insideH w:val="nil"/>
          <w:insideV w:val="nil"/>
        </w:tcBorders>
        <w:shd w:val="clear" w:color="auto" w:fill="DDDEE0"/>
      </w:tcPr>
    </w:tblStylePr>
  </w:style>
  <w:style w:type="table" w:styleId="MediumList1-Accent6">
    <w:name w:val="Medium List 1 Accent 6"/>
    <w:basedOn w:val="TableNormal"/>
    <w:uiPriority w:val="65"/>
    <w:rsid w:val="00DB34FE"/>
    <w:rPr>
      <w:color w:val="404040" w:themeColor="text1" w:themeTint="BF"/>
      <w:sz w:val="18"/>
    </w:rPr>
    <w:tblPr>
      <w:tblStyleRowBandSize w:val="1"/>
      <w:tblStyleColBandSize w:val="1"/>
      <w:tblInd w:w="113" w:type="dxa"/>
      <w:tblBorders>
        <w:top w:val="single" w:sz="8" w:space="0" w:color="777C84"/>
        <w:bottom w:val="single" w:sz="8" w:space="0" w:color="777C84"/>
      </w:tblBorders>
    </w:tblPr>
    <w:tblStylePr w:type="firstRow">
      <w:rPr>
        <w:rFonts w:ascii="Cambria" w:eastAsia="Times New Roman" w:hAnsi="Cambria" w:cs="Times New Roman"/>
      </w:rPr>
      <w:tblPr/>
      <w:tcPr>
        <w:tcBorders>
          <w:top w:val="nil"/>
          <w:bottom w:val="single" w:sz="8" w:space="0" w:color="777C84"/>
        </w:tcBorders>
      </w:tcPr>
    </w:tblStylePr>
    <w:tblStylePr w:type="lastRow">
      <w:rPr>
        <w:b/>
        <w:bCs/>
        <w:color w:val="575F6D"/>
      </w:rPr>
      <w:tblPr/>
      <w:tcPr>
        <w:tcBorders>
          <w:top w:val="single" w:sz="8" w:space="0" w:color="777C84"/>
          <w:bottom w:val="single" w:sz="8" w:space="0" w:color="777C84"/>
        </w:tcBorders>
      </w:tcPr>
    </w:tblStylePr>
    <w:tblStylePr w:type="firstCol">
      <w:rPr>
        <w:b/>
        <w:bCs/>
      </w:rPr>
    </w:tblStylePr>
    <w:tblStylePr w:type="lastCol">
      <w:rPr>
        <w:b/>
        <w:bCs/>
      </w:rPr>
      <w:tblPr/>
      <w:tcPr>
        <w:tcBorders>
          <w:top w:val="single" w:sz="8" w:space="0" w:color="777C84"/>
          <w:bottom w:val="single" w:sz="8" w:space="0" w:color="777C84"/>
        </w:tcBorders>
      </w:tcPr>
    </w:tblStylePr>
    <w:tblStylePr w:type="band1Vert">
      <w:tblPr/>
      <w:tcPr>
        <w:shd w:val="clear" w:color="auto" w:fill="DDDEE0"/>
      </w:tcPr>
    </w:tblStylePr>
    <w:tblStylePr w:type="band1Horz">
      <w:tblPr/>
      <w:tcPr>
        <w:shd w:val="clear" w:color="auto" w:fill="DDDEE0"/>
      </w:tcPr>
    </w:tblStylePr>
  </w:style>
  <w:style w:type="table" w:customStyle="1" w:styleId="1">
    <w:name w:val="Среден списък 1"/>
    <w:basedOn w:val="TableNormal"/>
    <w:uiPriority w:val="65"/>
    <w:rsid w:val="00AB7362"/>
    <w:rPr>
      <w:color w:val="000000"/>
      <w:sz w:val="16"/>
    </w:rPr>
    <w:tblPr>
      <w:tblStyleRowBandSize w:val="1"/>
      <w:tblStyleColBandSize w:val="1"/>
      <w:tblInd w:w="113" w:type="dxa"/>
      <w:tblBorders>
        <w:top w:val="single" w:sz="2" w:space="0" w:color="auto"/>
        <w:bottom w:val="single" w:sz="2" w:space="0" w:color="auto"/>
      </w:tblBorders>
    </w:tblPr>
    <w:tblStylePr w:type="firstRow">
      <w:rPr>
        <w:rFonts w:ascii="Calibri" w:eastAsia="Times New Roman" w:hAnsi="Calibri" w:cs="Times New Roman"/>
        <w:b/>
        <w:sz w:val="16"/>
      </w:rPr>
      <w:tblPr/>
      <w:tcPr>
        <w:tcBorders>
          <w:top w:val="nil"/>
          <w:bottom w:val="single" w:sz="2" w:space="0" w:color="auto"/>
        </w:tcBorders>
      </w:tcPr>
    </w:tblStylePr>
    <w:tblStylePr w:type="lastRow">
      <w:rPr>
        <w:b/>
        <w:bCs/>
        <w:color w:val="575F6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a2">
    <w:name w:val="Светло оцветяване"/>
    <w:basedOn w:val="TableNormal"/>
    <w:uiPriority w:val="60"/>
    <w:rsid w:val="002F68D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FootnoteReference">
    <w:name w:val="footnote reference"/>
    <w:aliases w:val="Footnote symbol,SUPERS,BVI fnr,Footnote reference number,Times 10 Point,Exposant 3 Point,Ref,de nota al pie,note TESI,EN Footnote text,EN Footnote Reference,Footnote Reference Number,E FNZ,Appel note de bas de p,Nota,BVI fnr1,BVI fnr2"/>
    <w:basedOn w:val="DefaultParagraphFont"/>
    <w:uiPriority w:val="99"/>
    <w:unhideWhenUsed/>
    <w:qFormat/>
    <w:rsid w:val="001A5BD0"/>
    <w:rPr>
      <w:vertAlign w:val="superscript"/>
    </w:rPr>
  </w:style>
  <w:style w:type="table" w:customStyle="1" w:styleId="LightShading1">
    <w:name w:val="Light Shading1"/>
    <w:basedOn w:val="TableNormal"/>
    <w:uiPriority w:val="60"/>
    <w:rsid w:val="00BC3DDD"/>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unhideWhenUsed/>
    <w:rsid w:val="00D943B5"/>
  </w:style>
  <w:style w:type="character" w:customStyle="1" w:styleId="BodyTextChar">
    <w:name w:val="Body Text Char"/>
    <w:basedOn w:val="DefaultParagraphFont"/>
    <w:link w:val="BodyText"/>
    <w:rsid w:val="00D943B5"/>
    <w:rPr>
      <w:color w:val="404040" w:themeColor="text1" w:themeTint="BF"/>
      <w:sz w:val="22"/>
      <w:szCs w:val="22"/>
      <w:lang w:eastAsia="en-US"/>
    </w:rPr>
  </w:style>
  <w:style w:type="paragraph" w:customStyle="1" w:styleId="a3">
    <w:name w:val="Списък на абзаци"/>
    <w:basedOn w:val="Normal"/>
    <w:qFormat/>
    <w:rsid w:val="00D943B5"/>
    <w:pPr>
      <w:tabs>
        <w:tab w:val="left" w:pos="794"/>
      </w:tabs>
      <w:ind w:left="502" w:hanging="360"/>
    </w:pPr>
    <w:rPr>
      <w:sz w:val="21"/>
    </w:rPr>
  </w:style>
  <w:style w:type="table" w:customStyle="1" w:styleId="LightList-Accent11">
    <w:name w:val="Light List - Accent 11"/>
    <w:basedOn w:val="TableNormal"/>
    <w:uiPriority w:val="61"/>
    <w:rsid w:val="00E151DE"/>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tblBorders>
    </w:tblPr>
    <w:tblStylePr w:type="firstRow">
      <w:pPr>
        <w:spacing w:before="0" w:after="0" w:line="240" w:lineRule="auto"/>
      </w:pPr>
      <w:rPr>
        <w:b/>
        <w:bCs/>
        <w:color w:val="FFFFFF" w:themeColor="background1"/>
      </w:rPr>
      <w:tblPr/>
      <w:tcPr>
        <w:shd w:val="clear" w:color="auto" w:fill="F07F09" w:themeFill="accent1"/>
      </w:tcPr>
    </w:tblStylePr>
    <w:tblStylePr w:type="lastRow">
      <w:pPr>
        <w:spacing w:before="0" w:after="0" w:line="240" w:lineRule="auto"/>
      </w:pPr>
      <w:rPr>
        <w:b/>
        <w:bCs/>
      </w:rPr>
      <w:tblPr/>
      <w:tcPr>
        <w:tcBorders>
          <w:top w:val="double" w:sz="6" w:space="0" w:color="F07F09" w:themeColor="accent1"/>
          <w:left w:val="single" w:sz="8" w:space="0" w:color="F07F09" w:themeColor="accent1"/>
          <w:bottom w:val="single" w:sz="8" w:space="0" w:color="F07F09" w:themeColor="accent1"/>
          <w:right w:val="single" w:sz="8" w:space="0" w:color="F07F09" w:themeColor="accent1"/>
        </w:tcBorders>
      </w:tcPr>
    </w:tblStylePr>
    <w:tblStylePr w:type="firstCol">
      <w:rPr>
        <w:b/>
        <w:bCs/>
      </w:rPr>
    </w:tblStylePr>
    <w:tblStylePr w:type="lastCol">
      <w:rPr>
        <w:b/>
        <w:bCs/>
      </w:rPr>
    </w:tblStylePr>
    <w:tblStylePr w:type="band1Vert">
      <w:tbl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tblStylePr w:type="band1Horz">
      <w:tblPr/>
      <w:tcPr>
        <w:tcBorders>
          <w:top w:val="single" w:sz="8" w:space="0" w:color="F07F09" w:themeColor="accent1"/>
          <w:left w:val="single" w:sz="8" w:space="0" w:color="F07F09" w:themeColor="accent1"/>
          <w:bottom w:val="single" w:sz="8" w:space="0" w:color="F07F09" w:themeColor="accent1"/>
          <w:right w:val="single" w:sz="8" w:space="0" w:color="F07F09" w:themeColor="accent1"/>
        </w:tcBorders>
      </w:tcPr>
    </w:tblStylePr>
  </w:style>
  <w:style w:type="table" w:customStyle="1" w:styleId="MediumShading1-Accent12">
    <w:name w:val="Medium Shading 1 - Accent 12"/>
    <w:basedOn w:val="TableNormal"/>
    <w:uiPriority w:val="63"/>
    <w:rsid w:val="00E151DE"/>
    <w:tblPr>
      <w:tblStyleRowBandSize w:val="1"/>
      <w:tblStyleColBandSize w:val="1"/>
      <w:tbl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single" w:sz="8" w:space="0" w:color="F89E42" w:themeColor="accent1" w:themeTint="BF"/>
      </w:tblBorders>
    </w:tblPr>
    <w:tblStylePr w:type="firstRow">
      <w:pPr>
        <w:spacing w:before="0" w:after="0" w:line="240" w:lineRule="auto"/>
      </w:pPr>
      <w:rPr>
        <w:b/>
        <w:bCs/>
        <w:color w:val="FFFFFF" w:themeColor="background1"/>
      </w:rPr>
      <w:tblPr/>
      <w:tcPr>
        <w:tc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nil"/>
          <w:insideV w:val="nil"/>
        </w:tcBorders>
        <w:shd w:val="clear" w:color="auto" w:fill="F07F09" w:themeFill="accent1"/>
      </w:tcPr>
    </w:tblStylePr>
    <w:tblStylePr w:type="lastRow">
      <w:pPr>
        <w:spacing w:before="0" w:after="0" w:line="240" w:lineRule="auto"/>
      </w:pPr>
      <w:rPr>
        <w:b/>
        <w:bCs/>
      </w:rPr>
      <w:tblPr/>
      <w:tcPr>
        <w:tcBorders>
          <w:top w:val="double" w:sz="6"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FC0" w:themeFill="accent1" w:themeFillTint="3F"/>
      </w:tcPr>
    </w:tblStylePr>
    <w:tblStylePr w:type="band1Horz">
      <w:tblPr/>
      <w:tcPr>
        <w:tcBorders>
          <w:insideH w:val="nil"/>
          <w:insideV w:val="nil"/>
        </w:tcBorders>
        <w:shd w:val="clear" w:color="auto" w:fill="FCDFC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A2046"/>
    <w:tblPr>
      <w:tblStyleRowBandSize w:val="1"/>
      <w:tblStyleColBandSize w:val="1"/>
      <w:tbl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single" w:sz="8" w:space="0" w:color="CF4655" w:themeColor="accent2" w:themeTint="BF"/>
      </w:tblBorders>
    </w:tblPr>
    <w:tblStylePr w:type="firstRow">
      <w:pPr>
        <w:spacing w:before="0" w:after="0" w:line="240" w:lineRule="auto"/>
      </w:pPr>
      <w:rPr>
        <w:b/>
        <w:bCs/>
        <w:color w:val="FFFFFF" w:themeColor="background1"/>
      </w:rPr>
      <w:tblPr/>
      <w:tcPr>
        <w:tcBorders>
          <w:top w:val="single" w:sz="8"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nil"/>
          <w:insideV w:val="nil"/>
        </w:tcBorders>
        <w:shd w:val="clear" w:color="auto" w:fill="9F2936" w:themeFill="accent2"/>
      </w:tcPr>
    </w:tblStylePr>
    <w:tblStylePr w:type="lastRow">
      <w:pPr>
        <w:spacing w:before="0" w:after="0" w:line="240" w:lineRule="auto"/>
      </w:pPr>
      <w:rPr>
        <w:b/>
        <w:bCs/>
      </w:rPr>
      <w:tblPr/>
      <w:tcPr>
        <w:tcBorders>
          <w:top w:val="double" w:sz="6" w:space="0" w:color="CF4655" w:themeColor="accent2" w:themeTint="BF"/>
          <w:left w:val="single" w:sz="8" w:space="0" w:color="CF4655" w:themeColor="accent2" w:themeTint="BF"/>
          <w:bottom w:val="single" w:sz="8" w:space="0" w:color="CF4655" w:themeColor="accent2" w:themeTint="BF"/>
          <w:right w:val="single" w:sz="8" w:space="0" w:color="CF4655"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C2C6" w:themeFill="accent2" w:themeFillTint="3F"/>
      </w:tcPr>
    </w:tblStylePr>
    <w:tblStylePr w:type="band1Horz">
      <w:tblPr/>
      <w:tcPr>
        <w:tcBorders>
          <w:insideH w:val="nil"/>
          <w:insideV w:val="nil"/>
        </w:tcBorders>
        <w:shd w:val="clear" w:color="auto" w:fill="EFC2C6" w:themeFill="accent2" w:themeFillTint="3F"/>
      </w:tcPr>
    </w:tblStylePr>
    <w:tblStylePr w:type="band2Horz">
      <w:tblPr/>
      <w:tcPr>
        <w:tcBorders>
          <w:insideH w:val="nil"/>
          <w:insideV w:val="nil"/>
        </w:tcBorders>
      </w:tcPr>
    </w:tblStylePr>
  </w:style>
  <w:style w:type="paragraph" w:customStyle="1" w:styleId="CM1">
    <w:name w:val="CM1"/>
    <w:basedOn w:val="Default"/>
    <w:next w:val="Default"/>
    <w:uiPriority w:val="99"/>
    <w:rsid w:val="009D105C"/>
    <w:rPr>
      <w:rFonts w:ascii="EUAlbertina" w:eastAsia="Times New Roman" w:hAnsi="EUAlbertina" w:cs="Times New Roman"/>
      <w:color w:val="auto"/>
      <w:lang w:eastAsia="bg-BG"/>
    </w:rPr>
  </w:style>
  <w:style w:type="paragraph" w:customStyle="1" w:styleId="CM3">
    <w:name w:val="CM3"/>
    <w:basedOn w:val="Default"/>
    <w:next w:val="Default"/>
    <w:uiPriority w:val="99"/>
    <w:rsid w:val="009D105C"/>
    <w:rPr>
      <w:rFonts w:ascii="EUAlbertina" w:eastAsia="Times New Roman" w:hAnsi="EUAlbertina" w:cs="Times New Roman"/>
      <w:color w:val="auto"/>
      <w:lang w:eastAsia="bg-BG"/>
    </w:rPr>
  </w:style>
  <w:style w:type="character" w:customStyle="1" w:styleId="Heading5Char">
    <w:name w:val="Heading 5 Char"/>
    <w:basedOn w:val="DefaultParagraphFont"/>
    <w:link w:val="Heading5"/>
    <w:uiPriority w:val="9"/>
    <w:rsid w:val="00BE5B7B"/>
    <w:rPr>
      <w:rFonts w:asciiTheme="majorHAnsi" w:eastAsiaTheme="majorEastAsia" w:hAnsiTheme="majorHAnsi" w:cstheme="majorBidi"/>
      <w:b/>
      <w:color w:val="000000" w:themeColor="text1"/>
    </w:rPr>
  </w:style>
  <w:style w:type="character" w:styleId="FollowedHyperlink">
    <w:name w:val="FollowedHyperlink"/>
    <w:basedOn w:val="DefaultParagraphFont"/>
    <w:uiPriority w:val="99"/>
    <w:semiHidden/>
    <w:unhideWhenUsed/>
    <w:rsid w:val="0006464A"/>
    <w:rPr>
      <w:color w:val="B26B02" w:themeColor="followedHyperlink"/>
      <w:u w:val="single"/>
    </w:rPr>
  </w:style>
  <w:style w:type="paragraph" w:customStyle="1" w:styleId="listparagraph0">
    <w:name w:val="listparagraph"/>
    <w:basedOn w:val="Normal"/>
    <w:rsid w:val="00730ADA"/>
    <w:pPr>
      <w:spacing w:before="100" w:beforeAutospacing="1" w:after="100" w:afterAutospacing="1"/>
      <w:jc w:val="left"/>
    </w:pPr>
    <w:rPr>
      <w:rFonts w:eastAsiaTheme="minorHAnsi"/>
      <w:szCs w:val="24"/>
    </w:rPr>
  </w:style>
  <w:style w:type="paragraph" w:customStyle="1" w:styleId="m">
    <w:name w:val="m"/>
    <w:basedOn w:val="Normal"/>
    <w:rsid w:val="0025371D"/>
    <w:pPr>
      <w:spacing w:after="0"/>
      <w:ind w:firstLine="990"/>
    </w:pPr>
    <w:rPr>
      <w:rFonts w:eastAsia="Times New Roman"/>
      <w:color w:val="000000"/>
      <w:szCs w:val="24"/>
    </w:rPr>
  </w:style>
  <w:style w:type="paragraph" w:styleId="BodyTextIndent2">
    <w:name w:val="Body Text Indent 2"/>
    <w:basedOn w:val="Normal"/>
    <w:link w:val="BodyTextIndent2Char"/>
    <w:semiHidden/>
    <w:unhideWhenUsed/>
    <w:rsid w:val="005F28AC"/>
    <w:pPr>
      <w:spacing w:line="480" w:lineRule="auto"/>
      <w:ind w:left="283"/>
    </w:pPr>
  </w:style>
  <w:style w:type="character" w:customStyle="1" w:styleId="BodyTextIndent2Char">
    <w:name w:val="Body Text Indent 2 Char"/>
    <w:basedOn w:val="DefaultParagraphFont"/>
    <w:link w:val="BodyTextIndent2"/>
    <w:semiHidden/>
    <w:rsid w:val="005F28AC"/>
    <w:rPr>
      <w:color w:val="404040" w:themeColor="text1" w:themeTint="BF"/>
      <w:sz w:val="22"/>
      <w:szCs w:val="22"/>
      <w:lang w:eastAsia="en-US"/>
    </w:rPr>
  </w:style>
  <w:style w:type="character" w:customStyle="1" w:styleId="apple-converted-space">
    <w:name w:val="apple-converted-space"/>
    <w:basedOn w:val="DefaultParagraphFont"/>
    <w:rsid w:val="00324F42"/>
  </w:style>
  <w:style w:type="paragraph" w:styleId="EndnoteText">
    <w:name w:val="endnote text"/>
    <w:basedOn w:val="Normal"/>
    <w:link w:val="EndnoteTextChar"/>
    <w:uiPriority w:val="99"/>
    <w:semiHidden/>
    <w:unhideWhenUsed/>
    <w:rsid w:val="00783FA8"/>
    <w:pPr>
      <w:spacing w:after="0"/>
    </w:pPr>
    <w:rPr>
      <w:sz w:val="20"/>
      <w:szCs w:val="20"/>
    </w:rPr>
  </w:style>
  <w:style w:type="character" w:customStyle="1" w:styleId="EndnoteTextChar">
    <w:name w:val="Endnote Text Char"/>
    <w:basedOn w:val="DefaultParagraphFont"/>
    <w:link w:val="EndnoteText"/>
    <w:uiPriority w:val="99"/>
    <w:semiHidden/>
    <w:rsid w:val="00783FA8"/>
    <w:rPr>
      <w:color w:val="404040" w:themeColor="text1" w:themeTint="BF"/>
      <w:lang w:eastAsia="en-US"/>
    </w:rPr>
  </w:style>
  <w:style w:type="character" w:styleId="EndnoteReference">
    <w:name w:val="endnote reference"/>
    <w:basedOn w:val="DefaultParagraphFont"/>
    <w:uiPriority w:val="99"/>
    <w:semiHidden/>
    <w:unhideWhenUsed/>
    <w:rsid w:val="00783FA8"/>
    <w:rPr>
      <w:vertAlign w:val="superscript"/>
    </w:rPr>
  </w:style>
  <w:style w:type="paragraph" w:styleId="NormalWeb">
    <w:name w:val="Normal (Web)"/>
    <w:basedOn w:val="Normal"/>
    <w:uiPriority w:val="99"/>
    <w:semiHidden/>
    <w:unhideWhenUsed/>
    <w:rsid w:val="00165AC8"/>
    <w:pPr>
      <w:spacing w:after="0"/>
      <w:ind w:firstLine="990"/>
    </w:pPr>
    <w:rPr>
      <w:rFonts w:eastAsia="Times New Roman"/>
      <w:color w:val="000000"/>
      <w:szCs w:val="24"/>
    </w:rPr>
  </w:style>
  <w:style w:type="paragraph" w:styleId="PlainText">
    <w:name w:val="Plain Text"/>
    <w:basedOn w:val="Normal"/>
    <w:link w:val="PlainTextChar"/>
    <w:uiPriority w:val="99"/>
    <w:unhideWhenUsed/>
    <w:rsid w:val="0064715C"/>
    <w:pPr>
      <w:spacing w:after="0"/>
      <w:jc w:val="left"/>
    </w:pPr>
    <w:rPr>
      <w:rFonts w:eastAsia="Times New Roman" w:cs="Consolas"/>
      <w:szCs w:val="21"/>
    </w:rPr>
  </w:style>
  <w:style w:type="character" w:customStyle="1" w:styleId="PlainTextChar">
    <w:name w:val="Plain Text Char"/>
    <w:basedOn w:val="DefaultParagraphFont"/>
    <w:link w:val="PlainText"/>
    <w:uiPriority w:val="99"/>
    <w:rsid w:val="0064715C"/>
    <w:rPr>
      <w:rFonts w:eastAsia="Times New Roman" w:cs="Consolas"/>
      <w:sz w:val="22"/>
      <w:szCs w:val="21"/>
    </w:rPr>
  </w:style>
  <w:style w:type="character" w:customStyle="1" w:styleId="Heading6Char">
    <w:name w:val="Heading 6 Char"/>
    <w:basedOn w:val="DefaultParagraphFont"/>
    <w:link w:val="Heading6"/>
    <w:uiPriority w:val="9"/>
    <w:rsid w:val="00274467"/>
    <w:rPr>
      <w:rFonts w:asciiTheme="majorHAnsi" w:eastAsiaTheme="majorEastAsia" w:hAnsiTheme="majorHAnsi" w:cstheme="majorBidi"/>
      <w:i/>
      <w:iCs/>
      <w:color w:val="773F04" w:themeColor="accent1" w:themeShade="7F"/>
    </w:rPr>
  </w:style>
  <w:style w:type="table" w:styleId="MediumList1">
    <w:name w:val="Medium List 1"/>
    <w:basedOn w:val="TableNormal"/>
    <w:uiPriority w:val="65"/>
    <w:rsid w:val="00A75332"/>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323232"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LightShading-Accent61">
    <w:name w:val="Light Shading - Accent 61"/>
    <w:basedOn w:val="TableNormal"/>
    <w:next w:val="LightShading-Accent6"/>
    <w:uiPriority w:val="99"/>
    <w:rsid w:val="00FF474F"/>
    <w:rPr>
      <w:color w:val="000000"/>
      <w:lang w:val="en-GB" w:eastAsia="en-GB" w:bidi="en-GB"/>
    </w:rPr>
    <w:tblPr>
      <w:tblStyleRowBandSize w:val="1"/>
      <w:tblStyleColBandSize w:val="1"/>
      <w:tblInd w:w="113" w:type="dxa"/>
      <w:tblBorders>
        <w:top w:val="single" w:sz="8" w:space="0" w:color="777C84"/>
        <w:bottom w:val="single" w:sz="8" w:space="0" w:color="777C84"/>
      </w:tblBorders>
    </w:tblPr>
    <w:tblStylePr w:type="firstRow">
      <w:pPr>
        <w:spacing w:before="0" w:after="0" w:line="240" w:lineRule="auto"/>
      </w:pPr>
      <w:rPr>
        <w:b/>
        <w:bCs/>
      </w:rPr>
      <w:tblPr/>
      <w:tcPr>
        <w:tcBorders>
          <w:top w:val="single" w:sz="8" w:space="0" w:color="777C84"/>
          <w:left w:val="nil"/>
          <w:bottom w:val="single" w:sz="8" w:space="0" w:color="777C84"/>
          <w:right w:val="nil"/>
          <w:insideH w:val="nil"/>
          <w:insideV w:val="nil"/>
        </w:tcBorders>
      </w:tcPr>
    </w:tblStylePr>
    <w:tblStylePr w:type="lastRow">
      <w:pPr>
        <w:spacing w:before="0" w:after="0" w:line="240" w:lineRule="auto"/>
      </w:pPr>
      <w:rPr>
        <w:b/>
        <w:bCs/>
      </w:rPr>
      <w:tblPr/>
      <w:tcPr>
        <w:tcBorders>
          <w:top w:val="single" w:sz="8" w:space="0" w:color="777C84"/>
          <w:left w:val="nil"/>
          <w:bottom w:val="single" w:sz="8" w:space="0" w:color="777C8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DEE0"/>
      </w:tcPr>
    </w:tblStylePr>
    <w:tblStylePr w:type="band1Horz">
      <w:tblPr/>
      <w:tcPr>
        <w:tcBorders>
          <w:left w:val="nil"/>
          <w:right w:val="nil"/>
          <w:insideH w:val="nil"/>
          <w:insideV w:val="nil"/>
        </w:tcBorders>
        <w:shd w:val="clear" w:color="auto" w:fill="DDDEE0"/>
      </w:tcPr>
    </w:tblStylePr>
  </w:style>
  <w:style w:type="paragraph" w:customStyle="1" w:styleId="a4">
    <w:name w:val="каре"/>
    <w:basedOn w:val="Normal"/>
    <w:qFormat/>
    <w:rsid w:val="00392DAB"/>
    <w:pPr>
      <w:pBdr>
        <w:top w:val="single" w:sz="2" w:space="1" w:color="4E8542" w:themeColor="accent4"/>
        <w:left w:val="single" w:sz="2" w:space="4" w:color="4E8542" w:themeColor="accent4"/>
        <w:bottom w:val="single" w:sz="2" w:space="1" w:color="4E8542" w:themeColor="accent4"/>
        <w:right w:val="single" w:sz="2" w:space="4" w:color="4E8542" w:themeColor="accent4"/>
      </w:pBdr>
      <w:shd w:val="clear" w:color="auto" w:fill="D9EAD5" w:themeFill="accent4" w:themeFillTint="33"/>
      <w:spacing w:after="0"/>
    </w:pPr>
    <w:rPr>
      <w:rFonts w:eastAsia="Times New Roman"/>
      <w:bCs/>
      <w:i/>
    </w:rPr>
  </w:style>
  <w:style w:type="paragraph" w:styleId="Subtitle">
    <w:name w:val="Subtitle"/>
    <w:basedOn w:val="Normal"/>
    <w:next w:val="Normal"/>
    <w:link w:val="SubtitleChar"/>
    <w:qFormat/>
    <w:rsid w:val="00802FC3"/>
    <w:pPr>
      <w:numPr>
        <w:ilvl w:val="1"/>
      </w:numPr>
      <w:jc w:val="left"/>
    </w:pPr>
    <w:rPr>
      <w:rFonts w:asciiTheme="majorHAnsi" w:eastAsiaTheme="majorEastAsia" w:hAnsiTheme="majorHAnsi" w:cstheme="majorBidi"/>
      <w:iCs/>
      <w:color w:val="595959" w:themeColor="text1" w:themeTint="A6"/>
      <w:spacing w:val="15"/>
      <w:sz w:val="40"/>
      <w:szCs w:val="24"/>
      <w:lang w:val="en-GB"/>
    </w:rPr>
  </w:style>
  <w:style w:type="character" w:customStyle="1" w:styleId="SubtitleChar">
    <w:name w:val="Subtitle Char"/>
    <w:basedOn w:val="DefaultParagraphFont"/>
    <w:link w:val="Subtitle"/>
    <w:rsid w:val="00802FC3"/>
    <w:rPr>
      <w:rFonts w:asciiTheme="majorHAnsi" w:eastAsiaTheme="majorEastAsia" w:hAnsiTheme="majorHAnsi" w:cstheme="majorBidi"/>
      <w:iCs/>
      <w:color w:val="595959" w:themeColor="text1" w:themeTint="A6"/>
      <w:spacing w:val="15"/>
      <w:sz w:val="40"/>
      <w:szCs w:val="24"/>
      <w:lang w:val="en-GB" w:eastAsia="en-US"/>
    </w:rPr>
  </w:style>
  <w:style w:type="paragraph" w:customStyle="1" w:styleId="doc-ti">
    <w:name w:val="doc-ti"/>
    <w:basedOn w:val="Normal"/>
    <w:rsid w:val="00E71C7B"/>
    <w:pPr>
      <w:spacing w:before="100" w:beforeAutospacing="1" w:after="100" w:afterAutospacing="1"/>
      <w:jc w:val="left"/>
    </w:pPr>
    <w:rPr>
      <w:rFonts w:eastAsia="Times New Roman"/>
      <w:szCs w:val="24"/>
    </w:rPr>
  </w:style>
  <w:style w:type="table" w:customStyle="1" w:styleId="Style1">
    <w:name w:val="Style1"/>
    <w:basedOn w:val="TableNormal"/>
    <w:uiPriority w:val="99"/>
    <w:rsid w:val="00AE2692"/>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paragraph" w:customStyle="1" w:styleId="footnote">
    <w:name w:val="footnote"/>
    <w:basedOn w:val="Normal"/>
    <w:link w:val="footnoteChar"/>
    <w:uiPriority w:val="99"/>
    <w:rsid w:val="00461C7F"/>
    <w:pPr>
      <w:spacing w:after="0"/>
    </w:pPr>
    <w:rPr>
      <w:rFonts w:ascii="Verdana" w:eastAsia="Calibri" w:hAnsi="Verdana"/>
      <w:sz w:val="14"/>
      <w:szCs w:val="20"/>
    </w:rPr>
  </w:style>
  <w:style w:type="character" w:customStyle="1" w:styleId="footnoteChar">
    <w:name w:val="footnote Char"/>
    <w:link w:val="footnote"/>
    <w:uiPriority w:val="99"/>
    <w:locked/>
    <w:rsid w:val="00461C7F"/>
    <w:rPr>
      <w:rFonts w:ascii="Verdana" w:eastAsia="Calibri" w:hAnsi="Verdana"/>
      <w:sz w:val="14"/>
    </w:rPr>
  </w:style>
  <w:style w:type="paragraph" w:customStyle="1" w:styleId="a5">
    <w:name w:val="Обикн. параграф"/>
    <w:basedOn w:val="Normal"/>
    <w:link w:val="Char1"/>
    <w:rsid w:val="007B71CE"/>
    <w:pPr>
      <w:spacing w:before="120" w:after="0" w:line="360" w:lineRule="auto"/>
      <w:ind w:firstLine="720"/>
    </w:pPr>
    <w:rPr>
      <w:rFonts w:eastAsia="Times New Roman"/>
      <w:szCs w:val="20"/>
    </w:rPr>
  </w:style>
  <w:style w:type="character" w:customStyle="1" w:styleId="FootnoteTextChar1">
    <w:name w:val="Footnote Text Char1"/>
    <w:aliases w:val="Footnote Char2,Footnote1 Char2,Footnote2 Char2,Footnote3 Char2,stile 1 Char2,Footnote4 Char2,Footnote5 Char2,Footnote6 Char2,Footnote7 Char2,Footnote8 Char2,Footnote9 Char2,Footnote10 Char2,Footnote11 Char2,Footnote21 Char2,fn Char2"/>
    <w:uiPriority w:val="99"/>
    <w:rsid w:val="007B71CE"/>
    <w:rPr>
      <w:lang w:val="bg-BG"/>
    </w:rPr>
  </w:style>
  <w:style w:type="table" w:customStyle="1" w:styleId="TableGrid1">
    <w:name w:val="Table Grid1"/>
    <w:basedOn w:val="TableNormal"/>
    <w:next w:val="TableGrid"/>
    <w:rsid w:val="000856AB"/>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56AB"/>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856AB"/>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0856AB"/>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0856AB"/>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1">
    <w:name w:val="Style11"/>
    <w:basedOn w:val="TableNormal"/>
    <w:uiPriority w:val="99"/>
    <w:rsid w:val="000F4063"/>
    <w:rPr>
      <w:sz w:val="18"/>
    </w:rPr>
    <w:tblPr>
      <w:tblBorders>
        <w:top w:val="single" w:sz="2" w:space="0" w:color="7F7F7F"/>
        <w:bottom w:val="single" w:sz="2" w:space="0" w:color="7F7F7F"/>
        <w:insideH w:val="single" w:sz="2" w:space="0" w:color="7F7F7F"/>
        <w:insideV w:val="single" w:sz="2" w:space="0" w:color="7F7F7F"/>
      </w:tblBorders>
    </w:tblPr>
  </w:style>
  <w:style w:type="table" w:customStyle="1" w:styleId="Style12">
    <w:name w:val="Style12"/>
    <w:basedOn w:val="TableNormal"/>
    <w:uiPriority w:val="99"/>
    <w:rsid w:val="00DF1DA5"/>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table" w:customStyle="1" w:styleId="Style13">
    <w:name w:val="Style13"/>
    <w:basedOn w:val="TableNormal"/>
    <w:uiPriority w:val="99"/>
    <w:rsid w:val="00DF1DA5"/>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table" w:customStyle="1" w:styleId="Style14">
    <w:name w:val="Style14"/>
    <w:basedOn w:val="TableNormal"/>
    <w:uiPriority w:val="99"/>
    <w:rsid w:val="00DF1DA5"/>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table" w:customStyle="1" w:styleId="Style15">
    <w:name w:val="Style15"/>
    <w:basedOn w:val="TableNormal"/>
    <w:uiPriority w:val="99"/>
    <w:rsid w:val="00DF1DA5"/>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table" w:customStyle="1" w:styleId="Style16">
    <w:name w:val="Style16"/>
    <w:basedOn w:val="TableNormal"/>
    <w:uiPriority w:val="99"/>
    <w:rsid w:val="00D425D2"/>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table" w:customStyle="1" w:styleId="Style17">
    <w:name w:val="Style17"/>
    <w:basedOn w:val="TableNormal"/>
    <w:uiPriority w:val="99"/>
    <w:rsid w:val="00D425D2"/>
    <w:rPr>
      <w:sz w:val="18"/>
    </w:rPr>
    <w:tblPr>
      <w:tblBorders>
        <w:top w:val="single" w:sz="2" w:space="0" w:color="7F7F7F" w:themeColor="text1" w:themeTint="80"/>
        <w:bottom w:val="single" w:sz="2" w:space="0" w:color="7F7F7F" w:themeColor="text1" w:themeTint="80"/>
        <w:insideH w:val="single" w:sz="2" w:space="0" w:color="7F7F7F" w:themeColor="text1" w:themeTint="80"/>
        <w:insideV w:val="single" w:sz="2" w:space="0" w:color="7F7F7F" w:themeColor="text1" w:themeTint="80"/>
      </w:tblBorders>
    </w:tblPr>
  </w:style>
  <w:style w:type="table" w:customStyle="1" w:styleId="TableGrid6">
    <w:name w:val="Table Grid6"/>
    <w:basedOn w:val="TableNormal"/>
    <w:next w:val="TableGrid"/>
    <w:uiPriority w:val="59"/>
    <w:rsid w:val="003B3A19"/>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8">
    <w:name w:val="Style18"/>
    <w:basedOn w:val="TableNormal"/>
    <w:uiPriority w:val="99"/>
    <w:rsid w:val="00CA14AB"/>
    <w:rPr>
      <w:sz w:val="18"/>
    </w:rPr>
    <w:tblPr>
      <w:tblBorders>
        <w:top w:val="single" w:sz="2" w:space="0" w:color="7F7F7F"/>
        <w:bottom w:val="single" w:sz="2" w:space="0" w:color="7F7F7F"/>
        <w:insideH w:val="single" w:sz="2" w:space="0" w:color="7F7F7F"/>
        <w:insideV w:val="single" w:sz="2" w:space="0" w:color="7F7F7F"/>
      </w:tblBorders>
    </w:tblPr>
  </w:style>
  <w:style w:type="table" w:customStyle="1" w:styleId="Style19">
    <w:name w:val="Style19"/>
    <w:basedOn w:val="TableNormal"/>
    <w:uiPriority w:val="99"/>
    <w:rsid w:val="00F46540"/>
    <w:rPr>
      <w:sz w:val="18"/>
    </w:rPr>
    <w:tblPr>
      <w:tblBorders>
        <w:top w:val="single" w:sz="2" w:space="0" w:color="7F7F7F"/>
        <w:bottom w:val="single" w:sz="2" w:space="0" w:color="7F7F7F"/>
        <w:insideH w:val="single" w:sz="2" w:space="0" w:color="7F7F7F"/>
        <w:insideV w:val="single" w:sz="2" w:space="0" w:color="7F7F7F"/>
      </w:tblBorders>
    </w:tblPr>
  </w:style>
  <w:style w:type="table" w:customStyle="1" w:styleId="Style110">
    <w:name w:val="Style110"/>
    <w:basedOn w:val="TableNormal"/>
    <w:uiPriority w:val="99"/>
    <w:rsid w:val="003008A4"/>
    <w:rPr>
      <w:sz w:val="18"/>
    </w:rPr>
    <w:tblPr>
      <w:tblBorders>
        <w:top w:val="single" w:sz="2" w:space="0" w:color="7F7F7F"/>
        <w:bottom w:val="single" w:sz="2" w:space="0" w:color="7F7F7F"/>
        <w:insideH w:val="single" w:sz="2" w:space="0" w:color="7F7F7F"/>
        <w:insideV w:val="single" w:sz="2" w:space="0" w:color="7F7F7F"/>
      </w:tblBorders>
    </w:tblPr>
  </w:style>
  <w:style w:type="paragraph" w:customStyle="1" w:styleId="ListParagraph2">
    <w:name w:val="List Paragraph2"/>
    <w:basedOn w:val="ListParagraph"/>
    <w:qFormat/>
    <w:rsid w:val="00064DE9"/>
    <w:pPr>
      <w:numPr>
        <w:ilvl w:val="1"/>
        <w:numId w:val="4"/>
      </w:numPr>
    </w:pPr>
  </w:style>
  <w:style w:type="table" w:customStyle="1" w:styleId="Style191">
    <w:name w:val="Style191"/>
    <w:basedOn w:val="TableNormal"/>
    <w:uiPriority w:val="99"/>
    <w:rsid w:val="009A635E"/>
    <w:rPr>
      <w:sz w:val="18"/>
    </w:rPr>
    <w:tblPr>
      <w:tblBorders>
        <w:top w:val="single" w:sz="2" w:space="0" w:color="7F7F7F"/>
        <w:bottom w:val="single" w:sz="2" w:space="0" w:color="7F7F7F"/>
        <w:insideH w:val="single" w:sz="2" w:space="0" w:color="7F7F7F"/>
        <w:insideV w:val="single" w:sz="2" w:space="0" w:color="7F7F7F"/>
      </w:tblBorders>
    </w:tblPr>
  </w:style>
  <w:style w:type="character" w:customStyle="1" w:styleId="Char1">
    <w:name w:val="Обикн. параграф Char"/>
    <w:link w:val="a5"/>
    <w:locked/>
    <w:rsid w:val="0040503E"/>
    <w:rPr>
      <w:rFonts w:ascii="Times New Roman" w:eastAsia="Times New Roman" w:hAnsi="Times New Roman"/>
      <w:sz w:val="24"/>
    </w:rPr>
  </w:style>
  <w:style w:type="table" w:customStyle="1" w:styleId="GridTable5Dark-Accent11">
    <w:name w:val="Grid Table 5 Dark - Accent 11"/>
    <w:basedOn w:val="TableNormal"/>
    <w:uiPriority w:val="50"/>
    <w:rsid w:val="00A0783A"/>
    <w:rPr>
      <w:rFonts w:asciiTheme="minorHAnsi" w:eastAsiaTheme="minorHAnsi" w:hAnsiTheme="minorHAnsi" w:cstheme="minorBidi"/>
      <w:sz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5CC"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7F0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7F0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7F0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7F09" w:themeFill="accent1"/>
      </w:tcPr>
    </w:tblStylePr>
    <w:tblStylePr w:type="band1Vert">
      <w:tblPr/>
      <w:tcPr>
        <w:shd w:val="clear" w:color="auto" w:fill="FBCB9A" w:themeFill="accent1" w:themeFillTint="66"/>
      </w:tcPr>
    </w:tblStylePr>
    <w:tblStylePr w:type="band1Horz">
      <w:tblPr/>
      <w:tcPr>
        <w:shd w:val="clear" w:color="auto" w:fill="FBCB9A" w:themeFill="accent1" w:themeFillTint="66"/>
      </w:tcPr>
    </w:tblStylePr>
  </w:style>
  <w:style w:type="table" w:customStyle="1" w:styleId="TableGrid7">
    <w:name w:val="Table Grid7"/>
    <w:basedOn w:val="TableNormal"/>
    <w:next w:val="TableGrid"/>
    <w:uiPriority w:val="59"/>
    <w:rsid w:val="00F5452B"/>
    <w:rPr>
      <w:rFonts w:eastAsia="Calibri"/>
      <w:sz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207054"/>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207054"/>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207054"/>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207054"/>
    <w:rPr>
      <w:rFonts w:eastAsia="Calibr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locked/>
    <w:rsid w:val="0073650C"/>
    <w:rPr>
      <w:b/>
      <w:bCs/>
      <w:color w:val="6768AB"/>
      <w:sz w:val="20"/>
      <w:szCs w:val="18"/>
    </w:rPr>
  </w:style>
  <w:style w:type="character" w:customStyle="1" w:styleId="ListParagraphChar">
    <w:name w:val="List Paragraph Char"/>
    <w:aliases w:val="Recommendatio Char,Párrafo de lista Char,Recommendation Char,OBC Bullet Char,Dot pt Char,F5 List Paragraph Char,No Spacing1 Char,List Paragraph Char Char Char Char,Indicator Text Char,Numbered Para 1 Char,Bullet 1 Char,L Char,3 Char"/>
    <w:link w:val="ListParagraph"/>
    <w:uiPriority w:val="34"/>
    <w:qFormat/>
    <w:locked/>
    <w:rsid w:val="00597F1E"/>
  </w:style>
  <w:style w:type="table" w:styleId="GridTable1Light-Accent1">
    <w:name w:val="Grid Table 1 Light Accent 1"/>
    <w:basedOn w:val="TableNormal"/>
    <w:uiPriority w:val="46"/>
    <w:rsid w:val="007B1D84"/>
    <w:pPr>
      <w:spacing w:after="0"/>
    </w:pPr>
    <w:tblPr>
      <w:tblStyleRowBandSize w:val="1"/>
      <w:tblStyleColBandSize w:val="1"/>
      <w:tblBorders>
        <w:top w:val="single" w:sz="4" w:space="0" w:color="FBCB9A" w:themeColor="accent1" w:themeTint="66"/>
        <w:left w:val="single" w:sz="4" w:space="0" w:color="FBCB9A" w:themeColor="accent1" w:themeTint="66"/>
        <w:bottom w:val="single" w:sz="4" w:space="0" w:color="FBCB9A" w:themeColor="accent1" w:themeTint="66"/>
        <w:right w:val="single" w:sz="4" w:space="0" w:color="FBCB9A" w:themeColor="accent1" w:themeTint="66"/>
        <w:insideH w:val="single" w:sz="4" w:space="0" w:color="FBCB9A" w:themeColor="accent1" w:themeTint="66"/>
        <w:insideV w:val="single" w:sz="4" w:space="0" w:color="FBCB9A" w:themeColor="accent1" w:themeTint="66"/>
      </w:tblBorders>
    </w:tblPr>
    <w:tblStylePr w:type="firstRow">
      <w:rPr>
        <w:b/>
        <w:bCs/>
      </w:rPr>
      <w:tblPr/>
      <w:tcPr>
        <w:tcBorders>
          <w:bottom w:val="single" w:sz="12" w:space="0" w:color="F9B268" w:themeColor="accent1" w:themeTint="99"/>
        </w:tcBorders>
      </w:tcPr>
    </w:tblStylePr>
    <w:tblStylePr w:type="lastRow">
      <w:rPr>
        <w:b/>
        <w:bCs/>
      </w:rPr>
      <w:tblPr/>
      <w:tcPr>
        <w:tcBorders>
          <w:top w:val="double" w:sz="2" w:space="0" w:color="F9B268" w:themeColor="accen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C1337B"/>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3">
    <w:name w:val="Body Text 3"/>
    <w:basedOn w:val="Normal"/>
    <w:link w:val="BodyText3Char"/>
    <w:uiPriority w:val="99"/>
    <w:unhideWhenUsed/>
    <w:rsid w:val="0081379D"/>
    <w:rPr>
      <w:sz w:val="16"/>
      <w:szCs w:val="16"/>
    </w:rPr>
  </w:style>
  <w:style w:type="character" w:customStyle="1" w:styleId="BodyText3Char">
    <w:name w:val="Body Text 3 Char"/>
    <w:basedOn w:val="DefaultParagraphFont"/>
    <w:link w:val="BodyText3"/>
    <w:uiPriority w:val="99"/>
    <w:rsid w:val="0081379D"/>
    <w:rPr>
      <w:sz w:val="16"/>
      <w:szCs w:val="16"/>
    </w:rPr>
  </w:style>
  <w:style w:type="paragraph" w:styleId="BodyText2">
    <w:name w:val="Body Text 2"/>
    <w:basedOn w:val="Normal"/>
    <w:link w:val="BodyText2Char"/>
    <w:uiPriority w:val="99"/>
    <w:semiHidden/>
    <w:unhideWhenUsed/>
    <w:rsid w:val="006251FD"/>
    <w:pPr>
      <w:spacing w:line="480" w:lineRule="auto"/>
    </w:pPr>
    <w:rPr>
      <w:rFonts w:asciiTheme="minorHAnsi" w:hAnsiTheme="minorHAnsi"/>
      <w:color w:val="262626" w:themeColor="text1" w:themeTint="D9"/>
      <w:sz w:val="22"/>
      <w:lang w:eastAsia="en-US"/>
    </w:rPr>
  </w:style>
  <w:style w:type="character" w:customStyle="1" w:styleId="BodyText2Char">
    <w:name w:val="Body Text 2 Char"/>
    <w:basedOn w:val="DefaultParagraphFont"/>
    <w:link w:val="BodyText2"/>
    <w:uiPriority w:val="99"/>
    <w:semiHidden/>
    <w:rsid w:val="006251FD"/>
    <w:rPr>
      <w:rFonts w:asciiTheme="minorHAnsi" w:hAnsiTheme="minorHAnsi"/>
      <w:color w:val="262626" w:themeColor="text1" w:themeTint="D9"/>
      <w:sz w:val="22"/>
      <w:lang w:eastAsia="en-US"/>
    </w:rPr>
  </w:style>
  <w:style w:type="paragraph" w:customStyle="1" w:styleId="a6">
    <w:name w:val="табл"/>
    <w:basedOn w:val="Normal"/>
    <w:qFormat/>
    <w:rsid w:val="001C65FE"/>
    <w:pPr>
      <w:spacing w:after="0"/>
    </w:pPr>
    <w:rPr>
      <w:rFonts w:ascii="Calibri" w:eastAsia="Times New Roman" w:hAnsi="Calibri"/>
      <w:color w:val="262626" w:themeColor="text1" w:themeTint="D9"/>
      <w:sz w:val="16"/>
      <w:szCs w:val="14"/>
      <w:lang w:val="en-GB" w:eastAsia="ja-JP"/>
    </w:rPr>
  </w:style>
  <w:style w:type="paragraph" w:customStyle="1" w:styleId="oj-doc-ti">
    <w:name w:val="oj-doc-ti"/>
    <w:basedOn w:val="Normal"/>
    <w:rsid w:val="008764B6"/>
    <w:pPr>
      <w:spacing w:before="240"/>
      <w:jc w:val="center"/>
    </w:pPr>
    <w:rPr>
      <w:rFonts w:eastAsia="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86885">
      <w:bodyDiv w:val="1"/>
      <w:marLeft w:val="0"/>
      <w:marRight w:val="0"/>
      <w:marTop w:val="0"/>
      <w:marBottom w:val="0"/>
      <w:divBdr>
        <w:top w:val="none" w:sz="0" w:space="0" w:color="auto"/>
        <w:left w:val="none" w:sz="0" w:space="0" w:color="auto"/>
        <w:bottom w:val="none" w:sz="0" w:space="0" w:color="auto"/>
        <w:right w:val="none" w:sz="0" w:space="0" w:color="auto"/>
      </w:divBdr>
    </w:div>
    <w:div w:id="12532615">
      <w:bodyDiv w:val="1"/>
      <w:marLeft w:val="0"/>
      <w:marRight w:val="0"/>
      <w:marTop w:val="0"/>
      <w:marBottom w:val="0"/>
      <w:divBdr>
        <w:top w:val="none" w:sz="0" w:space="0" w:color="auto"/>
        <w:left w:val="none" w:sz="0" w:space="0" w:color="auto"/>
        <w:bottom w:val="none" w:sz="0" w:space="0" w:color="auto"/>
        <w:right w:val="none" w:sz="0" w:space="0" w:color="auto"/>
      </w:divBdr>
    </w:div>
    <w:div w:id="13312285">
      <w:bodyDiv w:val="1"/>
      <w:marLeft w:val="0"/>
      <w:marRight w:val="0"/>
      <w:marTop w:val="0"/>
      <w:marBottom w:val="0"/>
      <w:divBdr>
        <w:top w:val="none" w:sz="0" w:space="0" w:color="auto"/>
        <w:left w:val="none" w:sz="0" w:space="0" w:color="auto"/>
        <w:bottom w:val="none" w:sz="0" w:space="0" w:color="auto"/>
        <w:right w:val="none" w:sz="0" w:space="0" w:color="auto"/>
      </w:divBdr>
    </w:div>
    <w:div w:id="13698847">
      <w:bodyDiv w:val="1"/>
      <w:marLeft w:val="0"/>
      <w:marRight w:val="0"/>
      <w:marTop w:val="0"/>
      <w:marBottom w:val="0"/>
      <w:divBdr>
        <w:top w:val="none" w:sz="0" w:space="0" w:color="auto"/>
        <w:left w:val="none" w:sz="0" w:space="0" w:color="auto"/>
        <w:bottom w:val="none" w:sz="0" w:space="0" w:color="auto"/>
        <w:right w:val="none" w:sz="0" w:space="0" w:color="auto"/>
      </w:divBdr>
    </w:div>
    <w:div w:id="18095236">
      <w:bodyDiv w:val="1"/>
      <w:marLeft w:val="0"/>
      <w:marRight w:val="0"/>
      <w:marTop w:val="0"/>
      <w:marBottom w:val="0"/>
      <w:divBdr>
        <w:top w:val="none" w:sz="0" w:space="0" w:color="auto"/>
        <w:left w:val="none" w:sz="0" w:space="0" w:color="auto"/>
        <w:bottom w:val="none" w:sz="0" w:space="0" w:color="auto"/>
        <w:right w:val="none" w:sz="0" w:space="0" w:color="auto"/>
      </w:divBdr>
    </w:div>
    <w:div w:id="21904637">
      <w:bodyDiv w:val="1"/>
      <w:marLeft w:val="0"/>
      <w:marRight w:val="0"/>
      <w:marTop w:val="0"/>
      <w:marBottom w:val="0"/>
      <w:divBdr>
        <w:top w:val="none" w:sz="0" w:space="0" w:color="auto"/>
        <w:left w:val="none" w:sz="0" w:space="0" w:color="auto"/>
        <w:bottom w:val="none" w:sz="0" w:space="0" w:color="auto"/>
        <w:right w:val="none" w:sz="0" w:space="0" w:color="auto"/>
      </w:divBdr>
    </w:div>
    <w:div w:id="29457384">
      <w:bodyDiv w:val="1"/>
      <w:marLeft w:val="0"/>
      <w:marRight w:val="0"/>
      <w:marTop w:val="0"/>
      <w:marBottom w:val="0"/>
      <w:divBdr>
        <w:top w:val="none" w:sz="0" w:space="0" w:color="auto"/>
        <w:left w:val="none" w:sz="0" w:space="0" w:color="auto"/>
        <w:bottom w:val="none" w:sz="0" w:space="0" w:color="auto"/>
        <w:right w:val="none" w:sz="0" w:space="0" w:color="auto"/>
      </w:divBdr>
    </w:div>
    <w:div w:id="32507971">
      <w:bodyDiv w:val="1"/>
      <w:marLeft w:val="0"/>
      <w:marRight w:val="0"/>
      <w:marTop w:val="0"/>
      <w:marBottom w:val="0"/>
      <w:divBdr>
        <w:top w:val="none" w:sz="0" w:space="0" w:color="auto"/>
        <w:left w:val="none" w:sz="0" w:space="0" w:color="auto"/>
        <w:bottom w:val="none" w:sz="0" w:space="0" w:color="auto"/>
        <w:right w:val="none" w:sz="0" w:space="0" w:color="auto"/>
      </w:divBdr>
    </w:div>
    <w:div w:id="35082400">
      <w:bodyDiv w:val="1"/>
      <w:marLeft w:val="0"/>
      <w:marRight w:val="0"/>
      <w:marTop w:val="0"/>
      <w:marBottom w:val="0"/>
      <w:divBdr>
        <w:top w:val="none" w:sz="0" w:space="0" w:color="auto"/>
        <w:left w:val="none" w:sz="0" w:space="0" w:color="auto"/>
        <w:bottom w:val="none" w:sz="0" w:space="0" w:color="auto"/>
        <w:right w:val="none" w:sz="0" w:space="0" w:color="auto"/>
      </w:divBdr>
    </w:div>
    <w:div w:id="38476259">
      <w:bodyDiv w:val="1"/>
      <w:marLeft w:val="0"/>
      <w:marRight w:val="0"/>
      <w:marTop w:val="0"/>
      <w:marBottom w:val="0"/>
      <w:divBdr>
        <w:top w:val="none" w:sz="0" w:space="0" w:color="auto"/>
        <w:left w:val="none" w:sz="0" w:space="0" w:color="auto"/>
        <w:bottom w:val="none" w:sz="0" w:space="0" w:color="auto"/>
        <w:right w:val="none" w:sz="0" w:space="0" w:color="auto"/>
      </w:divBdr>
    </w:div>
    <w:div w:id="45227069">
      <w:bodyDiv w:val="1"/>
      <w:marLeft w:val="0"/>
      <w:marRight w:val="0"/>
      <w:marTop w:val="0"/>
      <w:marBottom w:val="0"/>
      <w:divBdr>
        <w:top w:val="none" w:sz="0" w:space="0" w:color="auto"/>
        <w:left w:val="none" w:sz="0" w:space="0" w:color="auto"/>
        <w:bottom w:val="none" w:sz="0" w:space="0" w:color="auto"/>
        <w:right w:val="none" w:sz="0" w:space="0" w:color="auto"/>
      </w:divBdr>
    </w:div>
    <w:div w:id="47532967">
      <w:bodyDiv w:val="1"/>
      <w:marLeft w:val="0"/>
      <w:marRight w:val="0"/>
      <w:marTop w:val="0"/>
      <w:marBottom w:val="0"/>
      <w:divBdr>
        <w:top w:val="none" w:sz="0" w:space="0" w:color="auto"/>
        <w:left w:val="none" w:sz="0" w:space="0" w:color="auto"/>
        <w:bottom w:val="none" w:sz="0" w:space="0" w:color="auto"/>
        <w:right w:val="none" w:sz="0" w:space="0" w:color="auto"/>
      </w:divBdr>
    </w:div>
    <w:div w:id="57361188">
      <w:bodyDiv w:val="1"/>
      <w:marLeft w:val="0"/>
      <w:marRight w:val="0"/>
      <w:marTop w:val="0"/>
      <w:marBottom w:val="0"/>
      <w:divBdr>
        <w:top w:val="none" w:sz="0" w:space="0" w:color="auto"/>
        <w:left w:val="none" w:sz="0" w:space="0" w:color="auto"/>
        <w:bottom w:val="none" w:sz="0" w:space="0" w:color="auto"/>
        <w:right w:val="none" w:sz="0" w:space="0" w:color="auto"/>
      </w:divBdr>
    </w:div>
    <w:div w:id="60061506">
      <w:bodyDiv w:val="1"/>
      <w:marLeft w:val="0"/>
      <w:marRight w:val="0"/>
      <w:marTop w:val="0"/>
      <w:marBottom w:val="0"/>
      <w:divBdr>
        <w:top w:val="none" w:sz="0" w:space="0" w:color="auto"/>
        <w:left w:val="none" w:sz="0" w:space="0" w:color="auto"/>
        <w:bottom w:val="none" w:sz="0" w:space="0" w:color="auto"/>
        <w:right w:val="none" w:sz="0" w:space="0" w:color="auto"/>
      </w:divBdr>
    </w:div>
    <w:div w:id="68160479">
      <w:bodyDiv w:val="1"/>
      <w:marLeft w:val="0"/>
      <w:marRight w:val="0"/>
      <w:marTop w:val="0"/>
      <w:marBottom w:val="0"/>
      <w:divBdr>
        <w:top w:val="none" w:sz="0" w:space="0" w:color="auto"/>
        <w:left w:val="none" w:sz="0" w:space="0" w:color="auto"/>
        <w:bottom w:val="none" w:sz="0" w:space="0" w:color="auto"/>
        <w:right w:val="none" w:sz="0" w:space="0" w:color="auto"/>
      </w:divBdr>
    </w:div>
    <w:div w:id="75174924">
      <w:bodyDiv w:val="1"/>
      <w:marLeft w:val="0"/>
      <w:marRight w:val="0"/>
      <w:marTop w:val="0"/>
      <w:marBottom w:val="0"/>
      <w:divBdr>
        <w:top w:val="none" w:sz="0" w:space="0" w:color="auto"/>
        <w:left w:val="none" w:sz="0" w:space="0" w:color="auto"/>
        <w:bottom w:val="none" w:sz="0" w:space="0" w:color="auto"/>
        <w:right w:val="none" w:sz="0" w:space="0" w:color="auto"/>
      </w:divBdr>
    </w:div>
    <w:div w:id="86266913">
      <w:bodyDiv w:val="1"/>
      <w:marLeft w:val="0"/>
      <w:marRight w:val="0"/>
      <w:marTop w:val="0"/>
      <w:marBottom w:val="0"/>
      <w:divBdr>
        <w:top w:val="none" w:sz="0" w:space="0" w:color="auto"/>
        <w:left w:val="none" w:sz="0" w:space="0" w:color="auto"/>
        <w:bottom w:val="none" w:sz="0" w:space="0" w:color="auto"/>
        <w:right w:val="none" w:sz="0" w:space="0" w:color="auto"/>
      </w:divBdr>
    </w:div>
    <w:div w:id="97993972">
      <w:bodyDiv w:val="1"/>
      <w:marLeft w:val="0"/>
      <w:marRight w:val="0"/>
      <w:marTop w:val="0"/>
      <w:marBottom w:val="0"/>
      <w:divBdr>
        <w:top w:val="none" w:sz="0" w:space="0" w:color="auto"/>
        <w:left w:val="none" w:sz="0" w:space="0" w:color="auto"/>
        <w:bottom w:val="none" w:sz="0" w:space="0" w:color="auto"/>
        <w:right w:val="none" w:sz="0" w:space="0" w:color="auto"/>
      </w:divBdr>
    </w:div>
    <w:div w:id="99691764">
      <w:bodyDiv w:val="1"/>
      <w:marLeft w:val="0"/>
      <w:marRight w:val="0"/>
      <w:marTop w:val="0"/>
      <w:marBottom w:val="0"/>
      <w:divBdr>
        <w:top w:val="none" w:sz="0" w:space="0" w:color="auto"/>
        <w:left w:val="none" w:sz="0" w:space="0" w:color="auto"/>
        <w:bottom w:val="none" w:sz="0" w:space="0" w:color="auto"/>
        <w:right w:val="none" w:sz="0" w:space="0" w:color="auto"/>
      </w:divBdr>
    </w:div>
    <w:div w:id="101152211">
      <w:bodyDiv w:val="1"/>
      <w:marLeft w:val="0"/>
      <w:marRight w:val="0"/>
      <w:marTop w:val="0"/>
      <w:marBottom w:val="0"/>
      <w:divBdr>
        <w:top w:val="none" w:sz="0" w:space="0" w:color="auto"/>
        <w:left w:val="none" w:sz="0" w:space="0" w:color="auto"/>
        <w:bottom w:val="none" w:sz="0" w:space="0" w:color="auto"/>
        <w:right w:val="none" w:sz="0" w:space="0" w:color="auto"/>
      </w:divBdr>
      <w:divsChild>
        <w:div w:id="2129160670">
          <w:marLeft w:val="0"/>
          <w:marRight w:val="0"/>
          <w:marTop w:val="0"/>
          <w:marBottom w:val="0"/>
          <w:divBdr>
            <w:top w:val="none" w:sz="0" w:space="0" w:color="auto"/>
            <w:left w:val="none" w:sz="0" w:space="0" w:color="auto"/>
            <w:bottom w:val="none" w:sz="0" w:space="0" w:color="auto"/>
            <w:right w:val="none" w:sz="0" w:space="0" w:color="auto"/>
          </w:divBdr>
          <w:divsChild>
            <w:div w:id="1703164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40273">
      <w:bodyDiv w:val="1"/>
      <w:marLeft w:val="0"/>
      <w:marRight w:val="0"/>
      <w:marTop w:val="0"/>
      <w:marBottom w:val="0"/>
      <w:divBdr>
        <w:top w:val="none" w:sz="0" w:space="0" w:color="auto"/>
        <w:left w:val="none" w:sz="0" w:space="0" w:color="auto"/>
        <w:bottom w:val="none" w:sz="0" w:space="0" w:color="auto"/>
        <w:right w:val="none" w:sz="0" w:space="0" w:color="auto"/>
      </w:divBdr>
    </w:div>
    <w:div w:id="113983224">
      <w:bodyDiv w:val="1"/>
      <w:marLeft w:val="0"/>
      <w:marRight w:val="0"/>
      <w:marTop w:val="0"/>
      <w:marBottom w:val="0"/>
      <w:divBdr>
        <w:top w:val="none" w:sz="0" w:space="0" w:color="auto"/>
        <w:left w:val="none" w:sz="0" w:space="0" w:color="auto"/>
        <w:bottom w:val="none" w:sz="0" w:space="0" w:color="auto"/>
        <w:right w:val="none" w:sz="0" w:space="0" w:color="auto"/>
      </w:divBdr>
    </w:div>
    <w:div w:id="133180743">
      <w:bodyDiv w:val="1"/>
      <w:marLeft w:val="0"/>
      <w:marRight w:val="0"/>
      <w:marTop w:val="0"/>
      <w:marBottom w:val="0"/>
      <w:divBdr>
        <w:top w:val="none" w:sz="0" w:space="0" w:color="auto"/>
        <w:left w:val="none" w:sz="0" w:space="0" w:color="auto"/>
        <w:bottom w:val="none" w:sz="0" w:space="0" w:color="auto"/>
        <w:right w:val="none" w:sz="0" w:space="0" w:color="auto"/>
      </w:divBdr>
    </w:div>
    <w:div w:id="139931760">
      <w:bodyDiv w:val="1"/>
      <w:marLeft w:val="0"/>
      <w:marRight w:val="0"/>
      <w:marTop w:val="0"/>
      <w:marBottom w:val="0"/>
      <w:divBdr>
        <w:top w:val="none" w:sz="0" w:space="0" w:color="auto"/>
        <w:left w:val="none" w:sz="0" w:space="0" w:color="auto"/>
        <w:bottom w:val="none" w:sz="0" w:space="0" w:color="auto"/>
        <w:right w:val="none" w:sz="0" w:space="0" w:color="auto"/>
      </w:divBdr>
    </w:div>
    <w:div w:id="152375967">
      <w:bodyDiv w:val="1"/>
      <w:marLeft w:val="0"/>
      <w:marRight w:val="0"/>
      <w:marTop w:val="0"/>
      <w:marBottom w:val="0"/>
      <w:divBdr>
        <w:top w:val="none" w:sz="0" w:space="0" w:color="auto"/>
        <w:left w:val="none" w:sz="0" w:space="0" w:color="auto"/>
        <w:bottom w:val="none" w:sz="0" w:space="0" w:color="auto"/>
        <w:right w:val="none" w:sz="0" w:space="0" w:color="auto"/>
      </w:divBdr>
    </w:div>
    <w:div w:id="180432852">
      <w:bodyDiv w:val="1"/>
      <w:marLeft w:val="0"/>
      <w:marRight w:val="0"/>
      <w:marTop w:val="0"/>
      <w:marBottom w:val="0"/>
      <w:divBdr>
        <w:top w:val="none" w:sz="0" w:space="0" w:color="auto"/>
        <w:left w:val="none" w:sz="0" w:space="0" w:color="auto"/>
        <w:bottom w:val="none" w:sz="0" w:space="0" w:color="auto"/>
        <w:right w:val="none" w:sz="0" w:space="0" w:color="auto"/>
      </w:divBdr>
    </w:div>
    <w:div w:id="184444145">
      <w:bodyDiv w:val="1"/>
      <w:marLeft w:val="0"/>
      <w:marRight w:val="0"/>
      <w:marTop w:val="0"/>
      <w:marBottom w:val="0"/>
      <w:divBdr>
        <w:top w:val="none" w:sz="0" w:space="0" w:color="auto"/>
        <w:left w:val="none" w:sz="0" w:space="0" w:color="auto"/>
        <w:bottom w:val="none" w:sz="0" w:space="0" w:color="auto"/>
        <w:right w:val="none" w:sz="0" w:space="0" w:color="auto"/>
      </w:divBdr>
    </w:div>
    <w:div w:id="190262853">
      <w:bodyDiv w:val="1"/>
      <w:marLeft w:val="0"/>
      <w:marRight w:val="0"/>
      <w:marTop w:val="0"/>
      <w:marBottom w:val="0"/>
      <w:divBdr>
        <w:top w:val="none" w:sz="0" w:space="0" w:color="auto"/>
        <w:left w:val="none" w:sz="0" w:space="0" w:color="auto"/>
        <w:bottom w:val="none" w:sz="0" w:space="0" w:color="auto"/>
        <w:right w:val="none" w:sz="0" w:space="0" w:color="auto"/>
      </w:divBdr>
    </w:div>
    <w:div w:id="217984175">
      <w:bodyDiv w:val="1"/>
      <w:marLeft w:val="0"/>
      <w:marRight w:val="0"/>
      <w:marTop w:val="0"/>
      <w:marBottom w:val="0"/>
      <w:divBdr>
        <w:top w:val="none" w:sz="0" w:space="0" w:color="auto"/>
        <w:left w:val="none" w:sz="0" w:space="0" w:color="auto"/>
        <w:bottom w:val="none" w:sz="0" w:space="0" w:color="auto"/>
        <w:right w:val="none" w:sz="0" w:space="0" w:color="auto"/>
      </w:divBdr>
    </w:div>
    <w:div w:id="228661510">
      <w:bodyDiv w:val="1"/>
      <w:marLeft w:val="0"/>
      <w:marRight w:val="0"/>
      <w:marTop w:val="0"/>
      <w:marBottom w:val="0"/>
      <w:divBdr>
        <w:top w:val="none" w:sz="0" w:space="0" w:color="auto"/>
        <w:left w:val="none" w:sz="0" w:space="0" w:color="auto"/>
        <w:bottom w:val="none" w:sz="0" w:space="0" w:color="auto"/>
        <w:right w:val="none" w:sz="0" w:space="0" w:color="auto"/>
      </w:divBdr>
    </w:div>
    <w:div w:id="235480497">
      <w:bodyDiv w:val="1"/>
      <w:marLeft w:val="0"/>
      <w:marRight w:val="0"/>
      <w:marTop w:val="0"/>
      <w:marBottom w:val="0"/>
      <w:divBdr>
        <w:top w:val="none" w:sz="0" w:space="0" w:color="auto"/>
        <w:left w:val="none" w:sz="0" w:space="0" w:color="auto"/>
        <w:bottom w:val="none" w:sz="0" w:space="0" w:color="auto"/>
        <w:right w:val="none" w:sz="0" w:space="0" w:color="auto"/>
      </w:divBdr>
    </w:div>
    <w:div w:id="238253701">
      <w:bodyDiv w:val="1"/>
      <w:marLeft w:val="0"/>
      <w:marRight w:val="0"/>
      <w:marTop w:val="0"/>
      <w:marBottom w:val="0"/>
      <w:divBdr>
        <w:top w:val="none" w:sz="0" w:space="0" w:color="auto"/>
        <w:left w:val="none" w:sz="0" w:space="0" w:color="auto"/>
        <w:bottom w:val="none" w:sz="0" w:space="0" w:color="auto"/>
        <w:right w:val="none" w:sz="0" w:space="0" w:color="auto"/>
      </w:divBdr>
    </w:div>
    <w:div w:id="242490134">
      <w:bodyDiv w:val="1"/>
      <w:marLeft w:val="0"/>
      <w:marRight w:val="0"/>
      <w:marTop w:val="0"/>
      <w:marBottom w:val="0"/>
      <w:divBdr>
        <w:top w:val="none" w:sz="0" w:space="0" w:color="auto"/>
        <w:left w:val="none" w:sz="0" w:space="0" w:color="auto"/>
        <w:bottom w:val="none" w:sz="0" w:space="0" w:color="auto"/>
        <w:right w:val="none" w:sz="0" w:space="0" w:color="auto"/>
      </w:divBdr>
    </w:div>
    <w:div w:id="244073770">
      <w:bodyDiv w:val="1"/>
      <w:marLeft w:val="0"/>
      <w:marRight w:val="0"/>
      <w:marTop w:val="0"/>
      <w:marBottom w:val="0"/>
      <w:divBdr>
        <w:top w:val="none" w:sz="0" w:space="0" w:color="auto"/>
        <w:left w:val="none" w:sz="0" w:space="0" w:color="auto"/>
        <w:bottom w:val="none" w:sz="0" w:space="0" w:color="auto"/>
        <w:right w:val="none" w:sz="0" w:space="0" w:color="auto"/>
      </w:divBdr>
    </w:div>
    <w:div w:id="256062787">
      <w:bodyDiv w:val="1"/>
      <w:marLeft w:val="0"/>
      <w:marRight w:val="0"/>
      <w:marTop w:val="0"/>
      <w:marBottom w:val="0"/>
      <w:divBdr>
        <w:top w:val="none" w:sz="0" w:space="0" w:color="auto"/>
        <w:left w:val="none" w:sz="0" w:space="0" w:color="auto"/>
        <w:bottom w:val="none" w:sz="0" w:space="0" w:color="auto"/>
        <w:right w:val="none" w:sz="0" w:space="0" w:color="auto"/>
      </w:divBdr>
    </w:div>
    <w:div w:id="263805483">
      <w:bodyDiv w:val="1"/>
      <w:marLeft w:val="0"/>
      <w:marRight w:val="0"/>
      <w:marTop w:val="0"/>
      <w:marBottom w:val="0"/>
      <w:divBdr>
        <w:top w:val="none" w:sz="0" w:space="0" w:color="auto"/>
        <w:left w:val="none" w:sz="0" w:space="0" w:color="auto"/>
        <w:bottom w:val="none" w:sz="0" w:space="0" w:color="auto"/>
        <w:right w:val="none" w:sz="0" w:space="0" w:color="auto"/>
      </w:divBdr>
    </w:div>
    <w:div w:id="268508133">
      <w:bodyDiv w:val="1"/>
      <w:marLeft w:val="0"/>
      <w:marRight w:val="0"/>
      <w:marTop w:val="0"/>
      <w:marBottom w:val="0"/>
      <w:divBdr>
        <w:top w:val="none" w:sz="0" w:space="0" w:color="auto"/>
        <w:left w:val="none" w:sz="0" w:space="0" w:color="auto"/>
        <w:bottom w:val="none" w:sz="0" w:space="0" w:color="auto"/>
        <w:right w:val="none" w:sz="0" w:space="0" w:color="auto"/>
      </w:divBdr>
    </w:div>
    <w:div w:id="273557495">
      <w:bodyDiv w:val="1"/>
      <w:marLeft w:val="0"/>
      <w:marRight w:val="0"/>
      <w:marTop w:val="0"/>
      <w:marBottom w:val="0"/>
      <w:divBdr>
        <w:top w:val="none" w:sz="0" w:space="0" w:color="auto"/>
        <w:left w:val="none" w:sz="0" w:space="0" w:color="auto"/>
        <w:bottom w:val="none" w:sz="0" w:space="0" w:color="auto"/>
        <w:right w:val="none" w:sz="0" w:space="0" w:color="auto"/>
      </w:divBdr>
    </w:div>
    <w:div w:id="301011066">
      <w:bodyDiv w:val="1"/>
      <w:marLeft w:val="0"/>
      <w:marRight w:val="0"/>
      <w:marTop w:val="0"/>
      <w:marBottom w:val="0"/>
      <w:divBdr>
        <w:top w:val="none" w:sz="0" w:space="0" w:color="auto"/>
        <w:left w:val="none" w:sz="0" w:space="0" w:color="auto"/>
        <w:bottom w:val="none" w:sz="0" w:space="0" w:color="auto"/>
        <w:right w:val="none" w:sz="0" w:space="0" w:color="auto"/>
      </w:divBdr>
    </w:div>
    <w:div w:id="303660221">
      <w:bodyDiv w:val="1"/>
      <w:marLeft w:val="0"/>
      <w:marRight w:val="0"/>
      <w:marTop w:val="0"/>
      <w:marBottom w:val="0"/>
      <w:divBdr>
        <w:top w:val="none" w:sz="0" w:space="0" w:color="auto"/>
        <w:left w:val="none" w:sz="0" w:space="0" w:color="auto"/>
        <w:bottom w:val="none" w:sz="0" w:space="0" w:color="auto"/>
        <w:right w:val="none" w:sz="0" w:space="0" w:color="auto"/>
      </w:divBdr>
    </w:div>
    <w:div w:id="304748298">
      <w:bodyDiv w:val="1"/>
      <w:marLeft w:val="0"/>
      <w:marRight w:val="0"/>
      <w:marTop w:val="0"/>
      <w:marBottom w:val="0"/>
      <w:divBdr>
        <w:top w:val="none" w:sz="0" w:space="0" w:color="auto"/>
        <w:left w:val="none" w:sz="0" w:space="0" w:color="auto"/>
        <w:bottom w:val="none" w:sz="0" w:space="0" w:color="auto"/>
        <w:right w:val="none" w:sz="0" w:space="0" w:color="auto"/>
      </w:divBdr>
    </w:div>
    <w:div w:id="304939897">
      <w:bodyDiv w:val="1"/>
      <w:marLeft w:val="0"/>
      <w:marRight w:val="0"/>
      <w:marTop w:val="0"/>
      <w:marBottom w:val="0"/>
      <w:divBdr>
        <w:top w:val="none" w:sz="0" w:space="0" w:color="auto"/>
        <w:left w:val="none" w:sz="0" w:space="0" w:color="auto"/>
        <w:bottom w:val="none" w:sz="0" w:space="0" w:color="auto"/>
        <w:right w:val="none" w:sz="0" w:space="0" w:color="auto"/>
      </w:divBdr>
    </w:div>
    <w:div w:id="307637840">
      <w:bodyDiv w:val="1"/>
      <w:marLeft w:val="0"/>
      <w:marRight w:val="0"/>
      <w:marTop w:val="0"/>
      <w:marBottom w:val="0"/>
      <w:divBdr>
        <w:top w:val="none" w:sz="0" w:space="0" w:color="auto"/>
        <w:left w:val="none" w:sz="0" w:space="0" w:color="auto"/>
        <w:bottom w:val="none" w:sz="0" w:space="0" w:color="auto"/>
        <w:right w:val="none" w:sz="0" w:space="0" w:color="auto"/>
      </w:divBdr>
    </w:div>
    <w:div w:id="317195826">
      <w:bodyDiv w:val="1"/>
      <w:marLeft w:val="0"/>
      <w:marRight w:val="0"/>
      <w:marTop w:val="0"/>
      <w:marBottom w:val="0"/>
      <w:divBdr>
        <w:top w:val="none" w:sz="0" w:space="0" w:color="auto"/>
        <w:left w:val="none" w:sz="0" w:space="0" w:color="auto"/>
        <w:bottom w:val="none" w:sz="0" w:space="0" w:color="auto"/>
        <w:right w:val="none" w:sz="0" w:space="0" w:color="auto"/>
      </w:divBdr>
    </w:div>
    <w:div w:id="321470789">
      <w:bodyDiv w:val="1"/>
      <w:marLeft w:val="0"/>
      <w:marRight w:val="0"/>
      <w:marTop w:val="0"/>
      <w:marBottom w:val="0"/>
      <w:divBdr>
        <w:top w:val="none" w:sz="0" w:space="0" w:color="auto"/>
        <w:left w:val="none" w:sz="0" w:space="0" w:color="auto"/>
        <w:bottom w:val="none" w:sz="0" w:space="0" w:color="auto"/>
        <w:right w:val="none" w:sz="0" w:space="0" w:color="auto"/>
      </w:divBdr>
    </w:div>
    <w:div w:id="323364639">
      <w:bodyDiv w:val="1"/>
      <w:marLeft w:val="0"/>
      <w:marRight w:val="0"/>
      <w:marTop w:val="0"/>
      <w:marBottom w:val="0"/>
      <w:divBdr>
        <w:top w:val="none" w:sz="0" w:space="0" w:color="auto"/>
        <w:left w:val="none" w:sz="0" w:space="0" w:color="auto"/>
        <w:bottom w:val="none" w:sz="0" w:space="0" w:color="auto"/>
        <w:right w:val="none" w:sz="0" w:space="0" w:color="auto"/>
      </w:divBdr>
    </w:div>
    <w:div w:id="323631935">
      <w:bodyDiv w:val="1"/>
      <w:marLeft w:val="0"/>
      <w:marRight w:val="0"/>
      <w:marTop w:val="0"/>
      <w:marBottom w:val="0"/>
      <w:divBdr>
        <w:top w:val="none" w:sz="0" w:space="0" w:color="auto"/>
        <w:left w:val="none" w:sz="0" w:space="0" w:color="auto"/>
        <w:bottom w:val="none" w:sz="0" w:space="0" w:color="auto"/>
        <w:right w:val="none" w:sz="0" w:space="0" w:color="auto"/>
      </w:divBdr>
    </w:div>
    <w:div w:id="324207139">
      <w:bodyDiv w:val="1"/>
      <w:marLeft w:val="0"/>
      <w:marRight w:val="0"/>
      <w:marTop w:val="0"/>
      <w:marBottom w:val="0"/>
      <w:divBdr>
        <w:top w:val="none" w:sz="0" w:space="0" w:color="auto"/>
        <w:left w:val="none" w:sz="0" w:space="0" w:color="auto"/>
        <w:bottom w:val="none" w:sz="0" w:space="0" w:color="auto"/>
        <w:right w:val="none" w:sz="0" w:space="0" w:color="auto"/>
      </w:divBdr>
    </w:div>
    <w:div w:id="325911321">
      <w:bodyDiv w:val="1"/>
      <w:marLeft w:val="0"/>
      <w:marRight w:val="0"/>
      <w:marTop w:val="0"/>
      <w:marBottom w:val="0"/>
      <w:divBdr>
        <w:top w:val="none" w:sz="0" w:space="0" w:color="auto"/>
        <w:left w:val="none" w:sz="0" w:space="0" w:color="auto"/>
        <w:bottom w:val="none" w:sz="0" w:space="0" w:color="auto"/>
        <w:right w:val="none" w:sz="0" w:space="0" w:color="auto"/>
      </w:divBdr>
    </w:div>
    <w:div w:id="327484229">
      <w:bodyDiv w:val="1"/>
      <w:marLeft w:val="0"/>
      <w:marRight w:val="0"/>
      <w:marTop w:val="0"/>
      <w:marBottom w:val="0"/>
      <w:divBdr>
        <w:top w:val="none" w:sz="0" w:space="0" w:color="auto"/>
        <w:left w:val="none" w:sz="0" w:space="0" w:color="auto"/>
        <w:bottom w:val="none" w:sz="0" w:space="0" w:color="auto"/>
        <w:right w:val="none" w:sz="0" w:space="0" w:color="auto"/>
      </w:divBdr>
      <w:divsChild>
        <w:div w:id="1337149889">
          <w:marLeft w:val="0"/>
          <w:marRight w:val="0"/>
          <w:marTop w:val="0"/>
          <w:marBottom w:val="0"/>
          <w:divBdr>
            <w:top w:val="none" w:sz="0" w:space="0" w:color="auto"/>
            <w:left w:val="none" w:sz="0" w:space="0" w:color="auto"/>
            <w:bottom w:val="none" w:sz="0" w:space="0" w:color="auto"/>
            <w:right w:val="none" w:sz="0" w:space="0" w:color="auto"/>
          </w:divBdr>
        </w:div>
      </w:divsChild>
    </w:div>
    <w:div w:id="340396720">
      <w:bodyDiv w:val="1"/>
      <w:marLeft w:val="0"/>
      <w:marRight w:val="0"/>
      <w:marTop w:val="0"/>
      <w:marBottom w:val="0"/>
      <w:divBdr>
        <w:top w:val="none" w:sz="0" w:space="0" w:color="auto"/>
        <w:left w:val="none" w:sz="0" w:space="0" w:color="auto"/>
        <w:bottom w:val="none" w:sz="0" w:space="0" w:color="auto"/>
        <w:right w:val="none" w:sz="0" w:space="0" w:color="auto"/>
      </w:divBdr>
    </w:div>
    <w:div w:id="352153446">
      <w:bodyDiv w:val="1"/>
      <w:marLeft w:val="0"/>
      <w:marRight w:val="0"/>
      <w:marTop w:val="0"/>
      <w:marBottom w:val="0"/>
      <w:divBdr>
        <w:top w:val="none" w:sz="0" w:space="0" w:color="auto"/>
        <w:left w:val="none" w:sz="0" w:space="0" w:color="auto"/>
        <w:bottom w:val="none" w:sz="0" w:space="0" w:color="auto"/>
        <w:right w:val="none" w:sz="0" w:space="0" w:color="auto"/>
      </w:divBdr>
    </w:div>
    <w:div w:id="354501689">
      <w:bodyDiv w:val="1"/>
      <w:marLeft w:val="0"/>
      <w:marRight w:val="0"/>
      <w:marTop w:val="0"/>
      <w:marBottom w:val="0"/>
      <w:divBdr>
        <w:top w:val="none" w:sz="0" w:space="0" w:color="auto"/>
        <w:left w:val="none" w:sz="0" w:space="0" w:color="auto"/>
        <w:bottom w:val="none" w:sz="0" w:space="0" w:color="auto"/>
        <w:right w:val="none" w:sz="0" w:space="0" w:color="auto"/>
      </w:divBdr>
    </w:div>
    <w:div w:id="357313580">
      <w:bodyDiv w:val="1"/>
      <w:marLeft w:val="0"/>
      <w:marRight w:val="0"/>
      <w:marTop w:val="0"/>
      <w:marBottom w:val="0"/>
      <w:divBdr>
        <w:top w:val="none" w:sz="0" w:space="0" w:color="auto"/>
        <w:left w:val="none" w:sz="0" w:space="0" w:color="auto"/>
        <w:bottom w:val="none" w:sz="0" w:space="0" w:color="auto"/>
        <w:right w:val="none" w:sz="0" w:space="0" w:color="auto"/>
      </w:divBdr>
    </w:div>
    <w:div w:id="359667705">
      <w:bodyDiv w:val="1"/>
      <w:marLeft w:val="0"/>
      <w:marRight w:val="0"/>
      <w:marTop w:val="0"/>
      <w:marBottom w:val="0"/>
      <w:divBdr>
        <w:top w:val="none" w:sz="0" w:space="0" w:color="auto"/>
        <w:left w:val="none" w:sz="0" w:space="0" w:color="auto"/>
        <w:bottom w:val="none" w:sz="0" w:space="0" w:color="auto"/>
        <w:right w:val="none" w:sz="0" w:space="0" w:color="auto"/>
      </w:divBdr>
    </w:div>
    <w:div w:id="372922323">
      <w:bodyDiv w:val="1"/>
      <w:marLeft w:val="0"/>
      <w:marRight w:val="0"/>
      <w:marTop w:val="0"/>
      <w:marBottom w:val="0"/>
      <w:divBdr>
        <w:top w:val="none" w:sz="0" w:space="0" w:color="auto"/>
        <w:left w:val="none" w:sz="0" w:space="0" w:color="auto"/>
        <w:bottom w:val="none" w:sz="0" w:space="0" w:color="auto"/>
        <w:right w:val="none" w:sz="0" w:space="0" w:color="auto"/>
      </w:divBdr>
    </w:div>
    <w:div w:id="377702011">
      <w:bodyDiv w:val="1"/>
      <w:marLeft w:val="0"/>
      <w:marRight w:val="0"/>
      <w:marTop w:val="0"/>
      <w:marBottom w:val="0"/>
      <w:divBdr>
        <w:top w:val="none" w:sz="0" w:space="0" w:color="auto"/>
        <w:left w:val="none" w:sz="0" w:space="0" w:color="auto"/>
        <w:bottom w:val="none" w:sz="0" w:space="0" w:color="auto"/>
        <w:right w:val="none" w:sz="0" w:space="0" w:color="auto"/>
      </w:divBdr>
    </w:div>
    <w:div w:id="383022595">
      <w:bodyDiv w:val="1"/>
      <w:marLeft w:val="0"/>
      <w:marRight w:val="0"/>
      <w:marTop w:val="0"/>
      <w:marBottom w:val="0"/>
      <w:divBdr>
        <w:top w:val="none" w:sz="0" w:space="0" w:color="auto"/>
        <w:left w:val="none" w:sz="0" w:space="0" w:color="auto"/>
        <w:bottom w:val="none" w:sz="0" w:space="0" w:color="auto"/>
        <w:right w:val="none" w:sz="0" w:space="0" w:color="auto"/>
      </w:divBdr>
    </w:div>
    <w:div w:id="393087755">
      <w:bodyDiv w:val="1"/>
      <w:marLeft w:val="0"/>
      <w:marRight w:val="0"/>
      <w:marTop w:val="0"/>
      <w:marBottom w:val="0"/>
      <w:divBdr>
        <w:top w:val="none" w:sz="0" w:space="0" w:color="auto"/>
        <w:left w:val="none" w:sz="0" w:space="0" w:color="auto"/>
        <w:bottom w:val="none" w:sz="0" w:space="0" w:color="auto"/>
        <w:right w:val="none" w:sz="0" w:space="0" w:color="auto"/>
      </w:divBdr>
    </w:div>
    <w:div w:id="399329137">
      <w:bodyDiv w:val="1"/>
      <w:marLeft w:val="0"/>
      <w:marRight w:val="0"/>
      <w:marTop w:val="0"/>
      <w:marBottom w:val="0"/>
      <w:divBdr>
        <w:top w:val="none" w:sz="0" w:space="0" w:color="auto"/>
        <w:left w:val="none" w:sz="0" w:space="0" w:color="auto"/>
        <w:bottom w:val="none" w:sz="0" w:space="0" w:color="auto"/>
        <w:right w:val="none" w:sz="0" w:space="0" w:color="auto"/>
      </w:divBdr>
    </w:div>
    <w:div w:id="404571830">
      <w:bodyDiv w:val="1"/>
      <w:marLeft w:val="0"/>
      <w:marRight w:val="0"/>
      <w:marTop w:val="0"/>
      <w:marBottom w:val="0"/>
      <w:divBdr>
        <w:top w:val="none" w:sz="0" w:space="0" w:color="auto"/>
        <w:left w:val="none" w:sz="0" w:space="0" w:color="auto"/>
        <w:bottom w:val="none" w:sz="0" w:space="0" w:color="auto"/>
        <w:right w:val="none" w:sz="0" w:space="0" w:color="auto"/>
      </w:divBdr>
    </w:div>
    <w:div w:id="410853114">
      <w:bodyDiv w:val="1"/>
      <w:marLeft w:val="0"/>
      <w:marRight w:val="0"/>
      <w:marTop w:val="0"/>
      <w:marBottom w:val="0"/>
      <w:divBdr>
        <w:top w:val="none" w:sz="0" w:space="0" w:color="auto"/>
        <w:left w:val="none" w:sz="0" w:space="0" w:color="auto"/>
        <w:bottom w:val="none" w:sz="0" w:space="0" w:color="auto"/>
        <w:right w:val="none" w:sz="0" w:space="0" w:color="auto"/>
      </w:divBdr>
    </w:div>
    <w:div w:id="416052062">
      <w:bodyDiv w:val="1"/>
      <w:marLeft w:val="0"/>
      <w:marRight w:val="0"/>
      <w:marTop w:val="0"/>
      <w:marBottom w:val="0"/>
      <w:divBdr>
        <w:top w:val="none" w:sz="0" w:space="0" w:color="auto"/>
        <w:left w:val="none" w:sz="0" w:space="0" w:color="auto"/>
        <w:bottom w:val="none" w:sz="0" w:space="0" w:color="auto"/>
        <w:right w:val="none" w:sz="0" w:space="0" w:color="auto"/>
      </w:divBdr>
    </w:div>
    <w:div w:id="420104241">
      <w:bodyDiv w:val="1"/>
      <w:marLeft w:val="0"/>
      <w:marRight w:val="0"/>
      <w:marTop w:val="0"/>
      <w:marBottom w:val="0"/>
      <w:divBdr>
        <w:top w:val="none" w:sz="0" w:space="0" w:color="auto"/>
        <w:left w:val="none" w:sz="0" w:space="0" w:color="auto"/>
        <w:bottom w:val="none" w:sz="0" w:space="0" w:color="auto"/>
        <w:right w:val="none" w:sz="0" w:space="0" w:color="auto"/>
      </w:divBdr>
    </w:div>
    <w:div w:id="420492962">
      <w:bodyDiv w:val="1"/>
      <w:marLeft w:val="0"/>
      <w:marRight w:val="0"/>
      <w:marTop w:val="0"/>
      <w:marBottom w:val="0"/>
      <w:divBdr>
        <w:top w:val="none" w:sz="0" w:space="0" w:color="auto"/>
        <w:left w:val="none" w:sz="0" w:space="0" w:color="auto"/>
        <w:bottom w:val="none" w:sz="0" w:space="0" w:color="auto"/>
        <w:right w:val="none" w:sz="0" w:space="0" w:color="auto"/>
      </w:divBdr>
    </w:div>
    <w:div w:id="426266325">
      <w:bodyDiv w:val="1"/>
      <w:marLeft w:val="0"/>
      <w:marRight w:val="0"/>
      <w:marTop w:val="0"/>
      <w:marBottom w:val="0"/>
      <w:divBdr>
        <w:top w:val="none" w:sz="0" w:space="0" w:color="auto"/>
        <w:left w:val="none" w:sz="0" w:space="0" w:color="auto"/>
        <w:bottom w:val="none" w:sz="0" w:space="0" w:color="auto"/>
        <w:right w:val="none" w:sz="0" w:space="0" w:color="auto"/>
      </w:divBdr>
    </w:div>
    <w:div w:id="430201056">
      <w:bodyDiv w:val="1"/>
      <w:marLeft w:val="0"/>
      <w:marRight w:val="0"/>
      <w:marTop w:val="0"/>
      <w:marBottom w:val="0"/>
      <w:divBdr>
        <w:top w:val="none" w:sz="0" w:space="0" w:color="auto"/>
        <w:left w:val="none" w:sz="0" w:space="0" w:color="auto"/>
        <w:bottom w:val="none" w:sz="0" w:space="0" w:color="auto"/>
        <w:right w:val="none" w:sz="0" w:space="0" w:color="auto"/>
      </w:divBdr>
    </w:div>
    <w:div w:id="439881376">
      <w:bodyDiv w:val="1"/>
      <w:marLeft w:val="0"/>
      <w:marRight w:val="0"/>
      <w:marTop w:val="0"/>
      <w:marBottom w:val="0"/>
      <w:divBdr>
        <w:top w:val="none" w:sz="0" w:space="0" w:color="auto"/>
        <w:left w:val="none" w:sz="0" w:space="0" w:color="auto"/>
        <w:bottom w:val="none" w:sz="0" w:space="0" w:color="auto"/>
        <w:right w:val="none" w:sz="0" w:space="0" w:color="auto"/>
      </w:divBdr>
    </w:div>
    <w:div w:id="440489443">
      <w:bodyDiv w:val="1"/>
      <w:marLeft w:val="0"/>
      <w:marRight w:val="0"/>
      <w:marTop w:val="0"/>
      <w:marBottom w:val="0"/>
      <w:divBdr>
        <w:top w:val="none" w:sz="0" w:space="0" w:color="auto"/>
        <w:left w:val="none" w:sz="0" w:space="0" w:color="auto"/>
        <w:bottom w:val="none" w:sz="0" w:space="0" w:color="auto"/>
        <w:right w:val="none" w:sz="0" w:space="0" w:color="auto"/>
      </w:divBdr>
    </w:div>
    <w:div w:id="450634347">
      <w:bodyDiv w:val="1"/>
      <w:marLeft w:val="0"/>
      <w:marRight w:val="0"/>
      <w:marTop w:val="0"/>
      <w:marBottom w:val="0"/>
      <w:divBdr>
        <w:top w:val="none" w:sz="0" w:space="0" w:color="auto"/>
        <w:left w:val="none" w:sz="0" w:space="0" w:color="auto"/>
        <w:bottom w:val="none" w:sz="0" w:space="0" w:color="auto"/>
        <w:right w:val="none" w:sz="0" w:space="0" w:color="auto"/>
      </w:divBdr>
    </w:div>
    <w:div w:id="450824312">
      <w:bodyDiv w:val="1"/>
      <w:marLeft w:val="0"/>
      <w:marRight w:val="0"/>
      <w:marTop w:val="0"/>
      <w:marBottom w:val="0"/>
      <w:divBdr>
        <w:top w:val="none" w:sz="0" w:space="0" w:color="auto"/>
        <w:left w:val="none" w:sz="0" w:space="0" w:color="auto"/>
        <w:bottom w:val="none" w:sz="0" w:space="0" w:color="auto"/>
        <w:right w:val="none" w:sz="0" w:space="0" w:color="auto"/>
      </w:divBdr>
    </w:div>
    <w:div w:id="468787989">
      <w:bodyDiv w:val="1"/>
      <w:marLeft w:val="0"/>
      <w:marRight w:val="0"/>
      <w:marTop w:val="0"/>
      <w:marBottom w:val="0"/>
      <w:divBdr>
        <w:top w:val="none" w:sz="0" w:space="0" w:color="auto"/>
        <w:left w:val="none" w:sz="0" w:space="0" w:color="auto"/>
        <w:bottom w:val="none" w:sz="0" w:space="0" w:color="auto"/>
        <w:right w:val="none" w:sz="0" w:space="0" w:color="auto"/>
      </w:divBdr>
    </w:div>
    <w:div w:id="482939704">
      <w:bodyDiv w:val="1"/>
      <w:marLeft w:val="0"/>
      <w:marRight w:val="0"/>
      <w:marTop w:val="0"/>
      <w:marBottom w:val="0"/>
      <w:divBdr>
        <w:top w:val="none" w:sz="0" w:space="0" w:color="auto"/>
        <w:left w:val="none" w:sz="0" w:space="0" w:color="auto"/>
        <w:bottom w:val="none" w:sz="0" w:space="0" w:color="auto"/>
        <w:right w:val="none" w:sz="0" w:space="0" w:color="auto"/>
      </w:divBdr>
    </w:div>
    <w:div w:id="490175678">
      <w:bodyDiv w:val="1"/>
      <w:marLeft w:val="0"/>
      <w:marRight w:val="0"/>
      <w:marTop w:val="0"/>
      <w:marBottom w:val="0"/>
      <w:divBdr>
        <w:top w:val="none" w:sz="0" w:space="0" w:color="auto"/>
        <w:left w:val="none" w:sz="0" w:space="0" w:color="auto"/>
        <w:bottom w:val="none" w:sz="0" w:space="0" w:color="auto"/>
        <w:right w:val="none" w:sz="0" w:space="0" w:color="auto"/>
      </w:divBdr>
    </w:div>
    <w:div w:id="497118300">
      <w:bodyDiv w:val="1"/>
      <w:marLeft w:val="0"/>
      <w:marRight w:val="0"/>
      <w:marTop w:val="0"/>
      <w:marBottom w:val="0"/>
      <w:divBdr>
        <w:top w:val="none" w:sz="0" w:space="0" w:color="auto"/>
        <w:left w:val="none" w:sz="0" w:space="0" w:color="auto"/>
        <w:bottom w:val="none" w:sz="0" w:space="0" w:color="auto"/>
        <w:right w:val="none" w:sz="0" w:space="0" w:color="auto"/>
      </w:divBdr>
    </w:div>
    <w:div w:id="504590552">
      <w:bodyDiv w:val="1"/>
      <w:marLeft w:val="0"/>
      <w:marRight w:val="0"/>
      <w:marTop w:val="0"/>
      <w:marBottom w:val="0"/>
      <w:divBdr>
        <w:top w:val="none" w:sz="0" w:space="0" w:color="auto"/>
        <w:left w:val="none" w:sz="0" w:space="0" w:color="auto"/>
        <w:bottom w:val="none" w:sz="0" w:space="0" w:color="auto"/>
        <w:right w:val="none" w:sz="0" w:space="0" w:color="auto"/>
      </w:divBdr>
    </w:div>
    <w:div w:id="516046581">
      <w:bodyDiv w:val="1"/>
      <w:marLeft w:val="0"/>
      <w:marRight w:val="0"/>
      <w:marTop w:val="0"/>
      <w:marBottom w:val="0"/>
      <w:divBdr>
        <w:top w:val="none" w:sz="0" w:space="0" w:color="auto"/>
        <w:left w:val="none" w:sz="0" w:space="0" w:color="auto"/>
        <w:bottom w:val="none" w:sz="0" w:space="0" w:color="auto"/>
        <w:right w:val="none" w:sz="0" w:space="0" w:color="auto"/>
      </w:divBdr>
    </w:div>
    <w:div w:id="520434302">
      <w:bodyDiv w:val="1"/>
      <w:marLeft w:val="0"/>
      <w:marRight w:val="0"/>
      <w:marTop w:val="0"/>
      <w:marBottom w:val="0"/>
      <w:divBdr>
        <w:top w:val="none" w:sz="0" w:space="0" w:color="auto"/>
        <w:left w:val="none" w:sz="0" w:space="0" w:color="auto"/>
        <w:bottom w:val="none" w:sz="0" w:space="0" w:color="auto"/>
        <w:right w:val="none" w:sz="0" w:space="0" w:color="auto"/>
      </w:divBdr>
    </w:div>
    <w:div w:id="545221815">
      <w:bodyDiv w:val="1"/>
      <w:marLeft w:val="0"/>
      <w:marRight w:val="0"/>
      <w:marTop w:val="0"/>
      <w:marBottom w:val="0"/>
      <w:divBdr>
        <w:top w:val="none" w:sz="0" w:space="0" w:color="auto"/>
        <w:left w:val="none" w:sz="0" w:space="0" w:color="auto"/>
        <w:bottom w:val="none" w:sz="0" w:space="0" w:color="auto"/>
        <w:right w:val="none" w:sz="0" w:space="0" w:color="auto"/>
      </w:divBdr>
    </w:div>
    <w:div w:id="552423964">
      <w:bodyDiv w:val="1"/>
      <w:marLeft w:val="0"/>
      <w:marRight w:val="0"/>
      <w:marTop w:val="0"/>
      <w:marBottom w:val="0"/>
      <w:divBdr>
        <w:top w:val="none" w:sz="0" w:space="0" w:color="auto"/>
        <w:left w:val="none" w:sz="0" w:space="0" w:color="auto"/>
        <w:bottom w:val="none" w:sz="0" w:space="0" w:color="auto"/>
        <w:right w:val="none" w:sz="0" w:space="0" w:color="auto"/>
      </w:divBdr>
    </w:div>
    <w:div w:id="555091686">
      <w:bodyDiv w:val="1"/>
      <w:marLeft w:val="0"/>
      <w:marRight w:val="0"/>
      <w:marTop w:val="0"/>
      <w:marBottom w:val="0"/>
      <w:divBdr>
        <w:top w:val="none" w:sz="0" w:space="0" w:color="auto"/>
        <w:left w:val="none" w:sz="0" w:space="0" w:color="auto"/>
        <w:bottom w:val="none" w:sz="0" w:space="0" w:color="auto"/>
        <w:right w:val="none" w:sz="0" w:space="0" w:color="auto"/>
      </w:divBdr>
    </w:div>
    <w:div w:id="556016242">
      <w:bodyDiv w:val="1"/>
      <w:marLeft w:val="0"/>
      <w:marRight w:val="0"/>
      <w:marTop w:val="0"/>
      <w:marBottom w:val="0"/>
      <w:divBdr>
        <w:top w:val="none" w:sz="0" w:space="0" w:color="auto"/>
        <w:left w:val="none" w:sz="0" w:space="0" w:color="auto"/>
        <w:bottom w:val="none" w:sz="0" w:space="0" w:color="auto"/>
        <w:right w:val="none" w:sz="0" w:space="0" w:color="auto"/>
      </w:divBdr>
    </w:div>
    <w:div w:id="575088433">
      <w:bodyDiv w:val="1"/>
      <w:marLeft w:val="0"/>
      <w:marRight w:val="0"/>
      <w:marTop w:val="0"/>
      <w:marBottom w:val="0"/>
      <w:divBdr>
        <w:top w:val="none" w:sz="0" w:space="0" w:color="auto"/>
        <w:left w:val="none" w:sz="0" w:space="0" w:color="auto"/>
        <w:bottom w:val="none" w:sz="0" w:space="0" w:color="auto"/>
        <w:right w:val="none" w:sz="0" w:space="0" w:color="auto"/>
      </w:divBdr>
    </w:div>
    <w:div w:id="590896592">
      <w:bodyDiv w:val="1"/>
      <w:marLeft w:val="0"/>
      <w:marRight w:val="0"/>
      <w:marTop w:val="0"/>
      <w:marBottom w:val="0"/>
      <w:divBdr>
        <w:top w:val="none" w:sz="0" w:space="0" w:color="auto"/>
        <w:left w:val="none" w:sz="0" w:space="0" w:color="auto"/>
        <w:bottom w:val="none" w:sz="0" w:space="0" w:color="auto"/>
        <w:right w:val="none" w:sz="0" w:space="0" w:color="auto"/>
      </w:divBdr>
    </w:div>
    <w:div w:id="591547936">
      <w:bodyDiv w:val="1"/>
      <w:marLeft w:val="0"/>
      <w:marRight w:val="0"/>
      <w:marTop w:val="0"/>
      <w:marBottom w:val="0"/>
      <w:divBdr>
        <w:top w:val="none" w:sz="0" w:space="0" w:color="auto"/>
        <w:left w:val="none" w:sz="0" w:space="0" w:color="auto"/>
        <w:bottom w:val="none" w:sz="0" w:space="0" w:color="auto"/>
        <w:right w:val="none" w:sz="0" w:space="0" w:color="auto"/>
      </w:divBdr>
    </w:div>
    <w:div w:id="599139454">
      <w:bodyDiv w:val="1"/>
      <w:marLeft w:val="0"/>
      <w:marRight w:val="0"/>
      <w:marTop w:val="0"/>
      <w:marBottom w:val="0"/>
      <w:divBdr>
        <w:top w:val="none" w:sz="0" w:space="0" w:color="auto"/>
        <w:left w:val="none" w:sz="0" w:space="0" w:color="auto"/>
        <w:bottom w:val="none" w:sz="0" w:space="0" w:color="auto"/>
        <w:right w:val="none" w:sz="0" w:space="0" w:color="auto"/>
      </w:divBdr>
    </w:div>
    <w:div w:id="600837640">
      <w:bodyDiv w:val="1"/>
      <w:marLeft w:val="0"/>
      <w:marRight w:val="0"/>
      <w:marTop w:val="0"/>
      <w:marBottom w:val="0"/>
      <w:divBdr>
        <w:top w:val="none" w:sz="0" w:space="0" w:color="auto"/>
        <w:left w:val="none" w:sz="0" w:space="0" w:color="auto"/>
        <w:bottom w:val="none" w:sz="0" w:space="0" w:color="auto"/>
        <w:right w:val="none" w:sz="0" w:space="0" w:color="auto"/>
      </w:divBdr>
    </w:div>
    <w:div w:id="601109529">
      <w:bodyDiv w:val="1"/>
      <w:marLeft w:val="0"/>
      <w:marRight w:val="0"/>
      <w:marTop w:val="0"/>
      <w:marBottom w:val="0"/>
      <w:divBdr>
        <w:top w:val="none" w:sz="0" w:space="0" w:color="auto"/>
        <w:left w:val="none" w:sz="0" w:space="0" w:color="auto"/>
        <w:bottom w:val="none" w:sz="0" w:space="0" w:color="auto"/>
        <w:right w:val="none" w:sz="0" w:space="0" w:color="auto"/>
      </w:divBdr>
    </w:div>
    <w:div w:id="605697064">
      <w:bodyDiv w:val="1"/>
      <w:marLeft w:val="0"/>
      <w:marRight w:val="0"/>
      <w:marTop w:val="0"/>
      <w:marBottom w:val="0"/>
      <w:divBdr>
        <w:top w:val="none" w:sz="0" w:space="0" w:color="auto"/>
        <w:left w:val="none" w:sz="0" w:space="0" w:color="auto"/>
        <w:bottom w:val="none" w:sz="0" w:space="0" w:color="auto"/>
        <w:right w:val="none" w:sz="0" w:space="0" w:color="auto"/>
      </w:divBdr>
    </w:div>
    <w:div w:id="606622213">
      <w:bodyDiv w:val="1"/>
      <w:marLeft w:val="0"/>
      <w:marRight w:val="0"/>
      <w:marTop w:val="0"/>
      <w:marBottom w:val="0"/>
      <w:divBdr>
        <w:top w:val="none" w:sz="0" w:space="0" w:color="auto"/>
        <w:left w:val="none" w:sz="0" w:space="0" w:color="auto"/>
        <w:bottom w:val="none" w:sz="0" w:space="0" w:color="auto"/>
        <w:right w:val="none" w:sz="0" w:space="0" w:color="auto"/>
      </w:divBdr>
    </w:div>
    <w:div w:id="615211330">
      <w:bodyDiv w:val="1"/>
      <w:marLeft w:val="0"/>
      <w:marRight w:val="0"/>
      <w:marTop w:val="0"/>
      <w:marBottom w:val="0"/>
      <w:divBdr>
        <w:top w:val="none" w:sz="0" w:space="0" w:color="auto"/>
        <w:left w:val="none" w:sz="0" w:space="0" w:color="auto"/>
        <w:bottom w:val="none" w:sz="0" w:space="0" w:color="auto"/>
        <w:right w:val="none" w:sz="0" w:space="0" w:color="auto"/>
      </w:divBdr>
    </w:div>
    <w:div w:id="619261199">
      <w:bodyDiv w:val="1"/>
      <w:marLeft w:val="0"/>
      <w:marRight w:val="0"/>
      <w:marTop w:val="0"/>
      <w:marBottom w:val="0"/>
      <w:divBdr>
        <w:top w:val="none" w:sz="0" w:space="0" w:color="auto"/>
        <w:left w:val="none" w:sz="0" w:space="0" w:color="auto"/>
        <w:bottom w:val="none" w:sz="0" w:space="0" w:color="auto"/>
        <w:right w:val="none" w:sz="0" w:space="0" w:color="auto"/>
      </w:divBdr>
    </w:div>
    <w:div w:id="639916880">
      <w:bodyDiv w:val="1"/>
      <w:marLeft w:val="0"/>
      <w:marRight w:val="0"/>
      <w:marTop w:val="0"/>
      <w:marBottom w:val="0"/>
      <w:divBdr>
        <w:top w:val="none" w:sz="0" w:space="0" w:color="auto"/>
        <w:left w:val="none" w:sz="0" w:space="0" w:color="auto"/>
        <w:bottom w:val="none" w:sz="0" w:space="0" w:color="auto"/>
        <w:right w:val="none" w:sz="0" w:space="0" w:color="auto"/>
      </w:divBdr>
    </w:div>
    <w:div w:id="643631211">
      <w:bodyDiv w:val="1"/>
      <w:marLeft w:val="0"/>
      <w:marRight w:val="0"/>
      <w:marTop w:val="0"/>
      <w:marBottom w:val="0"/>
      <w:divBdr>
        <w:top w:val="none" w:sz="0" w:space="0" w:color="auto"/>
        <w:left w:val="none" w:sz="0" w:space="0" w:color="auto"/>
        <w:bottom w:val="none" w:sz="0" w:space="0" w:color="auto"/>
        <w:right w:val="none" w:sz="0" w:space="0" w:color="auto"/>
      </w:divBdr>
    </w:div>
    <w:div w:id="648480586">
      <w:bodyDiv w:val="1"/>
      <w:marLeft w:val="0"/>
      <w:marRight w:val="0"/>
      <w:marTop w:val="0"/>
      <w:marBottom w:val="0"/>
      <w:divBdr>
        <w:top w:val="none" w:sz="0" w:space="0" w:color="auto"/>
        <w:left w:val="none" w:sz="0" w:space="0" w:color="auto"/>
        <w:bottom w:val="none" w:sz="0" w:space="0" w:color="auto"/>
        <w:right w:val="none" w:sz="0" w:space="0" w:color="auto"/>
      </w:divBdr>
    </w:div>
    <w:div w:id="667950593">
      <w:bodyDiv w:val="1"/>
      <w:marLeft w:val="0"/>
      <w:marRight w:val="0"/>
      <w:marTop w:val="0"/>
      <w:marBottom w:val="0"/>
      <w:divBdr>
        <w:top w:val="none" w:sz="0" w:space="0" w:color="auto"/>
        <w:left w:val="none" w:sz="0" w:space="0" w:color="auto"/>
        <w:bottom w:val="none" w:sz="0" w:space="0" w:color="auto"/>
        <w:right w:val="none" w:sz="0" w:space="0" w:color="auto"/>
      </w:divBdr>
    </w:div>
    <w:div w:id="672804938">
      <w:bodyDiv w:val="1"/>
      <w:marLeft w:val="0"/>
      <w:marRight w:val="0"/>
      <w:marTop w:val="0"/>
      <w:marBottom w:val="0"/>
      <w:divBdr>
        <w:top w:val="none" w:sz="0" w:space="0" w:color="auto"/>
        <w:left w:val="none" w:sz="0" w:space="0" w:color="auto"/>
        <w:bottom w:val="none" w:sz="0" w:space="0" w:color="auto"/>
        <w:right w:val="none" w:sz="0" w:space="0" w:color="auto"/>
      </w:divBdr>
    </w:div>
    <w:div w:id="693262210">
      <w:bodyDiv w:val="1"/>
      <w:marLeft w:val="0"/>
      <w:marRight w:val="0"/>
      <w:marTop w:val="0"/>
      <w:marBottom w:val="0"/>
      <w:divBdr>
        <w:top w:val="none" w:sz="0" w:space="0" w:color="auto"/>
        <w:left w:val="none" w:sz="0" w:space="0" w:color="auto"/>
        <w:bottom w:val="none" w:sz="0" w:space="0" w:color="auto"/>
        <w:right w:val="none" w:sz="0" w:space="0" w:color="auto"/>
      </w:divBdr>
    </w:div>
    <w:div w:id="697244973">
      <w:bodyDiv w:val="1"/>
      <w:marLeft w:val="0"/>
      <w:marRight w:val="0"/>
      <w:marTop w:val="0"/>
      <w:marBottom w:val="0"/>
      <w:divBdr>
        <w:top w:val="none" w:sz="0" w:space="0" w:color="auto"/>
        <w:left w:val="none" w:sz="0" w:space="0" w:color="auto"/>
        <w:bottom w:val="none" w:sz="0" w:space="0" w:color="auto"/>
        <w:right w:val="none" w:sz="0" w:space="0" w:color="auto"/>
      </w:divBdr>
    </w:div>
    <w:div w:id="697702579">
      <w:bodyDiv w:val="1"/>
      <w:marLeft w:val="0"/>
      <w:marRight w:val="0"/>
      <w:marTop w:val="0"/>
      <w:marBottom w:val="0"/>
      <w:divBdr>
        <w:top w:val="none" w:sz="0" w:space="0" w:color="auto"/>
        <w:left w:val="none" w:sz="0" w:space="0" w:color="auto"/>
        <w:bottom w:val="none" w:sz="0" w:space="0" w:color="auto"/>
        <w:right w:val="none" w:sz="0" w:space="0" w:color="auto"/>
      </w:divBdr>
    </w:div>
    <w:div w:id="705906712">
      <w:bodyDiv w:val="1"/>
      <w:marLeft w:val="0"/>
      <w:marRight w:val="0"/>
      <w:marTop w:val="0"/>
      <w:marBottom w:val="0"/>
      <w:divBdr>
        <w:top w:val="none" w:sz="0" w:space="0" w:color="auto"/>
        <w:left w:val="none" w:sz="0" w:space="0" w:color="auto"/>
        <w:bottom w:val="none" w:sz="0" w:space="0" w:color="auto"/>
        <w:right w:val="none" w:sz="0" w:space="0" w:color="auto"/>
      </w:divBdr>
    </w:div>
    <w:div w:id="707265312">
      <w:bodyDiv w:val="1"/>
      <w:marLeft w:val="0"/>
      <w:marRight w:val="0"/>
      <w:marTop w:val="0"/>
      <w:marBottom w:val="0"/>
      <w:divBdr>
        <w:top w:val="none" w:sz="0" w:space="0" w:color="auto"/>
        <w:left w:val="none" w:sz="0" w:space="0" w:color="auto"/>
        <w:bottom w:val="none" w:sz="0" w:space="0" w:color="auto"/>
        <w:right w:val="none" w:sz="0" w:space="0" w:color="auto"/>
      </w:divBdr>
    </w:div>
    <w:div w:id="714934942">
      <w:bodyDiv w:val="1"/>
      <w:marLeft w:val="0"/>
      <w:marRight w:val="0"/>
      <w:marTop w:val="0"/>
      <w:marBottom w:val="0"/>
      <w:divBdr>
        <w:top w:val="none" w:sz="0" w:space="0" w:color="auto"/>
        <w:left w:val="none" w:sz="0" w:space="0" w:color="auto"/>
        <w:bottom w:val="none" w:sz="0" w:space="0" w:color="auto"/>
        <w:right w:val="none" w:sz="0" w:space="0" w:color="auto"/>
      </w:divBdr>
    </w:div>
    <w:div w:id="717314824">
      <w:bodyDiv w:val="1"/>
      <w:marLeft w:val="0"/>
      <w:marRight w:val="0"/>
      <w:marTop w:val="0"/>
      <w:marBottom w:val="0"/>
      <w:divBdr>
        <w:top w:val="none" w:sz="0" w:space="0" w:color="auto"/>
        <w:left w:val="none" w:sz="0" w:space="0" w:color="auto"/>
        <w:bottom w:val="none" w:sz="0" w:space="0" w:color="auto"/>
        <w:right w:val="none" w:sz="0" w:space="0" w:color="auto"/>
      </w:divBdr>
    </w:div>
    <w:div w:id="724260872">
      <w:bodyDiv w:val="1"/>
      <w:marLeft w:val="0"/>
      <w:marRight w:val="0"/>
      <w:marTop w:val="0"/>
      <w:marBottom w:val="0"/>
      <w:divBdr>
        <w:top w:val="none" w:sz="0" w:space="0" w:color="auto"/>
        <w:left w:val="none" w:sz="0" w:space="0" w:color="auto"/>
        <w:bottom w:val="none" w:sz="0" w:space="0" w:color="auto"/>
        <w:right w:val="none" w:sz="0" w:space="0" w:color="auto"/>
      </w:divBdr>
    </w:div>
    <w:div w:id="725909281">
      <w:bodyDiv w:val="1"/>
      <w:marLeft w:val="0"/>
      <w:marRight w:val="0"/>
      <w:marTop w:val="0"/>
      <w:marBottom w:val="0"/>
      <w:divBdr>
        <w:top w:val="none" w:sz="0" w:space="0" w:color="auto"/>
        <w:left w:val="none" w:sz="0" w:space="0" w:color="auto"/>
        <w:bottom w:val="none" w:sz="0" w:space="0" w:color="auto"/>
        <w:right w:val="none" w:sz="0" w:space="0" w:color="auto"/>
      </w:divBdr>
    </w:div>
    <w:div w:id="735397191">
      <w:bodyDiv w:val="1"/>
      <w:marLeft w:val="0"/>
      <w:marRight w:val="0"/>
      <w:marTop w:val="0"/>
      <w:marBottom w:val="0"/>
      <w:divBdr>
        <w:top w:val="none" w:sz="0" w:space="0" w:color="auto"/>
        <w:left w:val="none" w:sz="0" w:space="0" w:color="auto"/>
        <w:bottom w:val="none" w:sz="0" w:space="0" w:color="auto"/>
        <w:right w:val="none" w:sz="0" w:space="0" w:color="auto"/>
      </w:divBdr>
    </w:div>
    <w:div w:id="737165388">
      <w:bodyDiv w:val="1"/>
      <w:marLeft w:val="0"/>
      <w:marRight w:val="0"/>
      <w:marTop w:val="0"/>
      <w:marBottom w:val="0"/>
      <w:divBdr>
        <w:top w:val="none" w:sz="0" w:space="0" w:color="auto"/>
        <w:left w:val="none" w:sz="0" w:space="0" w:color="auto"/>
        <w:bottom w:val="none" w:sz="0" w:space="0" w:color="auto"/>
        <w:right w:val="none" w:sz="0" w:space="0" w:color="auto"/>
      </w:divBdr>
    </w:div>
    <w:div w:id="748581053">
      <w:bodyDiv w:val="1"/>
      <w:marLeft w:val="0"/>
      <w:marRight w:val="0"/>
      <w:marTop w:val="0"/>
      <w:marBottom w:val="0"/>
      <w:divBdr>
        <w:top w:val="none" w:sz="0" w:space="0" w:color="auto"/>
        <w:left w:val="none" w:sz="0" w:space="0" w:color="auto"/>
        <w:bottom w:val="none" w:sz="0" w:space="0" w:color="auto"/>
        <w:right w:val="none" w:sz="0" w:space="0" w:color="auto"/>
      </w:divBdr>
    </w:div>
    <w:div w:id="750809409">
      <w:bodyDiv w:val="1"/>
      <w:marLeft w:val="0"/>
      <w:marRight w:val="0"/>
      <w:marTop w:val="0"/>
      <w:marBottom w:val="0"/>
      <w:divBdr>
        <w:top w:val="none" w:sz="0" w:space="0" w:color="auto"/>
        <w:left w:val="none" w:sz="0" w:space="0" w:color="auto"/>
        <w:bottom w:val="none" w:sz="0" w:space="0" w:color="auto"/>
        <w:right w:val="none" w:sz="0" w:space="0" w:color="auto"/>
      </w:divBdr>
    </w:div>
    <w:div w:id="763380909">
      <w:bodyDiv w:val="1"/>
      <w:marLeft w:val="0"/>
      <w:marRight w:val="0"/>
      <w:marTop w:val="0"/>
      <w:marBottom w:val="0"/>
      <w:divBdr>
        <w:top w:val="none" w:sz="0" w:space="0" w:color="auto"/>
        <w:left w:val="none" w:sz="0" w:space="0" w:color="auto"/>
        <w:bottom w:val="none" w:sz="0" w:space="0" w:color="auto"/>
        <w:right w:val="none" w:sz="0" w:space="0" w:color="auto"/>
      </w:divBdr>
    </w:div>
    <w:div w:id="767699439">
      <w:bodyDiv w:val="1"/>
      <w:marLeft w:val="0"/>
      <w:marRight w:val="0"/>
      <w:marTop w:val="0"/>
      <w:marBottom w:val="0"/>
      <w:divBdr>
        <w:top w:val="none" w:sz="0" w:space="0" w:color="auto"/>
        <w:left w:val="none" w:sz="0" w:space="0" w:color="auto"/>
        <w:bottom w:val="none" w:sz="0" w:space="0" w:color="auto"/>
        <w:right w:val="none" w:sz="0" w:space="0" w:color="auto"/>
      </w:divBdr>
    </w:div>
    <w:div w:id="772869735">
      <w:bodyDiv w:val="1"/>
      <w:marLeft w:val="0"/>
      <w:marRight w:val="0"/>
      <w:marTop w:val="0"/>
      <w:marBottom w:val="0"/>
      <w:divBdr>
        <w:top w:val="none" w:sz="0" w:space="0" w:color="auto"/>
        <w:left w:val="none" w:sz="0" w:space="0" w:color="auto"/>
        <w:bottom w:val="none" w:sz="0" w:space="0" w:color="auto"/>
        <w:right w:val="none" w:sz="0" w:space="0" w:color="auto"/>
      </w:divBdr>
    </w:div>
    <w:div w:id="782962984">
      <w:bodyDiv w:val="1"/>
      <w:marLeft w:val="0"/>
      <w:marRight w:val="0"/>
      <w:marTop w:val="0"/>
      <w:marBottom w:val="0"/>
      <w:divBdr>
        <w:top w:val="none" w:sz="0" w:space="0" w:color="auto"/>
        <w:left w:val="none" w:sz="0" w:space="0" w:color="auto"/>
        <w:bottom w:val="none" w:sz="0" w:space="0" w:color="auto"/>
        <w:right w:val="none" w:sz="0" w:space="0" w:color="auto"/>
      </w:divBdr>
    </w:div>
    <w:div w:id="805583433">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22241221">
      <w:bodyDiv w:val="1"/>
      <w:marLeft w:val="0"/>
      <w:marRight w:val="0"/>
      <w:marTop w:val="0"/>
      <w:marBottom w:val="0"/>
      <w:divBdr>
        <w:top w:val="none" w:sz="0" w:space="0" w:color="auto"/>
        <w:left w:val="none" w:sz="0" w:space="0" w:color="auto"/>
        <w:bottom w:val="none" w:sz="0" w:space="0" w:color="auto"/>
        <w:right w:val="none" w:sz="0" w:space="0" w:color="auto"/>
      </w:divBdr>
    </w:div>
    <w:div w:id="857887313">
      <w:bodyDiv w:val="1"/>
      <w:marLeft w:val="0"/>
      <w:marRight w:val="0"/>
      <w:marTop w:val="0"/>
      <w:marBottom w:val="0"/>
      <w:divBdr>
        <w:top w:val="none" w:sz="0" w:space="0" w:color="auto"/>
        <w:left w:val="none" w:sz="0" w:space="0" w:color="auto"/>
        <w:bottom w:val="none" w:sz="0" w:space="0" w:color="auto"/>
        <w:right w:val="none" w:sz="0" w:space="0" w:color="auto"/>
      </w:divBdr>
    </w:div>
    <w:div w:id="864824710">
      <w:bodyDiv w:val="1"/>
      <w:marLeft w:val="0"/>
      <w:marRight w:val="0"/>
      <w:marTop w:val="0"/>
      <w:marBottom w:val="0"/>
      <w:divBdr>
        <w:top w:val="none" w:sz="0" w:space="0" w:color="auto"/>
        <w:left w:val="none" w:sz="0" w:space="0" w:color="auto"/>
        <w:bottom w:val="none" w:sz="0" w:space="0" w:color="auto"/>
        <w:right w:val="none" w:sz="0" w:space="0" w:color="auto"/>
      </w:divBdr>
    </w:div>
    <w:div w:id="864902090">
      <w:bodyDiv w:val="1"/>
      <w:marLeft w:val="0"/>
      <w:marRight w:val="0"/>
      <w:marTop w:val="0"/>
      <w:marBottom w:val="0"/>
      <w:divBdr>
        <w:top w:val="none" w:sz="0" w:space="0" w:color="auto"/>
        <w:left w:val="none" w:sz="0" w:space="0" w:color="auto"/>
        <w:bottom w:val="none" w:sz="0" w:space="0" w:color="auto"/>
        <w:right w:val="none" w:sz="0" w:space="0" w:color="auto"/>
      </w:divBdr>
    </w:div>
    <w:div w:id="871187862">
      <w:bodyDiv w:val="1"/>
      <w:marLeft w:val="0"/>
      <w:marRight w:val="0"/>
      <w:marTop w:val="0"/>
      <w:marBottom w:val="0"/>
      <w:divBdr>
        <w:top w:val="none" w:sz="0" w:space="0" w:color="auto"/>
        <w:left w:val="none" w:sz="0" w:space="0" w:color="auto"/>
        <w:bottom w:val="none" w:sz="0" w:space="0" w:color="auto"/>
        <w:right w:val="none" w:sz="0" w:space="0" w:color="auto"/>
      </w:divBdr>
    </w:div>
    <w:div w:id="873036987">
      <w:bodyDiv w:val="1"/>
      <w:marLeft w:val="0"/>
      <w:marRight w:val="0"/>
      <w:marTop w:val="0"/>
      <w:marBottom w:val="0"/>
      <w:divBdr>
        <w:top w:val="none" w:sz="0" w:space="0" w:color="auto"/>
        <w:left w:val="none" w:sz="0" w:space="0" w:color="auto"/>
        <w:bottom w:val="none" w:sz="0" w:space="0" w:color="auto"/>
        <w:right w:val="none" w:sz="0" w:space="0" w:color="auto"/>
      </w:divBdr>
    </w:div>
    <w:div w:id="893545697">
      <w:bodyDiv w:val="1"/>
      <w:marLeft w:val="0"/>
      <w:marRight w:val="0"/>
      <w:marTop w:val="0"/>
      <w:marBottom w:val="0"/>
      <w:divBdr>
        <w:top w:val="none" w:sz="0" w:space="0" w:color="auto"/>
        <w:left w:val="none" w:sz="0" w:space="0" w:color="auto"/>
        <w:bottom w:val="none" w:sz="0" w:space="0" w:color="auto"/>
        <w:right w:val="none" w:sz="0" w:space="0" w:color="auto"/>
      </w:divBdr>
    </w:div>
    <w:div w:id="917902413">
      <w:bodyDiv w:val="1"/>
      <w:marLeft w:val="0"/>
      <w:marRight w:val="0"/>
      <w:marTop w:val="0"/>
      <w:marBottom w:val="0"/>
      <w:divBdr>
        <w:top w:val="none" w:sz="0" w:space="0" w:color="auto"/>
        <w:left w:val="none" w:sz="0" w:space="0" w:color="auto"/>
        <w:bottom w:val="none" w:sz="0" w:space="0" w:color="auto"/>
        <w:right w:val="none" w:sz="0" w:space="0" w:color="auto"/>
      </w:divBdr>
    </w:div>
    <w:div w:id="923488895">
      <w:bodyDiv w:val="1"/>
      <w:marLeft w:val="0"/>
      <w:marRight w:val="0"/>
      <w:marTop w:val="0"/>
      <w:marBottom w:val="0"/>
      <w:divBdr>
        <w:top w:val="none" w:sz="0" w:space="0" w:color="auto"/>
        <w:left w:val="none" w:sz="0" w:space="0" w:color="auto"/>
        <w:bottom w:val="none" w:sz="0" w:space="0" w:color="auto"/>
        <w:right w:val="none" w:sz="0" w:space="0" w:color="auto"/>
      </w:divBdr>
    </w:div>
    <w:div w:id="927084538">
      <w:bodyDiv w:val="1"/>
      <w:marLeft w:val="0"/>
      <w:marRight w:val="0"/>
      <w:marTop w:val="0"/>
      <w:marBottom w:val="0"/>
      <w:divBdr>
        <w:top w:val="none" w:sz="0" w:space="0" w:color="auto"/>
        <w:left w:val="none" w:sz="0" w:space="0" w:color="auto"/>
        <w:bottom w:val="none" w:sz="0" w:space="0" w:color="auto"/>
        <w:right w:val="none" w:sz="0" w:space="0" w:color="auto"/>
      </w:divBdr>
      <w:divsChild>
        <w:div w:id="472211270">
          <w:marLeft w:val="0"/>
          <w:marRight w:val="0"/>
          <w:marTop w:val="0"/>
          <w:marBottom w:val="0"/>
          <w:divBdr>
            <w:top w:val="none" w:sz="0" w:space="0" w:color="auto"/>
            <w:left w:val="none" w:sz="0" w:space="0" w:color="auto"/>
            <w:bottom w:val="none" w:sz="0" w:space="0" w:color="auto"/>
            <w:right w:val="none" w:sz="0" w:space="0" w:color="auto"/>
          </w:divBdr>
          <w:divsChild>
            <w:div w:id="122756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726671">
      <w:bodyDiv w:val="1"/>
      <w:marLeft w:val="0"/>
      <w:marRight w:val="0"/>
      <w:marTop w:val="0"/>
      <w:marBottom w:val="0"/>
      <w:divBdr>
        <w:top w:val="none" w:sz="0" w:space="0" w:color="auto"/>
        <w:left w:val="none" w:sz="0" w:space="0" w:color="auto"/>
        <w:bottom w:val="none" w:sz="0" w:space="0" w:color="auto"/>
        <w:right w:val="none" w:sz="0" w:space="0" w:color="auto"/>
      </w:divBdr>
    </w:div>
    <w:div w:id="957565636">
      <w:bodyDiv w:val="1"/>
      <w:marLeft w:val="0"/>
      <w:marRight w:val="0"/>
      <w:marTop w:val="0"/>
      <w:marBottom w:val="0"/>
      <w:divBdr>
        <w:top w:val="none" w:sz="0" w:space="0" w:color="auto"/>
        <w:left w:val="none" w:sz="0" w:space="0" w:color="auto"/>
        <w:bottom w:val="none" w:sz="0" w:space="0" w:color="auto"/>
        <w:right w:val="none" w:sz="0" w:space="0" w:color="auto"/>
      </w:divBdr>
    </w:div>
    <w:div w:id="970600875">
      <w:bodyDiv w:val="1"/>
      <w:marLeft w:val="0"/>
      <w:marRight w:val="0"/>
      <w:marTop w:val="0"/>
      <w:marBottom w:val="0"/>
      <w:divBdr>
        <w:top w:val="none" w:sz="0" w:space="0" w:color="auto"/>
        <w:left w:val="none" w:sz="0" w:space="0" w:color="auto"/>
        <w:bottom w:val="none" w:sz="0" w:space="0" w:color="auto"/>
        <w:right w:val="none" w:sz="0" w:space="0" w:color="auto"/>
      </w:divBdr>
    </w:div>
    <w:div w:id="974796367">
      <w:bodyDiv w:val="1"/>
      <w:marLeft w:val="0"/>
      <w:marRight w:val="0"/>
      <w:marTop w:val="0"/>
      <w:marBottom w:val="0"/>
      <w:divBdr>
        <w:top w:val="none" w:sz="0" w:space="0" w:color="auto"/>
        <w:left w:val="none" w:sz="0" w:space="0" w:color="auto"/>
        <w:bottom w:val="none" w:sz="0" w:space="0" w:color="auto"/>
        <w:right w:val="none" w:sz="0" w:space="0" w:color="auto"/>
      </w:divBdr>
    </w:div>
    <w:div w:id="985932226">
      <w:bodyDiv w:val="1"/>
      <w:marLeft w:val="0"/>
      <w:marRight w:val="0"/>
      <w:marTop w:val="0"/>
      <w:marBottom w:val="0"/>
      <w:divBdr>
        <w:top w:val="none" w:sz="0" w:space="0" w:color="auto"/>
        <w:left w:val="none" w:sz="0" w:space="0" w:color="auto"/>
        <w:bottom w:val="none" w:sz="0" w:space="0" w:color="auto"/>
        <w:right w:val="none" w:sz="0" w:space="0" w:color="auto"/>
      </w:divBdr>
    </w:div>
    <w:div w:id="986667587">
      <w:bodyDiv w:val="1"/>
      <w:marLeft w:val="0"/>
      <w:marRight w:val="0"/>
      <w:marTop w:val="0"/>
      <w:marBottom w:val="0"/>
      <w:divBdr>
        <w:top w:val="none" w:sz="0" w:space="0" w:color="auto"/>
        <w:left w:val="none" w:sz="0" w:space="0" w:color="auto"/>
        <w:bottom w:val="none" w:sz="0" w:space="0" w:color="auto"/>
        <w:right w:val="none" w:sz="0" w:space="0" w:color="auto"/>
      </w:divBdr>
    </w:div>
    <w:div w:id="989406895">
      <w:bodyDiv w:val="1"/>
      <w:marLeft w:val="0"/>
      <w:marRight w:val="0"/>
      <w:marTop w:val="0"/>
      <w:marBottom w:val="0"/>
      <w:divBdr>
        <w:top w:val="none" w:sz="0" w:space="0" w:color="auto"/>
        <w:left w:val="none" w:sz="0" w:space="0" w:color="auto"/>
        <w:bottom w:val="none" w:sz="0" w:space="0" w:color="auto"/>
        <w:right w:val="none" w:sz="0" w:space="0" w:color="auto"/>
      </w:divBdr>
    </w:div>
    <w:div w:id="993919574">
      <w:bodyDiv w:val="1"/>
      <w:marLeft w:val="0"/>
      <w:marRight w:val="0"/>
      <w:marTop w:val="0"/>
      <w:marBottom w:val="0"/>
      <w:divBdr>
        <w:top w:val="none" w:sz="0" w:space="0" w:color="auto"/>
        <w:left w:val="none" w:sz="0" w:space="0" w:color="auto"/>
        <w:bottom w:val="none" w:sz="0" w:space="0" w:color="auto"/>
        <w:right w:val="none" w:sz="0" w:space="0" w:color="auto"/>
      </w:divBdr>
    </w:div>
    <w:div w:id="1004405683">
      <w:bodyDiv w:val="1"/>
      <w:marLeft w:val="0"/>
      <w:marRight w:val="0"/>
      <w:marTop w:val="0"/>
      <w:marBottom w:val="0"/>
      <w:divBdr>
        <w:top w:val="none" w:sz="0" w:space="0" w:color="auto"/>
        <w:left w:val="none" w:sz="0" w:space="0" w:color="auto"/>
        <w:bottom w:val="none" w:sz="0" w:space="0" w:color="auto"/>
        <w:right w:val="none" w:sz="0" w:space="0" w:color="auto"/>
      </w:divBdr>
    </w:div>
    <w:div w:id="1006443702">
      <w:bodyDiv w:val="1"/>
      <w:marLeft w:val="0"/>
      <w:marRight w:val="0"/>
      <w:marTop w:val="0"/>
      <w:marBottom w:val="0"/>
      <w:divBdr>
        <w:top w:val="none" w:sz="0" w:space="0" w:color="auto"/>
        <w:left w:val="none" w:sz="0" w:space="0" w:color="auto"/>
        <w:bottom w:val="none" w:sz="0" w:space="0" w:color="auto"/>
        <w:right w:val="none" w:sz="0" w:space="0" w:color="auto"/>
      </w:divBdr>
    </w:div>
    <w:div w:id="1013074832">
      <w:bodyDiv w:val="1"/>
      <w:marLeft w:val="390"/>
      <w:marRight w:val="390"/>
      <w:marTop w:val="0"/>
      <w:marBottom w:val="0"/>
      <w:divBdr>
        <w:top w:val="none" w:sz="0" w:space="0" w:color="auto"/>
        <w:left w:val="none" w:sz="0" w:space="0" w:color="auto"/>
        <w:bottom w:val="none" w:sz="0" w:space="0" w:color="auto"/>
        <w:right w:val="none" w:sz="0" w:space="0" w:color="auto"/>
      </w:divBdr>
      <w:divsChild>
        <w:div w:id="1820880268">
          <w:marLeft w:val="0"/>
          <w:marRight w:val="0"/>
          <w:marTop w:val="0"/>
          <w:marBottom w:val="0"/>
          <w:divBdr>
            <w:top w:val="none" w:sz="0" w:space="0" w:color="auto"/>
            <w:left w:val="none" w:sz="0" w:space="0" w:color="auto"/>
            <w:bottom w:val="none" w:sz="0" w:space="0" w:color="auto"/>
            <w:right w:val="none" w:sz="0" w:space="0" w:color="auto"/>
          </w:divBdr>
          <w:divsChild>
            <w:div w:id="45422069">
              <w:marLeft w:val="0"/>
              <w:marRight w:val="0"/>
              <w:marTop w:val="0"/>
              <w:marBottom w:val="0"/>
              <w:divBdr>
                <w:top w:val="none" w:sz="0" w:space="0" w:color="auto"/>
                <w:left w:val="none" w:sz="0" w:space="0" w:color="auto"/>
                <w:bottom w:val="none" w:sz="0" w:space="0" w:color="auto"/>
                <w:right w:val="none" w:sz="0" w:space="0" w:color="auto"/>
              </w:divBdr>
              <w:divsChild>
                <w:div w:id="1649507206">
                  <w:marLeft w:val="-225"/>
                  <w:marRight w:val="-225"/>
                  <w:marTop w:val="0"/>
                  <w:marBottom w:val="0"/>
                  <w:divBdr>
                    <w:top w:val="none" w:sz="0" w:space="0" w:color="auto"/>
                    <w:left w:val="none" w:sz="0" w:space="0" w:color="auto"/>
                    <w:bottom w:val="none" w:sz="0" w:space="0" w:color="auto"/>
                    <w:right w:val="none" w:sz="0" w:space="0" w:color="auto"/>
                  </w:divBdr>
                  <w:divsChild>
                    <w:div w:id="678655721">
                      <w:marLeft w:val="0"/>
                      <w:marRight w:val="0"/>
                      <w:marTop w:val="0"/>
                      <w:marBottom w:val="0"/>
                      <w:divBdr>
                        <w:top w:val="none" w:sz="0" w:space="0" w:color="auto"/>
                        <w:left w:val="none" w:sz="0" w:space="0" w:color="auto"/>
                        <w:bottom w:val="none" w:sz="0" w:space="0" w:color="auto"/>
                        <w:right w:val="none" w:sz="0" w:space="0" w:color="auto"/>
                      </w:divBdr>
                      <w:divsChild>
                        <w:div w:id="150890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426737">
      <w:bodyDiv w:val="1"/>
      <w:marLeft w:val="0"/>
      <w:marRight w:val="0"/>
      <w:marTop w:val="0"/>
      <w:marBottom w:val="0"/>
      <w:divBdr>
        <w:top w:val="none" w:sz="0" w:space="0" w:color="auto"/>
        <w:left w:val="none" w:sz="0" w:space="0" w:color="auto"/>
        <w:bottom w:val="none" w:sz="0" w:space="0" w:color="auto"/>
        <w:right w:val="none" w:sz="0" w:space="0" w:color="auto"/>
      </w:divBdr>
    </w:div>
    <w:div w:id="1023820556">
      <w:bodyDiv w:val="1"/>
      <w:marLeft w:val="0"/>
      <w:marRight w:val="0"/>
      <w:marTop w:val="0"/>
      <w:marBottom w:val="0"/>
      <w:divBdr>
        <w:top w:val="none" w:sz="0" w:space="0" w:color="auto"/>
        <w:left w:val="none" w:sz="0" w:space="0" w:color="auto"/>
        <w:bottom w:val="none" w:sz="0" w:space="0" w:color="auto"/>
        <w:right w:val="none" w:sz="0" w:space="0" w:color="auto"/>
      </w:divBdr>
    </w:div>
    <w:div w:id="1028985683">
      <w:bodyDiv w:val="1"/>
      <w:marLeft w:val="0"/>
      <w:marRight w:val="0"/>
      <w:marTop w:val="0"/>
      <w:marBottom w:val="0"/>
      <w:divBdr>
        <w:top w:val="none" w:sz="0" w:space="0" w:color="auto"/>
        <w:left w:val="none" w:sz="0" w:space="0" w:color="auto"/>
        <w:bottom w:val="none" w:sz="0" w:space="0" w:color="auto"/>
        <w:right w:val="none" w:sz="0" w:space="0" w:color="auto"/>
      </w:divBdr>
    </w:div>
    <w:div w:id="1029794684">
      <w:bodyDiv w:val="1"/>
      <w:marLeft w:val="390"/>
      <w:marRight w:val="390"/>
      <w:marTop w:val="0"/>
      <w:marBottom w:val="0"/>
      <w:divBdr>
        <w:top w:val="none" w:sz="0" w:space="0" w:color="auto"/>
        <w:left w:val="none" w:sz="0" w:space="0" w:color="auto"/>
        <w:bottom w:val="none" w:sz="0" w:space="0" w:color="auto"/>
        <w:right w:val="none" w:sz="0" w:space="0" w:color="auto"/>
      </w:divBdr>
      <w:divsChild>
        <w:div w:id="757680408">
          <w:marLeft w:val="0"/>
          <w:marRight w:val="0"/>
          <w:marTop w:val="0"/>
          <w:marBottom w:val="0"/>
          <w:divBdr>
            <w:top w:val="none" w:sz="0" w:space="0" w:color="auto"/>
            <w:left w:val="none" w:sz="0" w:space="0" w:color="auto"/>
            <w:bottom w:val="none" w:sz="0" w:space="0" w:color="auto"/>
            <w:right w:val="none" w:sz="0" w:space="0" w:color="auto"/>
          </w:divBdr>
          <w:divsChild>
            <w:div w:id="935089039">
              <w:marLeft w:val="0"/>
              <w:marRight w:val="0"/>
              <w:marTop w:val="0"/>
              <w:marBottom w:val="0"/>
              <w:divBdr>
                <w:top w:val="none" w:sz="0" w:space="0" w:color="auto"/>
                <w:left w:val="none" w:sz="0" w:space="0" w:color="auto"/>
                <w:bottom w:val="none" w:sz="0" w:space="0" w:color="auto"/>
                <w:right w:val="none" w:sz="0" w:space="0" w:color="auto"/>
              </w:divBdr>
              <w:divsChild>
                <w:div w:id="170681953">
                  <w:marLeft w:val="-225"/>
                  <w:marRight w:val="-225"/>
                  <w:marTop w:val="0"/>
                  <w:marBottom w:val="0"/>
                  <w:divBdr>
                    <w:top w:val="none" w:sz="0" w:space="0" w:color="auto"/>
                    <w:left w:val="none" w:sz="0" w:space="0" w:color="auto"/>
                    <w:bottom w:val="none" w:sz="0" w:space="0" w:color="auto"/>
                    <w:right w:val="none" w:sz="0" w:space="0" w:color="auto"/>
                  </w:divBdr>
                  <w:divsChild>
                    <w:div w:id="1637055981">
                      <w:marLeft w:val="0"/>
                      <w:marRight w:val="0"/>
                      <w:marTop w:val="0"/>
                      <w:marBottom w:val="0"/>
                      <w:divBdr>
                        <w:top w:val="none" w:sz="0" w:space="0" w:color="auto"/>
                        <w:left w:val="none" w:sz="0" w:space="0" w:color="auto"/>
                        <w:bottom w:val="none" w:sz="0" w:space="0" w:color="auto"/>
                        <w:right w:val="none" w:sz="0" w:space="0" w:color="auto"/>
                      </w:divBdr>
                      <w:divsChild>
                        <w:div w:id="202794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8507096">
      <w:bodyDiv w:val="1"/>
      <w:marLeft w:val="0"/>
      <w:marRight w:val="0"/>
      <w:marTop w:val="0"/>
      <w:marBottom w:val="0"/>
      <w:divBdr>
        <w:top w:val="none" w:sz="0" w:space="0" w:color="auto"/>
        <w:left w:val="none" w:sz="0" w:space="0" w:color="auto"/>
        <w:bottom w:val="none" w:sz="0" w:space="0" w:color="auto"/>
        <w:right w:val="none" w:sz="0" w:space="0" w:color="auto"/>
      </w:divBdr>
    </w:div>
    <w:div w:id="1042560781">
      <w:bodyDiv w:val="1"/>
      <w:marLeft w:val="0"/>
      <w:marRight w:val="0"/>
      <w:marTop w:val="0"/>
      <w:marBottom w:val="0"/>
      <w:divBdr>
        <w:top w:val="none" w:sz="0" w:space="0" w:color="auto"/>
        <w:left w:val="none" w:sz="0" w:space="0" w:color="auto"/>
        <w:bottom w:val="none" w:sz="0" w:space="0" w:color="auto"/>
        <w:right w:val="none" w:sz="0" w:space="0" w:color="auto"/>
      </w:divBdr>
    </w:div>
    <w:div w:id="1043481611">
      <w:bodyDiv w:val="1"/>
      <w:marLeft w:val="0"/>
      <w:marRight w:val="0"/>
      <w:marTop w:val="0"/>
      <w:marBottom w:val="0"/>
      <w:divBdr>
        <w:top w:val="none" w:sz="0" w:space="0" w:color="auto"/>
        <w:left w:val="none" w:sz="0" w:space="0" w:color="auto"/>
        <w:bottom w:val="none" w:sz="0" w:space="0" w:color="auto"/>
        <w:right w:val="none" w:sz="0" w:space="0" w:color="auto"/>
      </w:divBdr>
    </w:div>
    <w:div w:id="1045133216">
      <w:bodyDiv w:val="1"/>
      <w:marLeft w:val="0"/>
      <w:marRight w:val="0"/>
      <w:marTop w:val="0"/>
      <w:marBottom w:val="0"/>
      <w:divBdr>
        <w:top w:val="none" w:sz="0" w:space="0" w:color="auto"/>
        <w:left w:val="none" w:sz="0" w:space="0" w:color="auto"/>
        <w:bottom w:val="none" w:sz="0" w:space="0" w:color="auto"/>
        <w:right w:val="none" w:sz="0" w:space="0" w:color="auto"/>
      </w:divBdr>
    </w:div>
    <w:div w:id="1050498463">
      <w:bodyDiv w:val="1"/>
      <w:marLeft w:val="0"/>
      <w:marRight w:val="0"/>
      <w:marTop w:val="0"/>
      <w:marBottom w:val="0"/>
      <w:divBdr>
        <w:top w:val="none" w:sz="0" w:space="0" w:color="auto"/>
        <w:left w:val="none" w:sz="0" w:space="0" w:color="auto"/>
        <w:bottom w:val="none" w:sz="0" w:space="0" w:color="auto"/>
        <w:right w:val="none" w:sz="0" w:space="0" w:color="auto"/>
      </w:divBdr>
    </w:div>
    <w:div w:id="1066025506">
      <w:bodyDiv w:val="1"/>
      <w:marLeft w:val="0"/>
      <w:marRight w:val="0"/>
      <w:marTop w:val="0"/>
      <w:marBottom w:val="0"/>
      <w:divBdr>
        <w:top w:val="none" w:sz="0" w:space="0" w:color="auto"/>
        <w:left w:val="none" w:sz="0" w:space="0" w:color="auto"/>
        <w:bottom w:val="none" w:sz="0" w:space="0" w:color="auto"/>
        <w:right w:val="none" w:sz="0" w:space="0" w:color="auto"/>
      </w:divBdr>
      <w:divsChild>
        <w:div w:id="1050881429">
          <w:marLeft w:val="0"/>
          <w:marRight w:val="0"/>
          <w:marTop w:val="150"/>
          <w:marBottom w:val="0"/>
          <w:divBdr>
            <w:top w:val="single" w:sz="6" w:space="0" w:color="FFFFFF"/>
            <w:left w:val="single" w:sz="6" w:space="0" w:color="FFFFFF"/>
            <w:bottom w:val="single" w:sz="6" w:space="0" w:color="FFFFFF"/>
            <w:right w:val="single" w:sz="6" w:space="0" w:color="FFFFFF"/>
          </w:divBdr>
        </w:div>
      </w:divsChild>
    </w:div>
    <w:div w:id="1070688518">
      <w:bodyDiv w:val="1"/>
      <w:marLeft w:val="0"/>
      <w:marRight w:val="0"/>
      <w:marTop w:val="0"/>
      <w:marBottom w:val="0"/>
      <w:divBdr>
        <w:top w:val="none" w:sz="0" w:space="0" w:color="auto"/>
        <w:left w:val="none" w:sz="0" w:space="0" w:color="auto"/>
        <w:bottom w:val="none" w:sz="0" w:space="0" w:color="auto"/>
        <w:right w:val="none" w:sz="0" w:space="0" w:color="auto"/>
      </w:divBdr>
    </w:div>
    <w:div w:id="1072315996">
      <w:bodyDiv w:val="1"/>
      <w:marLeft w:val="0"/>
      <w:marRight w:val="0"/>
      <w:marTop w:val="0"/>
      <w:marBottom w:val="0"/>
      <w:divBdr>
        <w:top w:val="none" w:sz="0" w:space="0" w:color="auto"/>
        <w:left w:val="none" w:sz="0" w:space="0" w:color="auto"/>
        <w:bottom w:val="none" w:sz="0" w:space="0" w:color="auto"/>
        <w:right w:val="none" w:sz="0" w:space="0" w:color="auto"/>
      </w:divBdr>
    </w:div>
    <w:div w:id="1072854801">
      <w:bodyDiv w:val="1"/>
      <w:marLeft w:val="0"/>
      <w:marRight w:val="0"/>
      <w:marTop w:val="0"/>
      <w:marBottom w:val="0"/>
      <w:divBdr>
        <w:top w:val="none" w:sz="0" w:space="0" w:color="auto"/>
        <w:left w:val="none" w:sz="0" w:space="0" w:color="auto"/>
        <w:bottom w:val="none" w:sz="0" w:space="0" w:color="auto"/>
        <w:right w:val="none" w:sz="0" w:space="0" w:color="auto"/>
      </w:divBdr>
    </w:div>
    <w:div w:id="1073088463">
      <w:bodyDiv w:val="1"/>
      <w:marLeft w:val="0"/>
      <w:marRight w:val="0"/>
      <w:marTop w:val="0"/>
      <w:marBottom w:val="0"/>
      <w:divBdr>
        <w:top w:val="none" w:sz="0" w:space="0" w:color="auto"/>
        <w:left w:val="none" w:sz="0" w:space="0" w:color="auto"/>
        <w:bottom w:val="none" w:sz="0" w:space="0" w:color="auto"/>
        <w:right w:val="none" w:sz="0" w:space="0" w:color="auto"/>
      </w:divBdr>
    </w:div>
    <w:div w:id="1076129092">
      <w:bodyDiv w:val="1"/>
      <w:marLeft w:val="0"/>
      <w:marRight w:val="0"/>
      <w:marTop w:val="0"/>
      <w:marBottom w:val="0"/>
      <w:divBdr>
        <w:top w:val="none" w:sz="0" w:space="0" w:color="auto"/>
        <w:left w:val="none" w:sz="0" w:space="0" w:color="auto"/>
        <w:bottom w:val="none" w:sz="0" w:space="0" w:color="auto"/>
        <w:right w:val="none" w:sz="0" w:space="0" w:color="auto"/>
      </w:divBdr>
    </w:div>
    <w:div w:id="1083645751">
      <w:bodyDiv w:val="1"/>
      <w:marLeft w:val="0"/>
      <w:marRight w:val="0"/>
      <w:marTop w:val="0"/>
      <w:marBottom w:val="0"/>
      <w:divBdr>
        <w:top w:val="none" w:sz="0" w:space="0" w:color="auto"/>
        <w:left w:val="none" w:sz="0" w:space="0" w:color="auto"/>
        <w:bottom w:val="none" w:sz="0" w:space="0" w:color="auto"/>
        <w:right w:val="none" w:sz="0" w:space="0" w:color="auto"/>
      </w:divBdr>
      <w:divsChild>
        <w:div w:id="124394243">
          <w:marLeft w:val="0"/>
          <w:marRight w:val="0"/>
          <w:marTop w:val="0"/>
          <w:marBottom w:val="0"/>
          <w:divBdr>
            <w:top w:val="none" w:sz="0" w:space="0" w:color="auto"/>
            <w:left w:val="none" w:sz="0" w:space="0" w:color="auto"/>
            <w:bottom w:val="none" w:sz="0" w:space="0" w:color="auto"/>
            <w:right w:val="none" w:sz="0" w:space="0" w:color="auto"/>
          </w:divBdr>
          <w:divsChild>
            <w:div w:id="479154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753661">
      <w:bodyDiv w:val="1"/>
      <w:marLeft w:val="0"/>
      <w:marRight w:val="0"/>
      <w:marTop w:val="0"/>
      <w:marBottom w:val="0"/>
      <w:divBdr>
        <w:top w:val="none" w:sz="0" w:space="0" w:color="auto"/>
        <w:left w:val="none" w:sz="0" w:space="0" w:color="auto"/>
        <w:bottom w:val="none" w:sz="0" w:space="0" w:color="auto"/>
        <w:right w:val="none" w:sz="0" w:space="0" w:color="auto"/>
      </w:divBdr>
    </w:div>
    <w:div w:id="1117991678">
      <w:bodyDiv w:val="1"/>
      <w:marLeft w:val="0"/>
      <w:marRight w:val="0"/>
      <w:marTop w:val="0"/>
      <w:marBottom w:val="0"/>
      <w:divBdr>
        <w:top w:val="none" w:sz="0" w:space="0" w:color="auto"/>
        <w:left w:val="none" w:sz="0" w:space="0" w:color="auto"/>
        <w:bottom w:val="none" w:sz="0" w:space="0" w:color="auto"/>
        <w:right w:val="none" w:sz="0" w:space="0" w:color="auto"/>
      </w:divBdr>
    </w:div>
    <w:div w:id="1122308769">
      <w:bodyDiv w:val="1"/>
      <w:marLeft w:val="0"/>
      <w:marRight w:val="0"/>
      <w:marTop w:val="0"/>
      <w:marBottom w:val="0"/>
      <w:divBdr>
        <w:top w:val="none" w:sz="0" w:space="0" w:color="auto"/>
        <w:left w:val="none" w:sz="0" w:space="0" w:color="auto"/>
        <w:bottom w:val="none" w:sz="0" w:space="0" w:color="auto"/>
        <w:right w:val="none" w:sz="0" w:space="0" w:color="auto"/>
      </w:divBdr>
    </w:div>
    <w:div w:id="1122455435">
      <w:bodyDiv w:val="1"/>
      <w:marLeft w:val="0"/>
      <w:marRight w:val="0"/>
      <w:marTop w:val="0"/>
      <w:marBottom w:val="0"/>
      <w:divBdr>
        <w:top w:val="none" w:sz="0" w:space="0" w:color="auto"/>
        <w:left w:val="none" w:sz="0" w:space="0" w:color="auto"/>
        <w:bottom w:val="none" w:sz="0" w:space="0" w:color="auto"/>
        <w:right w:val="none" w:sz="0" w:space="0" w:color="auto"/>
      </w:divBdr>
    </w:div>
    <w:div w:id="1123694325">
      <w:bodyDiv w:val="1"/>
      <w:marLeft w:val="0"/>
      <w:marRight w:val="0"/>
      <w:marTop w:val="0"/>
      <w:marBottom w:val="0"/>
      <w:divBdr>
        <w:top w:val="none" w:sz="0" w:space="0" w:color="auto"/>
        <w:left w:val="none" w:sz="0" w:space="0" w:color="auto"/>
        <w:bottom w:val="none" w:sz="0" w:space="0" w:color="auto"/>
        <w:right w:val="none" w:sz="0" w:space="0" w:color="auto"/>
      </w:divBdr>
    </w:div>
    <w:div w:id="1136290758">
      <w:bodyDiv w:val="1"/>
      <w:marLeft w:val="0"/>
      <w:marRight w:val="0"/>
      <w:marTop w:val="0"/>
      <w:marBottom w:val="0"/>
      <w:divBdr>
        <w:top w:val="none" w:sz="0" w:space="0" w:color="auto"/>
        <w:left w:val="none" w:sz="0" w:space="0" w:color="auto"/>
        <w:bottom w:val="none" w:sz="0" w:space="0" w:color="auto"/>
        <w:right w:val="none" w:sz="0" w:space="0" w:color="auto"/>
      </w:divBdr>
    </w:div>
    <w:div w:id="1150052610">
      <w:bodyDiv w:val="1"/>
      <w:marLeft w:val="0"/>
      <w:marRight w:val="0"/>
      <w:marTop w:val="0"/>
      <w:marBottom w:val="0"/>
      <w:divBdr>
        <w:top w:val="none" w:sz="0" w:space="0" w:color="auto"/>
        <w:left w:val="none" w:sz="0" w:space="0" w:color="auto"/>
        <w:bottom w:val="none" w:sz="0" w:space="0" w:color="auto"/>
        <w:right w:val="none" w:sz="0" w:space="0" w:color="auto"/>
      </w:divBdr>
    </w:div>
    <w:div w:id="1153834277">
      <w:bodyDiv w:val="1"/>
      <w:marLeft w:val="0"/>
      <w:marRight w:val="0"/>
      <w:marTop w:val="0"/>
      <w:marBottom w:val="0"/>
      <w:divBdr>
        <w:top w:val="none" w:sz="0" w:space="0" w:color="auto"/>
        <w:left w:val="none" w:sz="0" w:space="0" w:color="auto"/>
        <w:bottom w:val="none" w:sz="0" w:space="0" w:color="auto"/>
        <w:right w:val="none" w:sz="0" w:space="0" w:color="auto"/>
      </w:divBdr>
    </w:div>
    <w:div w:id="1158157569">
      <w:bodyDiv w:val="1"/>
      <w:marLeft w:val="0"/>
      <w:marRight w:val="0"/>
      <w:marTop w:val="0"/>
      <w:marBottom w:val="0"/>
      <w:divBdr>
        <w:top w:val="none" w:sz="0" w:space="0" w:color="auto"/>
        <w:left w:val="none" w:sz="0" w:space="0" w:color="auto"/>
        <w:bottom w:val="none" w:sz="0" w:space="0" w:color="auto"/>
        <w:right w:val="none" w:sz="0" w:space="0" w:color="auto"/>
      </w:divBdr>
    </w:div>
    <w:div w:id="1158570098">
      <w:bodyDiv w:val="1"/>
      <w:marLeft w:val="0"/>
      <w:marRight w:val="0"/>
      <w:marTop w:val="0"/>
      <w:marBottom w:val="0"/>
      <w:divBdr>
        <w:top w:val="none" w:sz="0" w:space="0" w:color="auto"/>
        <w:left w:val="none" w:sz="0" w:space="0" w:color="auto"/>
        <w:bottom w:val="none" w:sz="0" w:space="0" w:color="auto"/>
        <w:right w:val="none" w:sz="0" w:space="0" w:color="auto"/>
      </w:divBdr>
    </w:div>
    <w:div w:id="1174995891">
      <w:bodyDiv w:val="1"/>
      <w:marLeft w:val="0"/>
      <w:marRight w:val="0"/>
      <w:marTop w:val="0"/>
      <w:marBottom w:val="0"/>
      <w:divBdr>
        <w:top w:val="none" w:sz="0" w:space="0" w:color="auto"/>
        <w:left w:val="none" w:sz="0" w:space="0" w:color="auto"/>
        <w:bottom w:val="none" w:sz="0" w:space="0" w:color="auto"/>
        <w:right w:val="none" w:sz="0" w:space="0" w:color="auto"/>
      </w:divBdr>
    </w:div>
    <w:div w:id="1183470684">
      <w:bodyDiv w:val="1"/>
      <w:marLeft w:val="0"/>
      <w:marRight w:val="0"/>
      <w:marTop w:val="0"/>
      <w:marBottom w:val="0"/>
      <w:divBdr>
        <w:top w:val="none" w:sz="0" w:space="0" w:color="auto"/>
        <w:left w:val="none" w:sz="0" w:space="0" w:color="auto"/>
        <w:bottom w:val="none" w:sz="0" w:space="0" w:color="auto"/>
        <w:right w:val="none" w:sz="0" w:space="0" w:color="auto"/>
      </w:divBdr>
    </w:div>
    <w:div w:id="1187057176">
      <w:bodyDiv w:val="1"/>
      <w:marLeft w:val="0"/>
      <w:marRight w:val="0"/>
      <w:marTop w:val="0"/>
      <w:marBottom w:val="0"/>
      <w:divBdr>
        <w:top w:val="none" w:sz="0" w:space="0" w:color="auto"/>
        <w:left w:val="none" w:sz="0" w:space="0" w:color="auto"/>
        <w:bottom w:val="none" w:sz="0" w:space="0" w:color="auto"/>
        <w:right w:val="none" w:sz="0" w:space="0" w:color="auto"/>
      </w:divBdr>
    </w:div>
    <w:div w:id="1190415672">
      <w:bodyDiv w:val="1"/>
      <w:marLeft w:val="0"/>
      <w:marRight w:val="0"/>
      <w:marTop w:val="0"/>
      <w:marBottom w:val="0"/>
      <w:divBdr>
        <w:top w:val="none" w:sz="0" w:space="0" w:color="auto"/>
        <w:left w:val="none" w:sz="0" w:space="0" w:color="auto"/>
        <w:bottom w:val="none" w:sz="0" w:space="0" w:color="auto"/>
        <w:right w:val="none" w:sz="0" w:space="0" w:color="auto"/>
      </w:divBdr>
    </w:div>
    <w:div w:id="1191458138">
      <w:bodyDiv w:val="1"/>
      <w:marLeft w:val="0"/>
      <w:marRight w:val="0"/>
      <w:marTop w:val="0"/>
      <w:marBottom w:val="0"/>
      <w:divBdr>
        <w:top w:val="none" w:sz="0" w:space="0" w:color="auto"/>
        <w:left w:val="none" w:sz="0" w:space="0" w:color="auto"/>
        <w:bottom w:val="none" w:sz="0" w:space="0" w:color="auto"/>
        <w:right w:val="none" w:sz="0" w:space="0" w:color="auto"/>
      </w:divBdr>
    </w:div>
    <w:div w:id="1192456422">
      <w:bodyDiv w:val="1"/>
      <w:marLeft w:val="0"/>
      <w:marRight w:val="0"/>
      <w:marTop w:val="0"/>
      <w:marBottom w:val="0"/>
      <w:divBdr>
        <w:top w:val="none" w:sz="0" w:space="0" w:color="auto"/>
        <w:left w:val="none" w:sz="0" w:space="0" w:color="auto"/>
        <w:bottom w:val="none" w:sz="0" w:space="0" w:color="auto"/>
        <w:right w:val="none" w:sz="0" w:space="0" w:color="auto"/>
      </w:divBdr>
    </w:div>
    <w:div w:id="1199465169">
      <w:bodyDiv w:val="1"/>
      <w:marLeft w:val="0"/>
      <w:marRight w:val="0"/>
      <w:marTop w:val="0"/>
      <w:marBottom w:val="0"/>
      <w:divBdr>
        <w:top w:val="none" w:sz="0" w:space="0" w:color="auto"/>
        <w:left w:val="none" w:sz="0" w:space="0" w:color="auto"/>
        <w:bottom w:val="none" w:sz="0" w:space="0" w:color="auto"/>
        <w:right w:val="none" w:sz="0" w:space="0" w:color="auto"/>
      </w:divBdr>
    </w:div>
    <w:div w:id="1202590739">
      <w:bodyDiv w:val="1"/>
      <w:marLeft w:val="0"/>
      <w:marRight w:val="0"/>
      <w:marTop w:val="0"/>
      <w:marBottom w:val="0"/>
      <w:divBdr>
        <w:top w:val="none" w:sz="0" w:space="0" w:color="auto"/>
        <w:left w:val="none" w:sz="0" w:space="0" w:color="auto"/>
        <w:bottom w:val="none" w:sz="0" w:space="0" w:color="auto"/>
        <w:right w:val="none" w:sz="0" w:space="0" w:color="auto"/>
      </w:divBdr>
    </w:div>
    <w:div w:id="1224632928">
      <w:bodyDiv w:val="1"/>
      <w:marLeft w:val="0"/>
      <w:marRight w:val="0"/>
      <w:marTop w:val="0"/>
      <w:marBottom w:val="0"/>
      <w:divBdr>
        <w:top w:val="none" w:sz="0" w:space="0" w:color="auto"/>
        <w:left w:val="none" w:sz="0" w:space="0" w:color="auto"/>
        <w:bottom w:val="none" w:sz="0" w:space="0" w:color="auto"/>
        <w:right w:val="none" w:sz="0" w:space="0" w:color="auto"/>
      </w:divBdr>
    </w:div>
    <w:div w:id="1235318555">
      <w:bodyDiv w:val="1"/>
      <w:marLeft w:val="0"/>
      <w:marRight w:val="0"/>
      <w:marTop w:val="0"/>
      <w:marBottom w:val="0"/>
      <w:divBdr>
        <w:top w:val="none" w:sz="0" w:space="0" w:color="auto"/>
        <w:left w:val="none" w:sz="0" w:space="0" w:color="auto"/>
        <w:bottom w:val="none" w:sz="0" w:space="0" w:color="auto"/>
        <w:right w:val="none" w:sz="0" w:space="0" w:color="auto"/>
      </w:divBdr>
    </w:div>
    <w:div w:id="1236627441">
      <w:bodyDiv w:val="1"/>
      <w:marLeft w:val="0"/>
      <w:marRight w:val="0"/>
      <w:marTop w:val="0"/>
      <w:marBottom w:val="0"/>
      <w:divBdr>
        <w:top w:val="none" w:sz="0" w:space="0" w:color="auto"/>
        <w:left w:val="none" w:sz="0" w:space="0" w:color="auto"/>
        <w:bottom w:val="none" w:sz="0" w:space="0" w:color="auto"/>
        <w:right w:val="none" w:sz="0" w:space="0" w:color="auto"/>
      </w:divBdr>
    </w:div>
    <w:div w:id="1244027352">
      <w:bodyDiv w:val="1"/>
      <w:marLeft w:val="0"/>
      <w:marRight w:val="0"/>
      <w:marTop w:val="0"/>
      <w:marBottom w:val="0"/>
      <w:divBdr>
        <w:top w:val="none" w:sz="0" w:space="0" w:color="auto"/>
        <w:left w:val="none" w:sz="0" w:space="0" w:color="auto"/>
        <w:bottom w:val="none" w:sz="0" w:space="0" w:color="auto"/>
        <w:right w:val="none" w:sz="0" w:space="0" w:color="auto"/>
      </w:divBdr>
    </w:div>
    <w:div w:id="1256011522">
      <w:bodyDiv w:val="1"/>
      <w:marLeft w:val="0"/>
      <w:marRight w:val="0"/>
      <w:marTop w:val="0"/>
      <w:marBottom w:val="0"/>
      <w:divBdr>
        <w:top w:val="none" w:sz="0" w:space="0" w:color="auto"/>
        <w:left w:val="none" w:sz="0" w:space="0" w:color="auto"/>
        <w:bottom w:val="none" w:sz="0" w:space="0" w:color="auto"/>
        <w:right w:val="none" w:sz="0" w:space="0" w:color="auto"/>
      </w:divBdr>
    </w:div>
    <w:div w:id="1259487542">
      <w:bodyDiv w:val="1"/>
      <w:marLeft w:val="0"/>
      <w:marRight w:val="0"/>
      <w:marTop w:val="0"/>
      <w:marBottom w:val="0"/>
      <w:divBdr>
        <w:top w:val="none" w:sz="0" w:space="0" w:color="auto"/>
        <w:left w:val="none" w:sz="0" w:space="0" w:color="auto"/>
        <w:bottom w:val="none" w:sz="0" w:space="0" w:color="auto"/>
        <w:right w:val="none" w:sz="0" w:space="0" w:color="auto"/>
      </w:divBdr>
    </w:div>
    <w:div w:id="1277057334">
      <w:bodyDiv w:val="1"/>
      <w:marLeft w:val="0"/>
      <w:marRight w:val="0"/>
      <w:marTop w:val="0"/>
      <w:marBottom w:val="0"/>
      <w:divBdr>
        <w:top w:val="none" w:sz="0" w:space="0" w:color="auto"/>
        <w:left w:val="none" w:sz="0" w:space="0" w:color="auto"/>
        <w:bottom w:val="none" w:sz="0" w:space="0" w:color="auto"/>
        <w:right w:val="none" w:sz="0" w:space="0" w:color="auto"/>
      </w:divBdr>
    </w:div>
    <w:div w:id="1283881340">
      <w:bodyDiv w:val="1"/>
      <w:marLeft w:val="0"/>
      <w:marRight w:val="0"/>
      <w:marTop w:val="0"/>
      <w:marBottom w:val="0"/>
      <w:divBdr>
        <w:top w:val="none" w:sz="0" w:space="0" w:color="auto"/>
        <w:left w:val="none" w:sz="0" w:space="0" w:color="auto"/>
        <w:bottom w:val="none" w:sz="0" w:space="0" w:color="auto"/>
        <w:right w:val="none" w:sz="0" w:space="0" w:color="auto"/>
      </w:divBdr>
    </w:div>
    <w:div w:id="1292243555">
      <w:bodyDiv w:val="1"/>
      <w:marLeft w:val="0"/>
      <w:marRight w:val="0"/>
      <w:marTop w:val="0"/>
      <w:marBottom w:val="0"/>
      <w:divBdr>
        <w:top w:val="none" w:sz="0" w:space="0" w:color="auto"/>
        <w:left w:val="none" w:sz="0" w:space="0" w:color="auto"/>
        <w:bottom w:val="none" w:sz="0" w:space="0" w:color="auto"/>
        <w:right w:val="none" w:sz="0" w:space="0" w:color="auto"/>
      </w:divBdr>
    </w:div>
    <w:div w:id="1297292379">
      <w:bodyDiv w:val="1"/>
      <w:marLeft w:val="0"/>
      <w:marRight w:val="0"/>
      <w:marTop w:val="0"/>
      <w:marBottom w:val="0"/>
      <w:divBdr>
        <w:top w:val="none" w:sz="0" w:space="0" w:color="auto"/>
        <w:left w:val="none" w:sz="0" w:space="0" w:color="auto"/>
        <w:bottom w:val="none" w:sz="0" w:space="0" w:color="auto"/>
        <w:right w:val="none" w:sz="0" w:space="0" w:color="auto"/>
      </w:divBdr>
    </w:div>
    <w:div w:id="1308902258">
      <w:bodyDiv w:val="1"/>
      <w:marLeft w:val="0"/>
      <w:marRight w:val="0"/>
      <w:marTop w:val="0"/>
      <w:marBottom w:val="0"/>
      <w:divBdr>
        <w:top w:val="none" w:sz="0" w:space="0" w:color="auto"/>
        <w:left w:val="none" w:sz="0" w:space="0" w:color="auto"/>
        <w:bottom w:val="none" w:sz="0" w:space="0" w:color="auto"/>
        <w:right w:val="none" w:sz="0" w:space="0" w:color="auto"/>
      </w:divBdr>
    </w:div>
    <w:div w:id="1327708498">
      <w:bodyDiv w:val="1"/>
      <w:marLeft w:val="0"/>
      <w:marRight w:val="0"/>
      <w:marTop w:val="0"/>
      <w:marBottom w:val="0"/>
      <w:divBdr>
        <w:top w:val="none" w:sz="0" w:space="0" w:color="auto"/>
        <w:left w:val="none" w:sz="0" w:space="0" w:color="auto"/>
        <w:bottom w:val="none" w:sz="0" w:space="0" w:color="auto"/>
        <w:right w:val="none" w:sz="0" w:space="0" w:color="auto"/>
      </w:divBdr>
    </w:div>
    <w:div w:id="1342779026">
      <w:bodyDiv w:val="1"/>
      <w:marLeft w:val="0"/>
      <w:marRight w:val="0"/>
      <w:marTop w:val="0"/>
      <w:marBottom w:val="0"/>
      <w:divBdr>
        <w:top w:val="none" w:sz="0" w:space="0" w:color="auto"/>
        <w:left w:val="none" w:sz="0" w:space="0" w:color="auto"/>
        <w:bottom w:val="none" w:sz="0" w:space="0" w:color="auto"/>
        <w:right w:val="none" w:sz="0" w:space="0" w:color="auto"/>
      </w:divBdr>
    </w:div>
    <w:div w:id="1374577957">
      <w:bodyDiv w:val="1"/>
      <w:marLeft w:val="0"/>
      <w:marRight w:val="0"/>
      <w:marTop w:val="0"/>
      <w:marBottom w:val="0"/>
      <w:divBdr>
        <w:top w:val="none" w:sz="0" w:space="0" w:color="auto"/>
        <w:left w:val="none" w:sz="0" w:space="0" w:color="auto"/>
        <w:bottom w:val="none" w:sz="0" w:space="0" w:color="auto"/>
        <w:right w:val="none" w:sz="0" w:space="0" w:color="auto"/>
      </w:divBdr>
    </w:div>
    <w:div w:id="1379356082">
      <w:bodyDiv w:val="1"/>
      <w:marLeft w:val="0"/>
      <w:marRight w:val="0"/>
      <w:marTop w:val="0"/>
      <w:marBottom w:val="0"/>
      <w:divBdr>
        <w:top w:val="none" w:sz="0" w:space="0" w:color="auto"/>
        <w:left w:val="none" w:sz="0" w:space="0" w:color="auto"/>
        <w:bottom w:val="none" w:sz="0" w:space="0" w:color="auto"/>
        <w:right w:val="none" w:sz="0" w:space="0" w:color="auto"/>
      </w:divBdr>
    </w:div>
    <w:div w:id="1379744810">
      <w:bodyDiv w:val="1"/>
      <w:marLeft w:val="0"/>
      <w:marRight w:val="0"/>
      <w:marTop w:val="0"/>
      <w:marBottom w:val="0"/>
      <w:divBdr>
        <w:top w:val="none" w:sz="0" w:space="0" w:color="auto"/>
        <w:left w:val="none" w:sz="0" w:space="0" w:color="auto"/>
        <w:bottom w:val="none" w:sz="0" w:space="0" w:color="auto"/>
        <w:right w:val="none" w:sz="0" w:space="0" w:color="auto"/>
      </w:divBdr>
    </w:div>
    <w:div w:id="1384714540">
      <w:bodyDiv w:val="1"/>
      <w:marLeft w:val="0"/>
      <w:marRight w:val="0"/>
      <w:marTop w:val="0"/>
      <w:marBottom w:val="0"/>
      <w:divBdr>
        <w:top w:val="none" w:sz="0" w:space="0" w:color="auto"/>
        <w:left w:val="none" w:sz="0" w:space="0" w:color="auto"/>
        <w:bottom w:val="none" w:sz="0" w:space="0" w:color="auto"/>
        <w:right w:val="none" w:sz="0" w:space="0" w:color="auto"/>
      </w:divBdr>
    </w:div>
    <w:div w:id="1405420894">
      <w:bodyDiv w:val="1"/>
      <w:marLeft w:val="0"/>
      <w:marRight w:val="0"/>
      <w:marTop w:val="0"/>
      <w:marBottom w:val="0"/>
      <w:divBdr>
        <w:top w:val="none" w:sz="0" w:space="0" w:color="auto"/>
        <w:left w:val="none" w:sz="0" w:space="0" w:color="auto"/>
        <w:bottom w:val="none" w:sz="0" w:space="0" w:color="auto"/>
        <w:right w:val="none" w:sz="0" w:space="0" w:color="auto"/>
      </w:divBdr>
    </w:div>
    <w:div w:id="1408579663">
      <w:bodyDiv w:val="1"/>
      <w:marLeft w:val="0"/>
      <w:marRight w:val="0"/>
      <w:marTop w:val="0"/>
      <w:marBottom w:val="0"/>
      <w:divBdr>
        <w:top w:val="none" w:sz="0" w:space="0" w:color="auto"/>
        <w:left w:val="none" w:sz="0" w:space="0" w:color="auto"/>
        <w:bottom w:val="none" w:sz="0" w:space="0" w:color="auto"/>
        <w:right w:val="none" w:sz="0" w:space="0" w:color="auto"/>
      </w:divBdr>
    </w:div>
    <w:div w:id="1410810167">
      <w:bodyDiv w:val="1"/>
      <w:marLeft w:val="0"/>
      <w:marRight w:val="0"/>
      <w:marTop w:val="0"/>
      <w:marBottom w:val="0"/>
      <w:divBdr>
        <w:top w:val="none" w:sz="0" w:space="0" w:color="auto"/>
        <w:left w:val="none" w:sz="0" w:space="0" w:color="auto"/>
        <w:bottom w:val="none" w:sz="0" w:space="0" w:color="auto"/>
        <w:right w:val="none" w:sz="0" w:space="0" w:color="auto"/>
      </w:divBdr>
    </w:div>
    <w:div w:id="1421024424">
      <w:bodyDiv w:val="1"/>
      <w:marLeft w:val="0"/>
      <w:marRight w:val="0"/>
      <w:marTop w:val="0"/>
      <w:marBottom w:val="0"/>
      <w:divBdr>
        <w:top w:val="none" w:sz="0" w:space="0" w:color="auto"/>
        <w:left w:val="none" w:sz="0" w:space="0" w:color="auto"/>
        <w:bottom w:val="none" w:sz="0" w:space="0" w:color="auto"/>
        <w:right w:val="none" w:sz="0" w:space="0" w:color="auto"/>
      </w:divBdr>
    </w:div>
    <w:div w:id="1426880591">
      <w:bodyDiv w:val="1"/>
      <w:marLeft w:val="0"/>
      <w:marRight w:val="0"/>
      <w:marTop w:val="0"/>
      <w:marBottom w:val="0"/>
      <w:divBdr>
        <w:top w:val="none" w:sz="0" w:space="0" w:color="auto"/>
        <w:left w:val="none" w:sz="0" w:space="0" w:color="auto"/>
        <w:bottom w:val="none" w:sz="0" w:space="0" w:color="auto"/>
        <w:right w:val="none" w:sz="0" w:space="0" w:color="auto"/>
      </w:divBdr>
    </w:div>
    <w:div w:id="1428498585">
      <w:bodyDiv w:val="1"/>
      <w:marLeft w:val="0"/>
      <w:marRight w:val="0"/>
      <w:marTop w:val="0"/>
      <w:marBottom w:val="0"/>
      <w:divBdr>
        <w:top w:val="none" w:sz="0" w:space="0" w:color="auto"/>
        <w:left w:val="none" w:sz="0" w:space="0" w:color="auto"/>
        <w:bottom w:val="none" w:sz="0" w:space="0" w:color="auto"/>
        <w:right w:val="none" w:sz="0" w:space="0" w:color="auto"/>
      </w:divBdr>
    </w:div>
    <w:div w:id="1431975448">
      <w:bodyDiv w:val="1"/>
      <w:marLeft w:val="0"/>
      <w:marRight w:val="0"/>
      <w:marTop w:val="0"/>
      <w:marBottom w:val="0"/>
      <w:divBdr>
        <w:top w:val="none" w:sz="0" w:space="0" w:color="auto"/>
        <w:left w:val="none" w:sz="0" w:space="0" w:color="auto"/>
        <w:bottom w:val="none" w:sz="0" w:space="0" w:color="auto"/>
        <w:right w:val="none" w:sz="0" w:space="0" w:color="auto"/>
      </w:divBdr>
    </w:div>
    <w:div w:id="1435512375">
      <w:bodyDiv w:val="1"/>
      <w:marLeft w:val="0"/>
      <w:marRight w:val="0"/>
      <w:marTop w:val="0"/>
      <w:marBottom w:val="0"/>
      <w:divBdr>
        <w:top w:val="none" w:sz="0" w:space="0" w:color="auto"/>
        <w:left w:val="none" w:sz="0" w:space="0" w:color="auto"/>
        <w:bottom w:val="none" w:sz="0" w:space="0" w:color="auto"/>
        <w:right w:val="none" w:sz="0" w:space="0" w:color="auto"/>
      </w:divBdr>
    </w:div>
    <w:div w:id="1435638333">
      <w:bodyDiv w:val="1"/>
      <w:marLeft w:val="0"/>
      <w:marRight w:val="0"/>
      <w:marTop w:val="0"/>
      <w:marBottom w:val="0"/>
      <w:divBdr>
        <w:top w:val="none" w:sz="0" w:space="0" w:color="auto"/>
        <w:left w:val="none" w:sz="0" w:space="0" w:color="auto"/>
        <w:bottom w:val="none" w:sz="0" w:space="0" w:color="auto"/>
        <w:right w:val="none" w:sz="0" w:space="0" w:color="auto"/>
      </w:divBdr>
    </w:div>
    <w:div w:id="1443651651">
      <w:bodyDiv w:val="1"/>
      <w:marLeft w:val="0"/>
      <w:marRight w:val="0"/>
      <w:marTop w:val="0"/>
      <w:marBottom w:val="0"/>
      <w:divBdr>
        <w:top w:val="none" w:sz="0" w:space="0" w:color="auto"/>
        <w:left w:val="none" w:sz="0" w:space="0" w:color="auto"/>
        <w:bottom w:val="none" w:sz="0" w:space="0" w:color="auto"/>
        <w:right w:val="none" w:sz="0" w:space="0" w:color="auto"/>
      </w:divBdr>
    </w:div>
    <w:div w:id="1451632416">
      <w:bodyDiv w:val="1"/>
      <w:marLeft w:val="0"/>
      <w:marRight w:val="0"/>
      <w:marTop w:val="0"/>
      <w:marBottom w:val="0"/>
      <w:divBdr>
        <w:top w:val="none" w:sz="0" w:space="0" w:color="auto"/>
        <w:left w:val="none" w:sz="0" w:space="0" w:color="auto"/>
        <w:bottom w:val="none" w:sz="0" w:space="0" w:color="auto"/>
        <w:right w:val="none" w:sz="0" w:space="0" w:color="auto"/>
      </w:divBdr>
    </w:div>
    <w:div w:id="1469854565">
      <w:bodyDiv w:val="1"/>
      <w:marLeft w:val="0"/>
      <w:marRight w:val="0"/>
      <w:marTop w:val="0"/>
      <w:marBottom w:val="0"/>
      <w:divBdr>
        <w:top w:val="none" w:sz="0" w:space="0" w:color="auto"/>
        <w:left w:val="none" w:sz="0" w:space="0" w:color="auto"/>
        <w:bottom w:val="none" w:sz="0" w:space="0" w:color="auto"/>
        <w:right w:val="none" w:sz="0" w:space="0" w:color="auto"/>
      </w:divBdr>
    </w:div>
    <w:div w:id="1472482980">
      <w:bodyDiv w:val="1"/>
      <w:marLeft w:val="0"/>
      <w:marRight w:val="0"/>
      <w:marTop w:val="0"/>
      <w:marBottom w:val="0"/>
      <w:divBdr>
        <w:top w:val="none" w:sz="0" w:space="0" w:color="auto"/>
        <w:left w:val="none" w:sz="0" w:space="0" w:color="auto"/>
        <w:bottom w:val="none" w:sz="0" w:space="0" w:color="auto"/>
        <w:right w:val="none" w:sz="0" w:space="0" w:color="auto"/>
      </w:divBdr>
    </w:div>
    <w:div w:id="1475683721">
      <w:bodyDiv w:val="1"/>
      <w:marLeft w:val="0"/>
      <w:marRight w:val="0"/>
      <w:marTop w:val="0"/>
      <w:marBottom w:val="0"/>
      <w:divBdr>
        <w:top w:val="none" w:sz="0" w:space="0" w:color="auto"/>
        <w:left w:val="none" w:sz="0" w:space="0" w:color="auto"/>
        <w:bottom w:val="none" w:sz="0" w:space="0" w:color="auto"/>
        <w:right w:val="none" w:sz="0" w:space="0" w:color="auto"/>
      </w:divBdr>
    </w:div>
    <w:div w:id="1493180245">
      <w:bodyDiv w:val="1"/>
      <w:marLeft w:val="0"/>
      <w:marRight w:val="0"/>
      <w:marTop w:val="0"/>
      <w:marBottom w:val="0"/>
      <w:divBdr>
        <w:top w:val="none" w:sz="0" w:space="0" w:color="auto"/>
        <w:left w:val="none" w:sz="0" w:space="0" w:color="auto"/>
        <w:bottom w:val="none" w:sz="0" w:space="0" w:color="auto"/>
        <w:right w:val="none" w:sz="0" w:space="0" w:color="auto"/>
      </w:divBdr>
    </w:div>
    <w:div w:id="1511024834">
      <w:bodyDiv w:val="1"/>
      <w:marLeft w:val="0"/>
      <w:marRight w:val="0"/>
      <w:marTop w:val="0"/>
      <w:marBottom w:val="0"/>
      <w:divBdr>
        <w:top w:val="none" w:sz="0" w:space="0" w:color="auto"/>
        <w:left w:val="none" w:sz="0" w:space="0" w:color="auto"/>
        <w:bottom w:val="none" w:sz="0" w:space="0" w:color="auto"/>
        <w:right w:val="none" w:sz="0" w:space="0" w:color="auto"/>
      </w:divBdr>
    </w:div>
    <w:div w:id="1514416737">
      <w:bodyDiv w:val="1"/>
      <w:marLeft w:val="0"/>
      <w:marRight w:val="0"/>
      <w:marTop w:val="0"/>
      <w:marBottom w:val="0"/>
      <w:divBdr>
        <w:top w:val="none" w:sz="0" w:space="0" w:color="auto"/>
        <w:left w:val="none" w:sz="0" w:space="0" w:color="auto"/>
        <w:bottom w:val="none" w:sz="0" w:space="0" w:color="auto"/>
        <w:right w:val="none" w:sz="0" w:space="0" w:color="auto"/>
      </w:divBdr>
    </w:div>
    <w:div w:id="1523667326">
      <w:bodyDiv w:val="1"/>
      <w:marLeft w:val="0"/>
      <w:marRight w:val="0"/>
      <w:marTop w:val="0"/>
      <w:marBottom w:val="0"/>
      <w:divBdr>
        <w:top w:val="none" w:sz="0" w:space="0" w:color="auto"/>
        <w:left w:val="none" w:sz="0" w:space="0" w:color="auto"/>
        <w:bottom w:val="none" w:sz="0" w:space="0" w:color="auto"/>
        <w:right w:val="none" w:sz="0" w:space="0" w:color="auto"/>
      </w:divBdr>
    </w:div>
    <w:div w:id="1524591158">
      <w:bodyDiv w:val="1"/>
      <w:marLeft w:val="0"/>
      <w:marRight w:val="0"/>
      <w:marTop w:val="0"/>
      <w:marBottom w:val="0"/>
      <w:divBdr>
        <w:top w:val="none" w:sz="0" w:space="0" w:color="auto"/>
        <w:left w:val="none" w:sz="0" w:space="0" w:color="auto"/>
        <w:bottom w:val="none" w:sz="0" w:space="0" w:color="auto"/>
        <w:right w:val="none" w:sz="0" w:space="0" w:color="auto"/>
      </w:divBdr>
    </w:div>
    <w:div w:id="1541866603">
      <w:bodyDiv w:val="1"/>
      <w:marLeft w:val="0"/>
      <w:marRight w:val="0"/>
      <w:marTop w:val="0"/>
      <w:marBottom w:val="0"/>
      <w:divBdr>
        <w:top w:val="none" w:sz="0" w:space="0" w:color="auto"/>
        <w:left w:val="none" w:sz="0" w:space="0" w:color="auto"/>
        <w:bottom w:val="none" w:sz="0" w:space="0" w:color="auto"/>
        <w:right w:val="none" w:sz="0" w:space="0" w:color="auto"/>
      </w:divBdr>
    </w:div>
    <w:div w:id="1556701717">
      <w:bodyDiv w:val="1"/>
      <w:marLeft w:val="0"/>
      <w:marRight w:val="0"/>
      <w:marTop w:val="0"/>
      <w:marBottom w:val="0"/>
      <w:divBdr>
        <w:top w:val="none" w:sz="0" w:space="0" w:color="auto"/>
        <w:left w:val="none" w:sz="0" w:space="0" w:color="auto"/>
        <w:bottom w:val="none" w:sz="0" w:space="0" w:color="auto"/>
        <w:right w:val="none" w:sz="0" w:space="0" w:color="auto"/>
      </w:divBdr>
    </w:div>
    <w:div w:id="1559051537">
      <w:bodyDiv w:val="1"/>
      <w:marLeft w:val="0"/>
      <w:marRight w:val="0"/>
      <w:marTop w:val="0"/>
      <w:marBottom w:val="0"/>
      <w:divBdr>
        <w:top w:val="none" w:sz="0" w:space="0" w:color="auto"/>
        <w:left w:val="none" w:sz="0" w:space="0" w:color="auto"/>
        <w:bottom w:val="none" w:sz="0" w:space="0" w:color="auto"/>
        <w:right w:val="none" w:sz="0" w:space="0" w:color="auto"/>
      </w:divBdr>
    </w:div>
    <w:div w:id="1563171350">
      <w:bodyDiv w:val="1"/>
      <w:marLeft w:val="0"/>
      <w:marRight w:val="0"/>
      <w:marTop w:val="0"/>
      <w:marBottom w:val="0"/>
      <w:divBdr>
        <w:top w:val="none" w:sz="0" w:space="0" w:color="auto"/>
        <w:left w:val="none" w:sz="0" w:space="0" w:color="auto"/>
        <w:bottom w:val="none" w:sz="0" w:space="0" w:color="auto"/>
        <w:right w:val="none" w:sz="0" w:space="0" w:color="auto"/>
      </w:divBdr>
    </w:div>
    <w:div w:id="1563910917">
      <w:bodyDiv w:val="1"/>
      <w:marLeft w:val="0"/>
      <w:marRight w:val="0"/>
      <w:marTop w:val="0"/>
      <w:marBottom w:val="0"/>
      <w:divBdr>
        <w:top w:val="none" w:sz="0" w:space="0" w:color="auto"/>
        <w:left w:val="none" w:sz="0" w:space="0" w:color="auto"/>
        <w:bottom w:val="none" w:sz="0" w:space="0" w:color="auto"/>
        <w:right w:val="none" w:sz="0" w:space="0" w:color="auto"/>
      </w:divBdr>
    </w:div>
    <w:div w:id="1572229109">
      <w:bodyDiv w:val="1"/>
      <w:marLeft w:val="0"/>
      <w:marRight w:val="0"/>
      <w:marTop w:val="0"/>
      <w:marBottom w:val="0"/>
      <w:divBdr>
        <w:top w:val="none" w:sz="0" w:space="0" w:color="auto"/>
        <w:left w:val="none" w:sz="0" w:space="0" w:color="auto"/>
        <w:bottom w:val="none" w:sz="0" w:space="0" w:color="auto"/>
        <w:right w:val="none" w:sz="0" w:space="0" w:color="auto"/>
      </w:divBdr>
    </w:div>
    <w:div w:id="1583416381">
      <w:bodyDiv w:val="1"/>
      <w:marLeft w:val="0"/>
      <w:marRight w:val="0"/>
      <w:marTop w:val="0"/>
      <w:marBottom w:val="0"/>
      <w:divBdr>
        <w:top w:val="none" w:sz="0" w:space="0" w:color="auto"/>
        <w:left w:val="none" w:sz="0" w:space="0" w:color="auto"/>
        <w:bottom w:val="none" w:sz="0" w:space="0" w:color="auto"/>
        <w:right w:val="none" w:sz="0" w:space="0" w:color="auto"/>
      </w:divBdr>
    </w:div>
    <w:div w:id="1595899444">
      <w:bodyDiv w:val="1"/>
      <w:marLeft w:val="0"/>
      <w:marRight w:val="0"/>
      <w:marTop w:val="0"/>
      <w:marBottom w:val="0"/>
      <w:divBdr>
        <w:top w:val="none" w:sz="0" w:space="0" w:color="auto"/>
        <w:left w:val="none" w:sz="0" w:space="0" w:color="auto"/>
        <w:bottom w:val="none" w:sz="0" w:space="0" w:color="auto"/>
        <w:right w:val="none" w:sz="0" w:space="0" w:color="auto"/>
      </w:divBdr>
    </w:div>
    <w:div w:id="1606574429">
      <w:bodyDiv w:val="1"/>
      <w:marLeft w:val="0"/>
      <w:marRight w:val="0"/>
      <w:marTop w:val="0"/>
      <w:marBottom w:val="0"/>
      <w:divBdr>
        <w:top w:val="none" w:sz="0" w:space="0" w:color="auto"/>
        <w:left w:val="none" w:sz="0" w:space="0" w:color="auto"/>
        <w:bottom w:val="none" w:sz="0" w:space="0" w:color="auto"/>
        <w:right w:val="none" w:sz="0" w:space="0" w:color="auto"/>
      </w:divBdr>
    </w:div>
    <w:div w:id="1607037418">
      <w:bodyDiv w:val="1"/>
      <w:marLeft w:val="0"/>
      <w:marRight w:val="0"/>
      <w:marTop w:val="0"/>
      <w:marBottom w:val="0"/>
      <w:divBdr>
        <w:top w:val="none" w:sz="0" w:space="0" w:color="auto"/>
        <w:left w:val="none" w:sz="0" w:space="0" w:color="auto"/>
        <w:bottom w:val="none" w:sz="0" w:space="0" w:color="auto"/>
        <w:right w:val="none" w:sz="0" w:space="0" w:color="auto"/>
      </w:divBdr>
    </w:div>
    <w:div w:id="1608460782">
      <w:bodyDiv w:val="1"/>
      <w:marLeft w:val="0"/>
      <w:marRight w:val="0"/>
      <w:marTop w:val="0"/>
      <w:marBottom w:val="0"/>
      <w:divBdr>
        <w:top w:val="none" w:sz="0" w:space="0" w:color="auto"/>
        <w:left w:val="none" w:sz="0" w:space="0" w:color="auto"/>
        <w:bottom w:val="none" w:sz="0" w:space="0" w:color="auto"/>
        <w:right w:val="none" w:sz="0" w:space="0" w:color="auto"/>
      </w:divBdr>
    </w:div>
    <w:div w:id="1613634448">
      <w:bodyDiv w:val="1"/>
      <w:marLeft w:val="0"/>
      <w:marRight w:val="0"/>
      <w:marTop w:val="0"/>
      <w:marBottom w:val="0"/>
      <w:divBdr>
        <w:top w:val="none" w:sz="0" w:space="0" w:color="auto"/>
        <w:left w:val="none" w:sz="0" w:space="0" w:color="auto"/>
        <w:bottom w:val="none" w:sz="0" w:space="0" w:color="auto"/>
        <w:right w:val="none" w:sz="0" w:space="0" w:color="auto"/>
      </w:divBdr>
    </w:div>
    <w:div w:id="1616789434">
      <w:bodyDiv w:val="1"/>
      <w:marLeft w:val="0"/>
      <w:marRight w:val="0"/>
      <w:marTop w:val="0"/>
      <w:marBottom w:val="0"/>
      <w:divBdr>
        <w:top w:val="none" w:sz="0" w:space="0" w:color="auto"/>
        <w:left w:val="none" w:sz="0" w:space="0" w:color="auto"/>
        <w:bottom w:val="none" w:sz="0" w:space="0" w:color="auto"/>
        <w:right w:val="none" w:sz="0" w:space="0" w:color="auto"/>
      </w:divBdr>
    </w:div>
    <w:div w:id="1631549612">
      <w:bodyDiv w:val="1"/>
      <w:marLeft w:val="0"/>
      <w:marRight w:val="0"/>
      <w:marTop w:val="0"/>
      <w:marBottom w:val="0"/>
      <w:divBdr>
        <w:top w:val="none" w:sz="0" w:space="0" w:color="auto"/>
        <w:left w:val="none" w:sz="0" w:space="0" w:color="auto"/>
        <w:bottom w:val="none" w:sz="0" w:space="0" w:color="auto"/>
        <w:right w:val="none" w:sz="0" w:space="0" w:color="auto"/>
      </w:divBdr>
    </w:div>
    <w:div w:id="1645894598">
      <w:bodyDiv w:val="1"/>
      <w:marLeft w:val="0"/>
      <w:marRight w:val="0"/>
      <w:marTop w:val="0"/>
      <w:marBottom w:val="0"/>
      <w:divBdr>
        <w:top w:val="none" w:sz="0" w:space="0" w:color="auto"/>
        <w:left w:val="none" w:sz="0" w:space="0" w:color="auto"/>
        <w:bottom w:val="none" w:sz="0" w:space="0" w:color="auto"/>
        <w:right w:val="none" w:sz="0" w:space="0" w:color="auto"/>
      </w:divBdr>
    </w:div>
    <w:div w:id="1649283075">
      <w:bodyDiv w:val="1"/>
      <w:marLeft w:val="0"/>
      <w:marRight w:val="0"/>
      <w:marTop w:val="0"/>
      <w:marBottom w:val="0"/>
      <w:divBdr>
        <w:top w:val="none" w:sz="0" w:space="0" w:color="auto"/>
        <w:left w:val="none" w:sz="0" w:space="0" w:color="auto"/>
        <w:bottom w:val="none" w:sz="0" w:space="0" w:color="auto"/>
        <w:right w:val="none" w:sz="0" w:space="0" w:color="auto"/>
      </w:divBdr>
    </w:div>
    <w:div w:id="1650136527">
      <w:bodyDiv w:val="1"/>
      <w:marLeft w:val="0"/>
      <w:marRight w:val="0"/>
      <w:marTop w:val="0"/>
      <w:marBottom w:val="0"/>
      <w:divBdr>
        <w:top w:val="none" w:sz="0" w:space="0" w:color="auto"/>
        <w:left w:val="none" w:sz="0" w:space="0" w:color="auto"/>
        <w:bottom w:val="none" w:sz="0" w:space="0" w:color="auto"/>
        <w:right w:val="none" w:sz="0" w:space="0" w:color="auto"/>
      </w:divBdr>
    </w:div>
    <w:div w:id="1658336824">
      <w:bodyDiv w:val="1"/>
      <w:marLeft w:val="0"/>
      <w:marRight w:val="0"/>
      <w:marTop w:val="0"/>
      <w:marBottom w:val="0"/>
      <w:divBdr>
        <w:top w:val="none" w:sz="0" w:space="0" w:color="auto"/>
        <w:left w:val="none" w:sz="0" w:space="0" w:color="auto"/>
        <w:bottom w:val="none" w:sz="0" w:space="0" w:color="auto"/>
        <w:right w:val="none" w:sz="0" w:space="0" w:color="auto"/>
      </w:divBdr>
    </w:div>
    <w:div w:id="1666669825">
      <w:bodyDiv w:val="1"/>
      <w:marLeft w:val="0"/>
      <w:marRight w:val="0"/>
      <w:marTop w:val="0"/>
      <w:marBottom w:val="0"/>
      <w:divBdr>
        <w:top w:val="none" w:sz="0" w:space="0" w:color="auto"/>
        <w:left w:val="none" w:sz="0" w:space="0" w:color="auto"/>
        <w:bottom w:val="none" w:sz="0" w:space="0" w:color="auto"/>
        <w:right w:val="none" w:sz="0" w:space="0" w:color="auto"/>
      </w:divBdr>
    </w:div>
    <w:div w:id="1671641101">
      <w:bodyDiv w:val="1"/>
      <w:marLeft w:val="0"/>
      <w:marRight w:val="0"/>
      <w:marTop w:val="0"/>
      <w:marBottom w:val="0"/>
      <w:divBdr>
        <w:top w:val="none" w:sz="0" w:space="0" w:color="auto"/>
        <w:left w:val="none" w:sz="0" w:space="0" w:color="auto"/>
        <w:bottom w:val="none" w:sz="0" w:space="0" w:color="auto"/>
        <w:right w:val="none" w:sz="0" w:space="0" w:color="auto"/>
      </w:divBdr>
    </w:div>
    <w:div w:id="1685204815">
      <w:bodyDiv w:val="1"/>
      <w:marLeft w:val="0"/>
      <w:marRight w:val="0"/>
      <w:marTop w:val="0"/>
      <w:marBottom w:val="0"/>
      <w:divBdr>
        <w:top w:val="none" w:sz="0" w:space="0" w:color="auto"/>
        <w:left w:val="none" w:sz="0" w:space="0" w:color="auto"/>
        <w:bottom w:val="none" w:sz="0" w:space="0" w:color="auto"/>
        <w:right w:val="none" w:sz="0" w:space="0" w:color="auto"/>
      </w:divBdr>
    </w:div>
    <w:div w:id="1686207463">
      <w:bodyDiv w:val="1"/>
      <w:marLeft w:val="0"/>
      <w:marRight w:val="0"/>
      <w:marTop w:val="0"/>
      <w:marBottom w:val="0"/>
      <w:divBdr>
        <w:top w:val="none" w:sz="0" w:space="0" w:color="auto"/>
        <w:left w:val="none" w:sz="0" w:space="0" w:color="auto"/>
        <w:bottom w:val="none" w:sz="0" w:space="0" w:color="auto"/>
        <w:right w:val="none" w:sz="0" w:space="0" w:color="auto"/>
      </w:divBdr>
    </w:div>
    <w:div w:id="1688408360">
      <w:bodyDiv w:val="1"/>
      <w:marLeft w:val="0"/>
      <w:marRight w:val="0"/>
      <w:marTop w:val="0"/>
      <w:marBottom w:val="0"/>
      <w:divBdr>
        <w:top w:val="none" w:sz="0" w:space="0" w:color="auto"/>
        <w:left w:val="none" w:sz="0" w:space="0" w:color="auto"/>
        <w:bottom w:val="none" w:sz="0" w:space="0" w:color="auto"/>
        <w:right w:val="none" w:sz="0" w:space="0" w:color="auto"/>
      </w:divBdr>
    </w:div>
    <w:div w:id="1696493985">
      <w:bodyDiv w:val="1"/>
      <w:marLeft w:val="0"/>
      <w:marRight w:val="0"/>
      <w:marTop w:val="0"/>
      <w:marBottom w:val="0"/>
      <w:divBdr>
        <w:top w:val="none" w:sz="0" w:space="0" w:color="auto"/>
        <w:left w:val="none" w:sz="0" w:space="0" w:color="auto"/>
        <w:bottom w:val="none" w:sz="0" w:space="0" w:color="auto"/>
        <w:right w:val="none" w:sz="0" w:space="0" w:color="auto"/>
      </w:divBdr>
    </w:div>
    <w:div w:id="1719740596">
      <w:bodyDiv w:val="1"/>
      <w:marLeft w:val="0"/>
      <w:marRight w:val="0"/>
      <w:marTop w:val="0"/>
      <w:marBottom w:val="0"/>
      <w:divBdr>
        <w:top w:val="none" w:sz="0" w:space="0" w:color="auto"/>
        <w:left w:val="none" w:sz="0" w:space="0" w:color="auto"/>
        <w:bottom w:val="none" w:sz="0" w:space="0" w:color="auto"/>
        <w:right w:val="none" w:sz="0" w:space="0" w:color="auto"/>
      </w:divBdr>
    </w:div>
    <w:div w:id="1742174803">
      <w:bodyDiv w:val="1"/>
      <w:marLeft w:val="0"/>
      <w:marRight w:val="0"/>
      <w:marTop w:val="0"/>
      <w:marBottom w:val="0"/>
      <w:divBdr>
        <w:top w:val="none" w:sz="0" w:space="0" w:color="auto"/>
        <w:left w:val="none" w:sz="0" w:space="0" w:color="auto"/>
        <w:bottom w:val="none" w:sz="0" w:space="0" w:color="auto"/>
        <w:right w:val="none" w:sz="0" w:space="0" w:color="auto"/>
      </w:divBdr>
    </w:div>
    <w:div w:id="1746881360">
      <w:bodyDiv w:val="1"/>
      <w:marLeft w:val="0"/>
      <w:marRight w:val="0"/>
      <w:marTop w:val="0"/>
      <w:marBottom w:val="0"/>
      <w:divBdr>
        <w:top w:val="none" w:sz="0" w:space="0" w:color="auto"/>
        <w:left w:val="none" w:sz="0" w:space="0" w:color="auto"/>
        <w:bottom w:val="none" w:sz="0" w:space="0" w:color="auto"/>
        <w:right w:val="none" w:sz="0" w:space="0" w:color="auto"/>
      </w:divBdr>
    </w:div>
    <w:div w:id="1747143508">
      <w:bodyDiv w:val="1"/>
      <w:marLeft w:val="0"/>
      <w:marRight w:val="0"/>
      <w:marTop w:val="0"/>
      <w:marBottom w:val="0"/>
      <w:divBdr>
        <w:top w:val="none" w:sz="0" w:space="0" w:color="auto"/>
        <w:left w:val="none" w:sz="0" w:space="0" w:color="auto"/>
        <w:bottom w:val="none" w:sz="0" w:space="0" w:color="auto"/>
        <w:right w:val="none" w:sz="0" w:space="0" w:color="auto"/>
      </w:divBdr>
    </w:div>
    <w:div w:id="1757824016">
      <w:bodyDiv w:val="1"/>
      <w:marLeft w:val="0"/>
      <w:marRight w:val="0"/>
      <w:marTop w:val="0"/>
      <w:marBottom w:val="0"/>
      <w:divBdr>
        <w:top w:val="none" w:sz="0" w:space="0" w:color="auto"/>
        <w:left w:val="none" w:sz="0" w:space="0" w:color="auto"/>
        <w:bottom w:val="none" w:sz="0" w:space="0" w:color="auto"/>
        <w:right w:val="none" w:sz="0" w:space="0" w:color="auto"/>
      </w:divBdr>
    </w:div>
    <w:div w:id="1776903884">
      <w:bodyDiv w:val="1"/>
      <w:marLeft w:val="0"/>
      <w:marRight w:val="0"/>
      <w:marTop w:val="0"/>
      <w:marBottom w:val="0"/>
      <w:divBdr>
        <w:top w:val="none" w:sz="0" w:space="0" w:color="auto"/>
        <w:left w:val="none" w:sz="0" w:space="0" w:color="auto"/>
        <w:bottom w:val="none" w:sz="0" w:space="0" w:color="auto"/>
        <w:right w:val="none" w:sz="0" w:space="0" w:color="auto"/>
      </w:divBdr>
    </w:div>
    <w:div w:id="1786271039">
      <w:bodyDiv w:val="1"/>
      <w:marLeft w:val="0"/>
      <w:marRight w:val="0"/>
      <w:marTop w:val="0"/>
      <w:marBottom w:val="0"/>
      <w:divBdr>
        <w:top w:val="none" w:sz="0" w:space="0" w:color="auto"/>
        <w:left w:val="none" w:sz="0" w:space="0" w:color="auto"/>
        <w:bottom w:val="none" w:sz="0" w:space="0" w:color="auto"/>
        <w:right w:val="none" w:sz="0" w:space="0" w:color="auto"/>
      </w:divBdr>
    </w:div>
    <w:div w:id="1787194340">
      <w:bodyDiv w:val="1"/>
      <w:marLeft w:val="0"/>
      <w:marRight w:val="0"/>
      <w:marTop w:val="0"/>
      <w:marBottom w:val="0"/>
      <w:divBdr>
        <w:top w:val="none" w:sz="0" w:space="0" w:color="auto"/>
        <w:left w:val="none" w:sz="0" w:space="0" w:color="auto"/>
        <w:bottom w:val="none" w:sz="0" w:space="0" w:color="auto"/>
        <w:right w:val="none" w:sz="0" w:space="0" w:color="auto"/>
      </w:divBdr>
    </w:div>
    <w:div w:id="1794208452">
      <w:bodyDiv w:val="1"/>
      <w:marLeft w:val="0"/>
      <w:marRight w:val="0"/>
      <w:marTop w:val="0"/>
      <w:marBottom w:val="0"/>
      <w:divBdr>
        <w:top w:val="none" w:sz="0" w:space="0" w:color="auto"/>
        <w:left w:val="none" w:sz="0" w:space="0" w:color="auto"/>
        <w:bottom w:val="none" w:sz="0" w:space="0" w:color="auto"/>
        <w:right w:val="none" w:sz="0" w:space="0" w:color="auto"/>
      </w:divBdr>
    </w:div>
    <w:div w:id="1812626019">
      <w:bodyDiv w:val="1"/>
      <w:marLeft w:val="0"/>
      <w:marRight w:val="0"/>
      <w:marTop w:val="0"/>
      <w:marBottom w:val="0"/>
      <w:divBdr>
        <w:top w:val="none" w:sz="0" w:space="0" w:color="auto"/>
        <w:left w:val="none" w:sz="0" w:space="0" w:color="auto"/>
        <w:bottom w:val="none" w:sz="0" w:space="0" w:color="auto"/>
        <w:right w:val="none" w:sz="0" w:space="0" w:color="auto"/>
      </w:divBdr>
    </w:div>
    <w:div w:id="1827436710">
      <w:bodyDiv w:val="1"/>
      <w:marLeft w:val="0"/>
      <w:marRight w:val="0"/>
      <w:marTop w:val="0"/>
      <w:marBottom w:val="0"/>
      <w:divBdr>
        <w:top w:val="none" w:sz="0" w:space="0" w:color="auto"/>
        <w:left w:val="none" w:sz="0" w:space="0" w:color="auto"/>
        <w:bottom w:val="none" w:sz="0" w:space="0" w:color="auto"/>
        <w:right w:val="none" w:sz="0" w:space="0" w:color="auto"/>
      </w:divBdr>
    </w:div>
    <w:div w:id="1848669661">
      <w:bodyDiv w:val="1"/>
      <w:marLeft w:val="0"/>
      <w:marRight w:val="0"/>
      <w:marTop w:val="0"/>
      <w:marBottom w:val="0"/>
      <w:divBdr>
        <w:top w:val="none" w:sz="0" w:space="0" w:color="auto"/>
        <w:left w:val="none" w:sz="0" w:space="0" w:color="auto"/>
        <w:bottom w:val="none" w:sz="0" w:space="0" w:color="auto"/>
        <w:right w:val="none" w:sz="0" w:space="0" w:color="auto"/>
      </w:divBdr>
    </w:div>
    <w:div w:id="1855655532">
      <w:bodyDiv w:val="1"/>
      <w:marLeft w:val="0"/>
      <w:marRight w:val="0"/>
      <w:marTop w:val="0"/>
      <w:marBottom w:val="0"/>
      <w:divBdr>
        <w:top w:val="none" w:sz="0" w:space="0" w:color="auto"/>
        <w:left w:val="none" w:sz="0" w:space="0" w:color="auto"/>
        <w:bottom w:val="none" w:sz="0" w:space="0" w:color="auto"/>
        <w:right w:val="none" w:sz="0" w:space="0" w:color="auto"/>
      </w:divBdr>
    </w:div>
    <w:div w:id="1863861898">
      <w:bodyDiv w:val="1"/>
      <w:marLeft w:val="0"/>
      <w:marRight w:val="0"/>
      <w:marTop w:val="0"/>
      <w:marBottom w:val="0"/>
      <w:divBdr>
        <w:top w:val="none" w:sz="0" w:space="0" w:color="auto"/>
        <w:left w:val="none" w:sz="0" w:space="0" w:color="auto"/>
        <w:bottom w:val="none" w:sz="0" w:space="0" w:color="auto"/>
        <w:right w:val="none" w:sz="0" w:space="0" w:color="auto"/>
      </w:divBdr>
    </w:div>
    <w:div w:id="1881085430">
      <w:bodyDiv w:val="1"/>
      <w:marLeft w:val="0"/>
      <w:marRight w:val="0"/>
      <w:marTop w:val="0"/>
      <w:marBottom w:val="0"/>
      <w:divBdr>
        <w:top w:val="none" w:sz="0" w:space="0" w:color="auto"/>
        <w:left w:val="none" w:sz="0" w:space="0" w:color="auto"/>
        <w:bottom w:val="none" w:sz="0" w:space="0" w:color="auto"/>
        <w:right w:val="none" w:sz="0" w:space="0" w:color="auto"/>
      </w:divBdr>
    </w:div>
    <w:div w:id="1886915600">
      <w:bodyDiv w:val="1"/>
      <w:marLeft w:val="0"/>
      <w:marRight w:val="0"/>
      <w:marTop w:val="0"/>
      <w:marBottom w:val="0"/>
      <w:divBdr>
        <w:top w:val="none" w:sz="0" w:space="0" w:color="auto"/>
        <w:left w:val="none" w:sz="0" w:space="0" w:color="auto"/>
        <w:bottom w:val="none" w:sz="0" w:space="0" w:color="auto"/>
        <w:right w:val="none" w:sz="0" w:space="0" w:color="auto"/>
      </w:divBdr>
    </w:div>
    <w:div w:id="1886986663">
      <w:bodyDiv w:val="1"/>
      <w:marLeft w:val="0"/>
      <w:marRight w:val="0"/>
      <w:marTop w:val="0"/>
      <w:marBottom w:val="0"/>
      <w:divBdr>
        <w:top w:val="none" w:sz="0" w:space="0" w:color="auto"/>
        <w:left w:val="none" w:sz="0" w:space="0" w:color="auto"/>
        <w:bottom w:val="none" w:sz="0" w:space="0" w:color="auto"/>
        <w:right w:val="none" w:sz="0" w:space="0" w:color="auto"/>
      </w:divBdr>
    </w:div>
    <w:div w:id="1894778288">
      <w:bodyDiv w:val="1"/>
      <w:marLeft w:val="0"/>
      <w:marRight w:val="0"/>
      <w:marTop w:val="0"/>
      <w:marBottom w:val="0"/>
      <w:divBdr>
        <w:top w:val="none" w:sz="0" w:space="0" w:color="auto"/>
        <w:left w:val="none" w:sz="0" w:space="0" w:color="auto"/>
        <w:bottom w:val="none" w:sz="0" w:space="0" w:color="auto"/>
        <w:right w:val="none" w:sz="0" w:space="0" w:color="auto"/>
      </w:divBdr>
    </w:div>
    <w:div w:id="1911379948">
      <w:bodyDiv w:val="1"/>
      <w:marLeft w:val="0"/>
      <w:marRight w:val="0"/>
      <w:marTop w:val="0"/>
      <w:marBottom w:val="0"/>
      <w:divBdr>
        <w:top w:val="none" w:sz="0" w:space="0" w:color="auto"/>
        <w:left w:val="none" w:sz="0" w:space="0" w:color="auto"/>
        <w:bottom w:val="none" w:sz="0" w:space="0" w:color="auto"/>
        <w:right w:val="none" w:sz="0" w:space="0" w:color="auto"/>
      </w:divBdr>
    </w:div>
    <w:div w:id="1915119138">
      <w:bodyDiv w:val="1"/>
      <w:marLeft w:val="0"/>
      <w:marRight w:val="0"/>
      <w:marTop w:val="0"/>
      <w:marBottom w:val="0"/>
      <w:divBdr>
        <w:top w:val="none" w:sz="0" w:space="0" w:color="auto"/>
        <w:left w:val="none" w:sz="0" w:space="0" w:color="auto"/>
        <w:bottom w:val="none" w:sz="0" w:space="0" w:color="auto"/>
        <w:right w:val="none" w:sz="0" w:space="0" w:color="auto"/>
      </w:divBdr>
    </w:div>
    <w:div w:id="1915968626">
      <w:bodyDiv w:val="1"/>
      <w:marLeft w:val="0"/>
      <w:marRight w:val="0"/>
      <w:marTop w:val="0"/>
      <w:marBottom w:val="0"/>
      <w:divBdr>
        <w:top w:val="none" w:sz="0" w:space="0" w:color="auto"/>
        <w:left w:val="none" w:sz="0" w:space="0" w:color="auto"/>
        <w:bottom w:val="none" w:sz="0" w:space="0" w:color="auto"/>
        <w:right w:val="none" w:sz="0" w:space="0" w:color="auto"/>
      </w:divBdr>
    </w:div>
    <w:div w:id="1936353772">
      <w:bodyDiv w:val="1"/>
      <w:marLeft w:val="0"/>
      <w:marRight w:val="0"/>
      <w:marTop w:val="0"/>
      <w:marBottom w:val="0"/>
      <w:divBdr>
        <w:top w:val="none" w:sz="0" w:space="0" w:color="auto"/>
        <w:left w:val="none" w:sz="0" w:space="0" w:color="auto"/>
        <w:bottom w:val="none" w:sz="0" w:space="0" w:color="auto"/>
        <w:right w:val="none" w:sz="0" w:space="0" w:color="auto"/>
      </w:divBdr>
    </w:div>
    <w:div w:id="1937669528">
      <w:bodyDiv w:val="1"/>
      <w:marLeft w:val="0"/>
      <w:marRight w:val="0"/>
      <w:marTop w:val="0"/>
      <w:marBottom w:val="0"/>
      <w:divBdr>
        <w:top w:val="none" w:sz="0" w:space="0" w:color="auto"/>
        <w:left w:val="none" w:sz="0" w:space="0" w:color="auto"/>
        <w:bottom w:val="none" w:sz="0" w:space="0" w:color="auto"/>
        <w:right w:val="none" w:sz="0" w:space="0" w:color="auto"/>
      </w:divBdr>
    </w:div>
    <w:div w:id="1960337779">
      <w:bodyDiv w:val="1"/>
      <w:marLeft w:val="0"/>
      <w:marRight w:val="0"/>
      <w:marTop w:val="0"/>
      <w:marBottom w:val="0"/>
      <w:divBdr>
        <w:top w:val="none" w:sz="0" w:space="0" w:color="auto"/>
        <w:left w:val="none" w:sz="0" w:space="0" w:color="auto"/>
        <w:bottom w:val="none" w:sz="0" w:space="0" w:color="auto"/>
        <w:right w:val="none" w:sz="0" w:space="0" w:color="auto"/>
      </w:divBdr>
    </w:div>
    <w:div w:id="1968193978">
      <w:bodyDiv w:val="1"/>
      <w:marLeft w:val="0"/>
      <w:marRight w:val="0"/>
      <w:marTop w:val="0"/>
      <w:marBottom w:val="0"/>
      <w:divBdr>
        <w:top w:val="none" w:sz="0" w:space="0" w:color="auto"/>
        <w:left w:val="none" w:sz="0" w:space="0" w:color="auto"/>
        <w:bottom w:val="none" w:sz="0" w:space="0" w:color="auto"/>
        <w:right w:val="none" w:sz="0" w:space="0" w:color="auto"/>
      </w:divBdr>
    </w:div>
    <w:div w:id="1974604037">
      <w:bodyDiv w:val="1"/>
      <w:marLeft w:val="0"/>
      <w:marRight w:val="0"/>
      <w:marTop w:val="0"/>
      <w:marBottom w:val="0"/>
      <w:divBdr>
        <w:top w:val="none" w:sz="0" w:space="0" w:color="auto"/>
        <w:left w:val="none" w:sz="0" w:space="0" w:color="auto"/>
        <w:bottom w:val="none" w:sz="0" w:space="0" w:color="auto"/>
        <w:right w:val="none" w:sz="0" w:space="0" w:color="auto"/>
      </w:divBdr>
    </w:div>
    <w:div w:id="1995646243">
      <w:bodyDiv w:val="1"/>
      <w:marLeft w:val="0"/>
      <w:marRight w:val="0"/>
      <w:marTop w:val="0"/>
      <w:marBottom w:val="0"/>
      <w:divBdr>
        <w:top w:val="none" w:sz="0" w:space="0" w:color="auto"/>
        <w:left w:val="none" w:sz="0" w:space="0" w:color="auto"/>
        <w:bottom w:val="none" w:sz="0" w:space="0" w:color="auto"/>
        <w:right w:val="none" w:sz="0" w:space="0" w:color="auto"/>
      </w:divBdr>
    </w:div>
    <w:div w:id="2006787049">
      <w:bodyDiv w:val="1"/>
      <w:marLeft w:val="390"/>
      <w:marRight w:val="390"/>
      <w:marTop w:val="0"/>
      <w:marBottom w:val="0"/>
      <w:divBdr>
        <w:top w:val="none" w:sz="0" w:space="0" w:color="auto"/>
        <w:left w:val="none" w:sz="0" w:space="0" w:color="auto"/>
        <w:bottom w:val="none" w:sz="0" w:space="0" w:color="auto"/>
        <w:right w:val="none" w:sz="0" w:space="0" w:color="auto"/>
      </w:divBdr>
      <w:divsChild>
        <w:div w:id="348876000">
          <w:marLeft w:val="0"/>
          <w:marRight w:val="0"/>
          <w:marTop w:val="0"/>
          <w:marBottom w:val="0"/>
          <w:divBdr>
            <w:top w:val="none" w:sz="0" w:space="0" w:color="auto"/>
            <w:left w:val="none" w:sz="0" w:space="0" w:color="auto"/>
            <w:bottom w:val="none" w:sz="0" w:space="0" w:color="auto"/>
            <w:right w:val="none" w:sz="0" w:space="0" w:color="auto"/>
          </w:divBdr>
          <w:divsChild>
            <w:div w:id="1052654743">
              <w:marLeft w:val="0"/>
              <w:marRight w:val="0"/>
              <w:marTop w:val="0"/>
              <w:marBottom w:val="0"/>
              <w:divBdr>
                <w:top w:val="none" w:sz="0" w:space="0" w:color="auto"/>
                <w:left w:val="none" w:sz="0" w:space="0" w:color="auto"/>
                <w:bottom w:val="none" w:sz="0" w:space="0" w:color="auto"/>
                <w:right w:val="none" w:sz="0" w:space="0" w:color="auto"/>
              </w:divBdr>
              <w:divsChild>
                <w:div w:id="507907478">
                  <w:marLeft w:val="-225"/>
                  <w:marRight w:val="-225"/>
                  <w:marTop w:val="0"/>
                  <w:marBottom w:val="0"/>
                  <w:divBdr>
                    <w:top w:val="none" w:sz="0" w:space="0" w:color="auto"/>
                    <w:left w:val="none" w:sz="0" w:space="0" w:color="auto"/>
                    <w:bottom w:val="none" w:sz="0" w:space="0" w:color="auto"/>
                    <w:right w:val="none" w:sz="0" w:space="0" w:color="auto"/>
                  </w:divBdr>
                  <w:divsChild>
                    <w:div w:id="1081178568">
                      <w:marLeft w:val="0"/>
                      <w:marRight w:val="0"/>
                      <w:marTop w:val="0"/>
                      <w:marBottom w:val="0"/>
                      <w:divBdr>
                        <w:top w:val="none" w:sz="0" w:space="0" w:color="auto"/>
                        <w:left w:val="none" w:sz="0" w:space="0" w:color="auto"/>
                        <w:bottom w:val="none" w:sz="0" w:space="0" w:color="auto"/>
                        <w:right w:val="none" w:sz="0" w:space="0" w:color="auto"/>
                      </w:divBdr>
                      <w:divsChild>
                        <w:div w:id="56975051">
                          <w:marLeft w:val="0"/>
                          <w:marRight w:val="0"/>
                          <w:marTop w:val="0"/>
                          <w:marBottom w:val="0"/>
                          <w:divBdr>
                            <w:top w:val="none" w:sz="0" w:space="0" w:color="auto"/>
                            <w:left w:val="none" w:sz="0" w:space="0" w:color="auto"/>
                            <w:bottom w:val="none" w:sz="0" w:space="0" w:color="auto"/>
                            <w:right w:val="none" w:sz="0" w:space="0" w:color="auto"/>
                          </w:divBdr>
                          <w:divsChild>
                            <w:div w:id="531964390">
                              <w:marLeft w:val="0"/>
                              <w:marRight w:val="0"/>
                              <w:marTop w:val="0"/>
                              <w:marBottom w:val="240"/>
                              <w:divBdr>
                                <w:top w:val="none" w:sz="0" w:space="0" w:color="auto"/>
                                <w:left w:val="none" w:sz="0" w:space="0" w:color="auto"/>
                                <w:bottom w:val="none" w:sz="0" w:space="0" w:color="auto"/>
                                <w:right w:val="none" w:sz="0" w:space="0" w:color="auto"/>
                              </w:divBdr>
                            </w:div>
                            <w:div w:id="381902616">
                              <w:marLeft w:val="0"/>
                              <w:marRight w:val="0"/>
                              <w:marTop w:val="0"/>
                              <w:marBottom w:val="240"/>
                              <w:divBdr>
                                <w:top w:val="none" w:sz="0" w:space="0" w:color="auto"/>
                                <w:left w:val="none" w:sz="0" w:space="0" w:color="auto"/>
                                <w:bottom w:val="none" w:sz="0" w:space="0" w:color="auto"/>
                                <w:right w:val="none" w:sz="0" w:space="0" w:color="auto"/>
                              </w:divBdr>
                            </w:div>
                            <w:div w:id="835460982">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2490418">
      <w:bodyDiv w:val="1"/>
      <w:marLeft w:val="0"/>
      <w:marRight w:val="0"/>
      <w:marTop w:val="0"/>
      <w:marBottom w:val="0"/>
      <w:divBdr>
        <w:top w:val="none" w:sz="0" w:space="0" w:color="auto"/>
        <w:left w:val="none" w:sz="0" w:space="0" w:color="auto"/>
        <w:bottom w:val="none" w:sz="0" w:space="0" w:color="auto"/>
        <w:right w:val="none" w:sz="0" w:space="0" w:color="auto"/>
      </w:divBdr>
    </w:div>
    <w:div w:id="2014406425">
      <w:bodyDiv w:val="1"/>
      <w:marLeft w:val="0"/>
      <w:marRight w:val="0"/>
      <w:marTop w:val="0"/>
      <w:marBottom w:val="0"/>
      <w:divBdr>
        <w:top w:val="none" w:sz="0" w:space="0" w:color="auto"/>
        <w:left w:val="none" w:sz="0" w:space="0" w:color="auto"/>
        <w:bottom w:val="none" w:sz="0" w:space="0" w:color="auto"/>
        <w:right w:val="none" w:sz="0" w:space="0" w:color="auto"/>
      </w:divBdr>
    </w:div>
    <w:div w:id="2018344132">
      <w:bodyDiv w:val="1"/>
      <w:marLeft w:val="0"/>
      <w:marRight w:val="0"/>
      <w:marTop w:val="0"/>
      <w:marBottom w:val="0"/>
      <w:divBdr>
        <w:top w:val="none" w:sz="0" w:space="0" w:color="auto"/>
        <w:left w:val="none" w:sz="0" w:space="0" w:color="auto"/>
        <w:bottom w:val="none" w:sz="0" w:space="0" w:color="auto"/>
        <w:right w:val="none" w:sz="0" w:space="0" w:color="auto"/>
      </w:divBdr>
    </w:div>
    <w:div w:id="2026786271">
      <w:bodyDiv w:val="1"/>
      <w:marLeft w:val="0"/>
      <w:marRight w:val="0"/>
      <w:marTop w:val="0"/>
      <w:marBottom w:val="0"/>
      <w:divBdr>
        <w:top w:val="none" w:sz="0" w:space="0" w:color="auto"/>
        <w:left w:val="none" w:sz="0" w:space="0" w:color="auto"/>
        <w:bottom w:val="none" w:sz="0" w:space="0" w:color="auto"/>
        <w:right w:val="none" w:sz="0" w:space="0" w:color="auto"/>
      </w:divBdr>
    </w:div>
    <w:div w:id="2032948368">
      <w:bodyDiv w:val="1"/>
      <w:marLeft w:val="0"/>
      <w:marRight w:val="0"/>
      <w:marTop w:val="0"/>
      <w:marBottom w:val="0"/>
      <w:divBdr>
        <w:top w:val="none" w:sz="0" w:space="0" w:color="auto"/>
        <w:left w:val="none" w:sz="0" w:space="0" w:color="auto"/>
        <w:bottom w:val="none" w:sz="0" w:space="0" w:color="auto"/>
        <w:right w:val="none" w:sz="0" w:space="0" w:color="auto"/>
      </w:divBdr>
    </w:div>
    <w:div w:id="2036149043">
      <w:bodyDiv w:val="1"/>
      <w:marLeft w:val="0"/>
      <w:marRight w:val="0"/>
      <w:marTop w:val="0"/>
      <w:marBottom w:val="0"/>
      <w:divBdr>
        <w:top w:val="none" w:sz="0" w:space="0" w:color="auto"/>
        <w:left w:val="none" w:sz="0" w:space="0" w:color="auto"/>
        <w:bottom w:val="none" w:sz="0" w:space="0" w:color="auto"/>
        <w:right w:val="none" w:sz="0" w:space="0" w:color="auto"/>
      </w:divBdr>
    </w:div>
    <w:div w:id="2040741439">
      <w:bodyDiv w:val="1"/>
      <w:marLeft w:val="0"/>
      <w:marRight w:val="0"/>
      <w:marTop w:val="0"/>
      <w:marBottom w:val="0"/>
      <w:divBdr>
        <w:top w:val="none" w:sz="0" w:space="0" w:color="auto"/>
        <w:left w:val="none" w:sz="0" w:space="0" w:color="auto"/>
        <w:bottom w:val="none" w:sz="0" w:space="0" w:color="auto"/>
        <w:right w:val="none" w:sz="0" w:space="0" w:color="auto"/>
      </w:divBdr>
    </w:div>
    <w:div w:id="2048212818">
      <w:bodyDiv w:val="1"/>
      <w:marLeft w:val="0"/>
      <w:marRight w:val="0"/>
      <w:marTop w:val="0"/>
      <w:marBottom w:val="0"/>
      <w:divBdr>
        <w:top w:val="none" w:sz="0" w:space="0" w:color="auto"/>
        <w:left w:val="none" w:sz="0" w:space="0" w:color="auto"/>
        <w:bottom w:val="none" w:sz="0" w:space="0" w:color="auto"/>
        <w:right w:val="none" w:sz="0" w:space="0" w:color="auto"/>
      </w:divBdr>
    </w:div>
    <w:div w:id="2055960428">
      <w:bodyDiv w:val="1"/>
      <w:marLeft w:val="0"/>
      <w:marRight w:val="0"/>
      <w:marTop w:val="0"/>
      <w:marBottom w:val="0"/>
      <w:divBdr>
        <w:top w:val="none" w:sz="0" w:space="0" w:color="auto"/>
        <w:left w:val="none" w:sz="0" w:space="0" w:color="auto"/>
        <w:bottom w:val="none" w:sz="0" w:space="0" w:color="auto"/>
        <w:right w:val="none" w:sz="0" w:space="0" w:color="auto"/>
      </w:divBdr>
    </w:div>
    <w:div w:id="2056731794">
      <w:bodyDiv w:val="1"/>
      <w:marLeft w:val="0"/>
      <w:marRight w:val="0"/>
      <w:marTop w:val="0"/>
      <w:marBottom w:val="0"/>
      <w:divBdr>
        <w:top w:val="none" w:sz="0" w:space="0" w:color="auto"/>
        <w:left w:val="none" w:sz="0" w:space="0" w:color="auto"/>
        <w:bottom w:val="none" w:sz="0" w:space="0" w:color="auto"/>
        <w:right w:val="none" w:sz="0" w:space="0" w:color="auto"/>
      </w:divBdr>
    </w:div>
    <w:div w:id="2071153118">
      <w:bodyDiv w:val="1"/>
      <w:marLeft w:val="0"/>
      <w:marRight w:val="0"/>
      <w:marTop w:val="0"/>
      <w:marBottom w:val="0"/>
      <w:divBdr>
        <w:top w:val="none" w:sz="0" w:space="0" w:color="auto"/>
        <w:left w:val="none" w:sz="0" w:space="0" w:color="auto"/>
        <w:bottom w:val="none" w:sz="0" w:space="0" w:color="auto"/>
        <w:right w:val="none" w:sz="0" w:space="0" w:color="auto"/>
      </w:divBdr>
    </w:div>
    <w:div w:id="2075276937">
      <w:bodyDiv w:val="1"/>
      <w:marLeft w:val="0"/>
      <w:marRight w:val="0"/>
      <w:marTop w:val="0"/>
      <w:marBottom w:val="0"/>
      <w:divBdr>
        <w:top w:val="none" w:sz="0" w:space="0" w:color="auto"/>
        <w:left w:val="none" w:sz="0" w:space="0" w:color="auto"/>
        <w:bottom w:val="none" w:sz="0" w:space="0" w:color="auto"/>
        <w:right w:val="none" w:sz="0" w:space="0" w:color="auto"/>
      </w:divBdr>
    </w:div>
    <w:div w:id="2084637326">
      <w:bodyDiv w:val="1"/>
      <w:marLeft w:val="0"/>
      <w:marRight w:val="0"/>
      <w:marTop w:val="0"/>
      <w:marBottom w:val="0"/>
      <w:divBdr>
        <w:top w:val="none" w:sz="0" w:space="0" w:color="auto"/>
        <w:left w:val="none" w:sz="0" w:space="0" w:color="auto"/>
        <w:bottom w:val="none" w:sz="0" w:space="0" w:color="auto"/>
        <w:right w:val="none" w:sz="0" w:space="0" w:color="auto"/>
      </w:divBdr>
    </w:div>
    <w:div w:id="2084720123">
      <w:bodyDiv w:val="1"/>
      <w:marLeft w:val="0"/>
      <w:marRight w:val="0"/>
      <w:marTop w:val="0"/>
      <w:marBottom w:val="0"/>
      <w:divBdr>
        <w:top w:val="none" w:sz="0" w:space="0" w:color="auto"/>
        <w:left w:val="none" w:sz="0" w:space="0" w:color="auto"/>
        <w:bottom w:val="none" w:sz="0" w:space="0" w:color="auto"/>
        <w:right w:val="none" w:sz="0" w:space="0" w:color="auto"/>
      </w:divBdr>
    </w:div>
    <w:div w:id="2094468014">
      <w:bodyDiv w:val="1"/>
      <w:marLeft w:val="0"/>
      <w:marRight w:val="0"/>
      <w:marTop w:val="0"/>
      <w:marBottom w:val="0"/>
      <w:divBdr>
        <w:top w:val="none" w:sz="0" w:space="0" w:color="auto"/>
        <w:left w:val="none" w:sz="0" w:space="0" w:color="auto"/>
        <w:bottom w:val="none" w:sz="0" w:space="0" w:color="auto"/>
        <w:right w:val="none" w:sz="0" w:space="0" w:color="auto"/>
      </w:divBdr>
    </w:div>
    <w:div w:id="2102680317">
      <w:bodyDiv w:val="1"/>
      <w:marLeft w:val="0"/>
      <w:marRight w:val="0"/>
      <w:marTop w:val="0"/>
      <w:marBottom w:val="0"/>
      <w:divBdr>
        <w:top w:val="none" w:sz="0" w:space="0" w:color="auto"/>
        <w:left w:val="none" w:sz="0" w:space="0" w:color="auto"/>
        <w:bottom w:val="none" w:sz="0" w:space="0" w:color="auto"/>
        <w:right w:val="none" w:sz="0" w:space="0" w:color="auto"/>
      </w:divBdr>
    </w:div>
    <w:div w:id="2106730151">
      <w:bodyDiv w:val="1"/>
      <w:marLeft w:val="0"/>
      <w:marRight w:val="0"/>
      <w:marTop w:val="0"/>
      <w:marBottom w:val="0"/>
      <w:divBdr>
        <w:top w:val="none" w:sz="0" w:space="0" w:color="auto"/>
        <w:left w:val="none" w:sz="0" w:space="0" w:color="auto"/>
        <w:bottom w:val="none" w:sz="0" w:space="0" w:color="auto"/>
        <w:right w:val="none" w:sz="0" w:space="0" w:color="auto"/>
      </w:divBdr>
    </w:div>
    <w:div w:id="2111076153">
      <w:bodyDiv w:val="1"/>
      <w:marLeft w:val="0"/>
      <w:marRight w:val="0"/>
      <w:marTop w:val="0"/>
      <w:marBottom w:val="0"/>
      <w:divBdr>
        <w:top w:val="none" w:sz="0" w:space="0" w:color="auto"/>
        <w:left w:val="none" w:sz="0" w:space="0" w:color="auto"/>
        <w:bottom w:val="none" w:sz="0" w:space="0" w:color="auto"/>
        <w:right w:val="none" w:sz="0" w:space="0" w:color="auto"/>
      </w:divBdr>
    </w:div>
    <w:div w:id="2120948984">
      <w:bodyDiv w:val="1"/>
      <w:marLeft w:val="0"/>
      <w:marRight w:val="0"/>
      <w:marTop w:val="0"/>
      <w:marBottom w:val="0"/>
      <w:divBdr>
        <w:top w:val="none" w:sz="0" w:space="0" w:color="auto"/>
        <w:left w:val="none" w:sz="0" w:space="0" w:color="auto"/>
        <w:bottom w:val="none" w:sz="0" w:space="0" w:color="auto"/>
        <w:right w:val="none" w:sz="0" w:space="0" w:color="auto"/>
      </w:divBdr>
    </w:div>
    <w:div w:id="2131627258">
      <w:bodyDiv w:val="1"/>
      <w:marLeft w:val="0"/>
      <w:marRight w:val="0"/>
      <w:marTop w:val="0"/>
      <w:marBottom w:val="0"/>
      <w:divBdr>
        <w:top w:val="none" w:sz="0" w:space="0" w:color="auto"/>
        <w:left w:val="none" w:sz="0" w:space="0" w:color="auto"/>
        <w:bottom w:val="none" w:sz="0" w:space="0" w:color="auto"/>
        <w:right w:val="none" w:sz="0" w:space="0" w:color="auto"/>
      </w:divBdr>
    </w:div>
    <w:div w:id="2138721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3.xml"/><Relationship Id="rId21" Type="http://schemas.openxmlformats.org/officeDocument/2006/relationships/customXml" Target="../customXml/item21.xml"/><Relationship Id="rId34" Type="http://schemas.openxmlformats.org/officeDocument/2006/relationships/image" Target="media/image1.png"/><Relationship Id="rId42" Type="http://schemas.openxmlformats.org/officeDocument/2006/relationships/header" Target="header4.xml"/><Relationship Id="rId47" Type="http://schemas.openxmlformats.org/officeDocument/2006/relationships/chart" Target="charts/chart3.xml"/><Relationship Id="rId50" Type="http://schemas.openxmlformats.org/officeDocument/2006/relationships/chart" Target="charts/chart6.xml"/><Relationship Id="rId55" Type="http://schemas.openxmlformats.org/officeDocument/2006/relationships/chart" Target="charts/chart10.xml"/><Relationship Id="rId63"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tyles" Target="styles.xml"/><Relationship Id="rId41" Type="http://schemas.openxmlformats.org/officeDocument/2006/relationships/header" Target="header3.xml"/><Relationship Id="rId54" Type="http://schemas.openxmlformats.org/officeDocument/2006/relationships/header" Target="header5.xml"/><Relationship Id="rId62"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footnotes" Target="footnotes.xml"/><Relationship Id="rId37" Type="http://schemas.openxmlformats.org/officeDocument/2006/relationships/header" Target="header1.xml"/><Relationship Id="rId40" Type="http://schemas.openxmlformats.org/officeDocument/2006/relationships/footer" Target="footer4.xml"/><Relationship Id="rId45" Type="http://schemas.openxmlformats.org/officeDocument/2006/relationships/chart" Target="charts/chart1.xml"/><Relationship Id="rId53" Type="http://schemas.openxmlformats.org/officeDocument/2006/relationships/chart" Target="charts/chart9.xml"/><Relationship Id="rId58" Type="http://schemas.openxmlformats.org/officeDocument/2006/relationships/chart" Target="charts/chart13.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numbering" Target="numbering.xml"/><Relationship Id="rId36" Type="http://schemas.openxmlformats.org/officeDocument/2006/relationships/footer" Target="footer2.xml"/><Relationship Id="rId49" Type="http://schemas.openxmlformats.org/officeDocument/2006/relationships/chart" Target="charts/chart5.xml"/><Relationship Id="rId57" Type="http://schemas.openxmlformats.org/officeDocument/2006/relationships/chart" Target="charts/chart12.xml"/><Relationship Id="rId61" Type="http://schemas.openxmlformats.org/officeDocument/2006/relationships/header" Target="header7.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webSettings" Target="webSettings.xml"/><Relationship Id="rId44" Type="http://schemas.openxmlformats.org/officeDocument/2006/relationships/footer" Target="footer6.xml"/><Relationship Id="rId52" Type="http://schemas.openxmlformats.org/officeDocument/2006/relationships/chart" Target="charts/chart8.xml"/><Relationship Id="rId60"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customXml" Target="../customXml/item27.xml"/><Relationship Id="rId30" Type="http://schemas.openxmlformats.org/officeDocument/2006/relationships/settings" Target="settings.xml"/><Relationship Id="rId35" Type="http://schemas.openxmlformats.org/officeDocument/2006/relationships/footer" Target="footer1.xml"/><Relationship Id="rId43" Type="http://schemas.openxmlformats.org/officeDocument/2006/relationships/footer" Target="footer5.xml"/><Relationship Id="rId48" Type="http://schemas.openxmlformats.org/officeDocument/2006/relationships/chart" Target="charts/chart4.xml"/><Relationship Id="rId56" Type="http://schemas.openxmlformats.org/officeDocument/2006/relationships/chart" Target="charts/chart11.xml"/><Relationship Id="rId64" Type="http://schemas.openxmlformats.org/officeDocument/2006/relationships/theme" Target="theme/theme1.xml"/><Relationship Id="rId8" Type="http://schemas.openxmlformats.org/officeDocument/2006/relationships/customXml" Target="../customXml/item8.xml"/><Relationship Id="rId51" Type="http://schemas.openxmlformats.org/officeDocument/2006/relationships/chart" Target="charts/chart7.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endnotes" Target="endnotes.xml"/><Relationship Id="rId38" Type="http://schemas.openxmlformats.org/officeDocument/2006/relationships/header" Target="header2.xml"/><Relationship Id="rId46" Type="http://schemas.openxmlformats.org/officeDocument/2006/relationships/chart" Target="charts/chart2.xml"/><Relationship Id="rId59" Type="http://schemas.openxmlformats.org/officeDocument/2006/relationships/chart" Target="charts/chart14.xml"/></Relationships>
</file>

<file path=word/_rels/footnotes.xml.rels><?xml version="1.0" encoding="UTF-8" standalone="yes"?>
<Relationships xmlns="http://schemas.openxmlformats.org/package/2006/relationships"><Relationship Id="rId3" Type="http://schemas.openxmlformats.org/officeDocument/2006/relationships/hyperlink" Target="https://www.imf.org/external/pubs/ft/dsa/mac.htm" TargetMode="External"/><Relationship Id="rId2" Type="http://schemas.openxmlformats.org/officeDocument/2006/relationships/hyperlink" Target="https://eur-lex.europa.eu/legal-content/BG/TXT/HTML/?uri=CELEX:32021H0729(02)&amp;from=EN" TargetMode="External"/><Relationship Id="rId1" Type="http://schemas.openxmlformats.org/officeDocument/2006/relationships/hyperlink" Target="http://data.consilium.europa.eu/doc/document/ST-9344-2017-INIT/en/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1" Type="http://schemas.openxmlformats.org/officeDocument/2006/relationships/oleObject" Target="file:///D:\&#1052;&#1060;&#1059;&#1045;&#1057;\&#1050;&#1055;_2022\&#1053;&#1054;&#1048;.xlsx"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file:///D:\ReadOnly\CP\2022\Charts_inflation_CP2022.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Rabota\Commision\Konvergentna\CP_2019_graphs_external.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D:\ReadOnly\CP\2022\Charts_inflation_CP2022.xlsx" TargetMode="External"/><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oleObject" Target="file:///\\mfshare\MF\&#1044;&#1066;&#1056;&#1046;&#1040;&#1042;&#1053;&#1054;%20&#1057;&#1066;&#1050;&#1056;&#1054;&#1042;&#1048;&#1065;&#1045;\&#1050;&#1041;&#1055;&#1040;\private\Siemens%20Table\TABLE\Otget%202022\&#1050;&#1055;%202022-2025\Grafika%20-Convergence%20programme%202022-2025.xlsm" TargetMode="External"/><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3" Type="http://schemas.openxmlformats.org/officeDocument/2006/relationships/oleObject" Target="file:///D:\&#1052;&#1060;&#1059;&#1045;&#1057;\&#1050;&#1055;_2022\&#1044;&#1044;%20&#1043;&#1088;&#1072;&#1092;&#1080;&#1082;&#1072;%20-%20&#1050;&#1044;&#1044;%202022-2025.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362811272723564E-2"/>
          <c:y val="2.7684070993141987E-2"/>
          <c:w val="0.93761368150749946"/>
          <c:h val="0.71578097218694436"/>
        </c:manualLayout>
      </c:layout>
      <c:barChart>
        <c:barDir val="col"/>
        <c:grouping val="stacked"/>
        <c:varyColors val="0"/>
        <c:ser>
          <c:idx val="0"/>
          <c:order val="0"/>
          <c:tx>
            <c:strRef>
              <c:f>'2.3.Приноси'!$A$5</c:f>
              <c:strCache>
                <c:ptCount val="1"/>
                <c:pt idx="0">
                  <c:v>Крайно потребление</c:v>
                </c:pt>
              </c:strCache>
            </c:strRef>
          </c:tx>
          <c:spPr>
            <a:solidFill>
              <a:srgbClr val="6768AB"/>
            </a:solidFill>
            <a:ln w="3175">
              <a:solidFill>
                <a:sysClr val="window" lastClr="FFFFFF"/>
              </a:solidFill>
            </a:ln>
            <a:effectLst/>
          </c:spPr>
          <c:invertIfNegative val="0"/>
          <c:cat>
            <c:strRef>
              <c:f>'2.3.Приноси'!$G$3:$O$3</c:f>
              <c:strCache>
                <c:ptCount val="9"/>
                <c:pt idx="0">
                  <c:v>2017</c:v>
                </c:pt>
                <c:pt idx="1">
                  <c:v>2018</c:v>
                </c:pt>
                <c:pt idx="2">
                  <c:v>2019</c:v>
                </c:pt>
                <c:pt idx="3">
                  <c:v>2020</c:v>
                </c:pt>
                <c:pt idx="4">
                  <c:v>2021</c:v>
                </c:pt>
                <c:pt idx="5">
                  <c:v>2022*</c:v>
                </c:pt>
                <c:pt idx="6">
                  <c:v>2023*</c:v>
                </c:pt>
                <c:pt idx="7">
                  <c:v>2024*</c:v>
                </c:pt>
                <c:pt idx="8">
                  <c:v>2025*</c:v>
                </c:pt>
              </c:strCache>
            </c:strRef>
          </c:cat>
          <c:val>
            <c:numRef>
              <c:f>'2.3.Приноси'!$G$5:$O$5</c:f>
              <c:numCache>
                <c:formatCode>0.0</c:formatCode>
                <c:ptCount val="9"/>
                <c:pt idx="0">
                  <c:v>2.1988281829894443</c:v>
                </c:pt>
                <c:pt idx="1">
                  <c:v>3.0669615931245851</c:v>
                </c:pt>
                <c:pt idx="2">
                  <c:v>3.8914340760257273</c:v>
                </c:pt>
                <c:pt idx="3">
                  <c:v>1.1620559857387165</c:v>
                </c:pt>
                <c:pt idx="4">
                  <c:v>5.476269673154353</c:v>
                </c:pt>
                <c:pt idx="5">
                  <c:v>2.0313345955590636</c:v>
                </c:pt>
                <c:pt idx="6">
                  <c:v>2.6472458171005142</c:v>
                </c:pt>
                <c:pt idx="7">
                  <c:v>2.810605088528523</c:v>
                </c:pt>
                <c:pt idx="8">
                  <c:v>2.8359466060117922</c:v>
                </c:pt>
              </c:numCache>
            </c:numRef>
          </c:val>
          <c:extLst>
            <c:ext xmlns:c16="http://schemas.microsoft.com/office/drawing/2014/chart" uri="{C3380CC4-5D6E-409C-BE32-E72D297353CC}">
              <c16:uniqueId val="{00000000-ABC4-41F7-9934-BFFFB33B6953}"/>
            </c:ext>
          </c:extLst>
        </c:ser>
        <c:ser>
          <c:idx val="1"/>
          <c:order val="1"/>
          <c:tx>
            <c:strRef>
              <c:f>'2.3.Приноси'!$A$6</c:f>
              <c:strCache>
                <c:ptCount val="1"/>
                <c:pt idx="0">
                  <c:v>Инвестиции</c:v>
                </c:pt>
              </c:strCache>
            </c:strRef>
          </c:tx>
          <c:spPr>
            <a:solidFill>
              <a:srgbClr val="A197E4"/>
            </a:solidFill>
            <a:ln w="3175">
              <a:solidFill>
                <a:sysClr val="window" lastClr="FFFFFF"/>
              </a:solidFill>
            </a:ln>
            <a:effectLst/>
          </c:spPr>
          <c:invertIfNegative val="0"/>
          <c:cat>
            <c:strRef>
              <c:f>'2.3.Приноси'!$G$3:$O$3</c:f>
              <c:strCache>
                <c:ptCount val="9"/>
                <c:pt idx="0">
                  <c:v>2017</c:v>
                </c:pt>
                <c:pt idx="1">
                  <c:v>2018</c:v>
                </c:pt>
                <c:pt idx="2">
                  <c:v>2019</c:v>
                </c:pt>
                <c:pt idx="3">
                  <c:v>2020</c:v>
                </c:pt>
                <c:pt idx="4">
                  <c:v>2021</c:v>
                </c:pt>
                <c:pt idx="5">
                  <c:v>2022*</c:v>
                </c:pt>
                <c:pt idx="6">
                  <c:v>2023*</c:v>
                </c:pt>
                <c:pt idx="7">
                  <c:v>2024*</c:v>
                </c:pt>
                <c:pt idx="8">
                  <c:v>2025*</c:v>
                </c:pt>
              </c:strCache>
            </c:strRef>
          </c:cat>
          <c:val>
            <c:numRef>
              <c:f>'2.3.Приноси'!$G$6:$O$6</c:f>
              <c:numCache>
                <c:formatCode>0.0</c:formatCode>
                <c:ptCount val="9"/>
                <c:pt idx="0">
                  <c:v>1.226458725325152</c:v>
                </c:pt>
                <c:pt idx="1">
                  <c:v>2.0664149837258625</c:v>
                </c:pt>
                <c:pt idx="2">
                  <c:v>0.83183170055786626</c:v>
                </c:pt>
                <c:pt idx="3">
                  <c:v>-1.1085895826838044</c:v>
                </c:pt>
                <c:pt idx="4">
                  <c:v>-0.2297911647936953</c:v>
                </c:pt>
                <c:pt idx="5">
                  <c:v>1.3298077959410124</c:v>
                </c:pt>
                <c:pt idx="6">
                  <c:v>1.6803720949632313</c:v>
                </c:pt>
                <c:pt idx="7">
                  <c:v>1.2370359321706454</c:v>
                </c:pt>
                <c:pt idx="8">
                  <c:v>1.974492350676236</c:v>
                </c:pt>
              </c:numCache>
            </c:numRef>
          </c:val>
          <c:extLst>
            <c:ext xmlns:c16="http://schemas.microsoft.com/office/drawing/2014/chart" uri="{C3380CC4-5D6E-409C-BE32-E72D297353CC}">
              <c16:uniqueId val="{00000001-ABC4-41F7-9934-BFFFB33B6953}"/>
            </c:ext>
          </c:extLst>
        </c:ser>
        <c:ser>
          <c:idx val="2"/>
          <c:order val="2"/>
          <c:tx>
            <c:strRef>
              <c:f>'2.3.Приноси'!$A$7</c:f>
              <c:strCache>
                <c:ptCount val="1"/>
                <c:pt idx="0">
                  <c:v>Търговско салдо (износ-внос)</c:v>
                </c:pt>
              </c:strCache>
            </c:strRef>
          </c:tx>
          <c:spPr>
            <a:solidFill>
              <a:srgbClr val="F2A4A2"/>
            </a:solidFill>
            <a:ln w="3175">
              <a:solidFill>
                <a:sysClr val="window" lastClr="FFFFFF"/>
              </a:solidFill>
            </a:ln>
            <a:effectLst/>
          </c:spPr>
          <c:invertIfNegative val="0"/>
          <c:cat>
            <c:strRef>
              <c:f>'2.3.Приноси'!$G$3:$O$3</c:f>
              <c:strCache>
                <c:ptCount val="9"/>
                <c:pt idx="0">
                  <c:v>2017</c:v>
                </c:pt>
                <c:pt idx="1">
                  <c:v>2018</c:v>
                </c:pt>
                <c:pt idx="2">
                  <c:v>2019</c:v>
                </c:pt>
                <c:pt idx="3">
                  <c:v>2020</c:v>
                </c:pt>
                <c:pt idx="4">
                  <c:v>2021</c:v>
                </c:pt>
                <c:pt idx="5">
                  <c:v>2022*</c:v>
                </c:pt>
                <c:pt idx="6">
                  <c:v>2023*</c:v>
                </c:pt>
                <c:pt idx="7">
                  <c:v>2024*</c:v>
                </c:pt>
                <c:pt idx="8">
                  <c:v>2025*</c:v>
                </c:pt>
              </c:strCache>
            </c:strRef>
          </c:cat>
          <c:val>
            <c:numRef>
              <c:f>'2.3.Приноси'!$G$7:$O$7</c:f>
              <c:numCache>
                <c:formatCode>0.0</c:formatCode>
                <c:ptCount val="9"/>
                <c:pt idx="0">
                  <c:v>-0.66311641062839133</c:v>
                </c:pt>
                <c:pt idx="1">
                  <c:v>-2.4488001783052971</c:v>
                </c:pt>
                <c:pt idx="2">
                  <c:v>-0.68567321156394145</c:v>
                </c:pt>
                <c:pt idx="3">
                  <c:v>-4.4406160536324366</c:v>
                </c:pt>
                <c:pt idx="4">
                  <c:v>-1.0686055725363932</c:v>
                </c:pt>
                <c:pt idx="5">
                  <c:v>-0.76114239150005059</c:v>
                </c:pt>
                <c:pt idx="6">
                  <c:v>-1.5276179120637603</c:v>
                </c:pt>
                <c:pt idx="7">
                  <c:v>-0.44764102069913081</c:v>
                </c:pt>
                <c:pt idx="8">
                  <c:v>-1.4104389566880347</c:v>
                </c:pt>
              </c:numCache>
            </c:numRef>
          </c:val>
          <c:extLst>
            <c:ext xmlns:c16="http://schemas.microsoft.com/office/drawing/2014/chart" uri="{C3380CC4-5D6E-409C-BE32-E72D297353CC}">
              <c16:uniqueId val="{00000002-ABC4-41F7-9934-BFFFB33B6953}"/>
            </c:ext>
          </c:extLst>
        </c:ser>
        <c:dLbls>
          <c:showLegendKey val="0"/>
          <c:showVal val="0"/>
          <c:showCatName val="0"/>
          <c:showSerName val="0"/>
          <c:showPercent val="0"/>
          <c:showBubbleSize val="0"/>
        </c:dLbls>
        <c:gapWidth val="80"/>
        <c:overlap val="100"/>
        <c:axId val="130214144"/>
        <c:axId val="130220416"/>
      </c:barChart>
      <c:lineChart>
        <c:grouping val="standard"/>
        <c:varyColors val="0"/>
        <c:ser>
          <c:idx val="3"/>
          <c:order val="3"/>
          <c:tx>
            <c:strRef>
              <c:f>'2.3.Приноси'!$A$8</c:f>
              <c:strCache>
                <c:ptCount val="1"/>
                <c:pt idx="0">
                  <c:v>БВП, %</c:v>
                </c:pt>
              </c:strCache>
            </c:strRef>
          </c:tx>
          <c:spPr>
            <a:ln w="25400" cap="rnd">
              <a:noFill/>
              <a:round/>
            </a:ln>
            <a:effectLst/>
          </c:spPr>
          <c:marker>
            <c:symbol val="circle"/>
            <c:size val="7"/>
            <c:spPr>
              <a:solidFill>
                <a:srgbClr val="096191"/>
              </a:solidFill>
              <a:ln w="3175">
                <a:solidFill>
                  <a:sysClr val="window" lastClr="FFFFFF"/>
                </a:solidFill>
              </a:ln>
              <a:effectLst/>
            </c:spPr>
          </c:marker>
          <c:cat>
            <c:strRef>
              <c:f>'2.3.Приноси'!$G$3:$O$3</c:f>
              <c:strCache>
                <c:ptCount val="9"/>
                <c:pt idx="0">
                  <c:v>2017</c:v>
                </c:pt>
                <c:pt idx="1">
                  <c:v>2018</c:v>
                </c:pt>
                <c:pt idx="2">
                  <c:v>2019</c:v>
                </c:pt>
                <c:pt idx="3">
                  <c:v>2020</c:v>
                </c:pt>
                <c:pt idx="4">
                  <c:v>2021</c:v>
                </c:pt>
                <c:pt idx="5">
                  <c:v>2022*</c:v>
                </c:pt>
                <c:pt idx="6">
                  <c:v>2023*</c:v>
                </c:pt>
                <c:pt idx="7">
                  <c:v>2024*</c:v>
                </c:pt>
                <c:pt idx="8">
                  <c:v>2025*</c:v>
                </c:pt>
              </c:strCache>
            </c:strRef>
          </c:cat>
          <c:val>
            <c:numRef>
              <c:f>'2.3.Приноси'!$G$8:$O$8</c:f>
              <c:numCache>
                <c:formatCode>0.0</c:formatCode>
                <c:ptCount val="9"/>
                <c:pt idx="0">
                  <c:v>2.7621704976861889</c:v>
                </c:pt>
                <c:pt idx="1">
                  <c:v>2.684576398545135</c:v>
                </c:pt>
                <c:pt idx="2">
                  <c:v>4.0375925650196542</c:v>
                </c:pt>
                <c:pt idx="3">
                  <c:v>-4.3871496505775482</c:v>
                </c:pt>
                <c:pt idx="4">
                  <c:v>4.1778729358242552</c:v>
                </c:pt>
                <c:pt idx="5">
                  <c:v>2.6000000000000258</c:v>
                </c:pt>
                <c:pt idx="6">
                  <c:v>2.7999999999999843</c:v>
                </c:pt>
                <c:pt idx="7">
                  <c:v>3.6000000000000374</c:v>
                </c:pt>
                <c:pt idx="8">
                  <c:v>3.3999999999999928</c:v>
                </c:pt>
              </c:numCache>
            </c:numRef>
          </c:val>
          <c:smooth val="0"/>
          <c:extLst>
            <c:ext xmlns:c16="http://schemas.microsoft.com/office/drawing/2014/chart" uri="{C3380CC4-5D6E-409C-BE32-E72D297353CC}">
              <c16:uniqueId val="{00000003-ABC4-41F7-9934-BFFFB33B6953}"/>
            </c:ext>
          </c:extLst>
        </c:ser>
        <c:dLbls>
          <c:showLegendKey val="0"/>
          <c:showVal val="0"/>
          <c:showCatName val="0"/>
          <c:showSerName val="0"/>
          <c:showPercent val="0"/>
          <c:showBubbleSize val="0"/>
        </c:dLbls>
        <c:marker val="1"/>
        <c:smooth val="0"/>
        <c:axId val="130214144"/>
        <c:axId val="130220416"/>
      </c:lineChart>
      <c:catAx>
        <c:axId val="130214144"/>
        <c:scaling>
          <c:orientation val="minMax"/>
        </c:scaling>
        <c:delete val="0"/>
        <c:axPos val="b"/>
        <c:majorGridlines>
          <c:spPr>
            <a:ln w="3175" cap="flat" cmpd="sng" algn="ctr">
              <a:solidFill>
                <a:sysClr val="window" lastClr="FFFFFF">
                  <a:lumMod val="85000"/>
                </a:sysClr>
              </a:solidFill>
              <a:round/>
            </a:ln>
            <a:effectLst/>
          </c:spPr>
        </c:majorGridlines>
        <c:numFmt formatCode="General" sourceLinked="1"/>
        <c:majorTickMark val="cross"/>
        <c:minorTickMark val="none"/>
        <c:tickLblPos val="low"/>
        <c:spPr>
          <a:noFill/>
          <a:ln w="6350" cap="flat" cmpd="sng" algn="ctr">
            <a:solidFill>
              <a:sysClr val="window" lastClr="FFFFFF">
                <a:lumMod val="50000"/>
              </a:sys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bg-BG"/>
          </a:p>
        </c:txPr>
        <c:crossAx val="130220416"/>
        <c:crosses val="autoZero"/>
        <c:auto val="1"/>
        <c:lblAlgn val="ctr"/>
        <c:lblOffset val="100"/>
        <c:noMultiLvlLbl val="0"/>
      </c:catAx>
      <c:valAx>
        <c:axId val="130220416"/>
        <c:scaling>
          <c:orientation val="minMax"/>
        </c:scaling>
        <c:delete val="0"/>
        <c:axPos val="l"/>
        <c:majorGridlines>
          <c:spPr>
            <a:ln w="3175" cap="flat" cmpd="sng" algn="ctr">
              <a:solidFill>
                <a:sysClr val="window" lastClr="FFFFFF">
                  <a:lumMod val="85000"/>
                </a:sysClr>
              </a:solidFill>
              <a:round/>
            </a:ln>
            <a:effectLst/>
          </c:spPr>
        </c:majorGridlines>
        <c:numFmt formatCode="0" sourceLinked="0"/>
        <c:majorTickMark val="in"/>
        <c:minorTickMark val="none"/>
        <c:tickLblPos val="nextTo"/>
        <c:spPr>
          <a:noFill/>
          <a:ln w="6350">
            <a:solidFill>
              <a:sysClr val="window" lastClr="FFFFFF">
                <a:lumMod val="50000"/>
              </a:sys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crossAx val="130214144"/>
        <c:crosses val="autoZero"/>
        <c:crossBetween val="between"/>
        <c:majorUnit val="4"/>
        <c:minorUnit val="0.5"/>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noFill/>
    <a:ln w="9525" cap="flat" cmpd="sng" algn="ctr">
      <a:noFill/>
      <a:round/>
    </a:ln>
    <a:effectLst/>
  </c:spPr>
  <c:txPr>
    <a:bodyPr/>
    <a:lstStyle/>
    <a:p>
      <a:pPr>
        <a:defRPr sz="900">
          <a:solidFill>
            <a:sysClr val="windowText" lastClr="000000"/>
          </a:solidFill>
        </a:defRPr>
      </a:pPr>
      <a:endParaRPr lang="bg-BG"/>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849708902155781E-2"/>
          <c:y val="2.2358176733405295E-2"/>
          <c:w val="0.89436551652525331"/>
          <c:h val="0.61444423440787654"/>
        </c:manualLayout>
      </c:layout>
      <c:lineChart>
        <c:grouping val="standard"/>
        <c:varyColors val="0"/>
        <c:ser>
          <c:idx val="0"/>
          <c:order val="0"/>
          <c:tx>
            <c:strRef>
              <c:f>'overview_debt profiles'!$B$23</c:f>
              <c:strCache>
                <c:ptCount val="1"/>
                <c:pt idx="0">
                  <c:v>Базов сценарий</c:v>
                </c:pt>
              </c:strCache>
            </c:strRef>
          </c:tx>
          <c:spPr>
            <a:ln w="22225">
              <a:solidFill>
                <a:srgbClr val="F2A4A2"/>
              </a:solidFill>
              <a:prstDash val="solid"/>
            </a:ln>
            <a:effectLst/>
          </c:spPr>
          <c:marker>
            <c:symbol val="none"/>
          </c:marker>
          <c:dLbls>
            <c:dLbl>
              <c:idx val="4"/>
              <c:layout>
                <c:manualLayout>
                  <c:x val="-4.5981127660001654E-2"/>
                  <c:y val="3.8704576544068794E-2"/>
                </c:manualLayout>
              </c:layout>
              <c:spPr>
                <a:noFill/>
                <a:ln>
                  <a:noFill/>
                </a:ln>
                <a:effectLst/>
              </c:spPr>
              <c:txPr>
                <a:bodyPr/>
                <a:lstStyle/>
                <a:p>
                  <a:pPr>
                    <a:defRPr/>
                  </a:pPr>
                  <a:endParaRPr lang="bg-BG"/>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01-4182-9B52-1865DE15DF7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w="3175">
                      <a:solidFill>
                        <a:schemeClr val="bg1">
                          <a:lumMod val="50000"/>
                        </a:schemeClr>
                      </a:solidFill>
                    </a:ln>
                  </c:spPr>
                </c15:leaderLines>
              </c:ext>
            </c:extLst>
          </c:dLbls>
          <c:cat>
            <c:numRef>
              <c:f>'overview_debt profiles'!$K$4:$O$4</c:f>
              <c:numCache>
                <c:formatCode>General</c:formatCode>
                <c:ptCount val="5"/>
                <c:pt idx="0">
                  <c:v>2021</c:v>
                </c:pt>
                <c:pt idx="1">
                  <c:v>2022</c:v>
                </c:pt>
                <c:pt idx="2">
                  <c:v>2023</c:v>
                </c:pt>
                <c:pt idx="3">
                  <c:v>2024</c:v>
                </c:pt>
                <c:pt idx="4">
                  <c:v>2025</c:v>
                </c:pt>
              </c:numCache>
            </c:numRef>
          </c:cat>
          <c:val>
            <c:numRef>
              <c:f>'overview_debt profiles'!$K$23:$O$23</c:f>
              <c:numCache>
                <c:formatCode>0.0</c:formatCode>
                <c:ptCount val="5"/>
                <c:pt idx="0">
                  <c:v>25.06812363810802</c:v>
                </c:pt>
                <c:pt idx="1">
                  <c:v>25.527898363450024</c:v>
                </c:pt>
                <c:pt idx="2">
                  <c:v>27.731419336377446</c:v>
                </c:pt>
                <c:pt idx="3">
                  <c:v>29.076123150577892</c:v>
                </c:pt>
                <c:pt idx="4">
                  <c:v>30.372760071959782</c:v>
                </c:pt>
              </c:numCache>
            </c:numRef>
          </c:val>
          <c:smooth val="0"/>
          <c:extLst>
            <c:ext xmlns:c16="http://schemas.microsoft.com/office/drawing/2014/chart" uri="{C3380CC4-5D6E-409C-BE32-E72D297353CC}">
              <c16:uniqueId val="{00000001-0901-4182-9B52-1865DE15DF75}"/>
            </c:ext>
          </c:extLst>
        </c:ser>
        <c:ser>
          <c:idx val="1"/>
          <c:order val="1"/>
          <c:tx>
            <c:strRef>
              <c:f>'overview_debt profiles'!$B$27</c:f>
              <c:strCache>
                <c:ptCount val="1"/>
                <c:pt idx="0">
                  <c:v>Комбиниран шок върху лихвения % , растежа на БВП и първичния баланс</c:v>
                </c:pt>
              </c:strCache>
            </c:strRef>
          </c:tx>
          <c:spPr>
            <a:ln w="25400" cmpd="dbl">
              <a:solidFill>
                <a:srgbClr val="004290"/>
              </a:solidFill>
              <a:prstDash val="sysDash"/>
            </a:ln>
            <a:effectLst/>
          </c:spPr>
          <c:marker>
            <c:symbol val="none"/>
          </c:marker>
          <c:dLbls>
            <c:dLbl>
              <c:idx val="4"/>
              <c:layout>
                <c:manualLayout>
                  <c:x val="-5.8521435203638464E-2"/>
                  <c:y val="-2.7646126102906284E-2"/>
                </c:manualLayout>
              </c:layout>
              <c:spPr>
                <a:noFill/>
                <a:ln>
                  <a:noFill/>
                </a:ln>
                <a:effectLst/>
              </c:spPr>
              <c:txPr>
                <a:bodyPr/>
                <a:lstStyle/>
                <a:p>
                  <a:pPr>
                    <a:defRPr/>
                  </a:pPr>
                  <a:endParaRPr lang="bg-BG"/>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01-4182-9B52-1865DE15DF7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w="3175">
                      <a:solidFill>
                        <a:schemeClr val="bg1">
                          <a:lumMod val="50000"/>
                        </a:schemeClr>
                      </a:solidFill>
                    </a:ln>
                  </c:spPr>
                </c15:leaderLines>
              </c:ext>
            </c:extLst>
          </c:dLbls>
          <c:cat>
            <c:numRef>
              <c:f>'overview_debt profiles'!$K$4:$O$4</c:f>
              <c:numCache>
                <c:formatCode>General</c:formatCode>
                <c:ptCount val="5"/>
                <c:pt idx="0">
                  <c:v>2021</c:v>
                </c:pt>
                <c:pt idx="1">
                  <c:v>2022</c:v>
                </c:pt>
                <c:pt idx="2">
                  <c:v>2023</c:v>
                </c:pt>
                <c:pt idx="3">
                  <c:v>2024</c:v>
                </c:pt>
                <c:pt idx="4">
                  <c:v>2025</c:v>
                </c:pt>
              </c:numCache>
            </c:numRef>
          </c:cat>
          <c:val>
            <c:numRef>
              <c:f>'overview_debt profiles'!$K$27:$O$27</c:f>
              <c:numCache>
                <c:formatCode>0.0</c:formatCode>
                <c:ptCount val="5"/>
                <c:pt idx="0">
                  <c:v>25.06812363810802</c:v>
                </c:pt>
                <c:pt idx="1">
                  <c:v>26.080782857338473</c:v>
                </c:pt>
                <c:pt idx="2">
                  <c:v>28.826175372068175</c:v>
                </c:pt>
                <c:pt idx="3">
                  <c:v>30.75135456039046</c:v>
                </c:pt>
                <c:pt idx="4">
                  <c:v>32.658197868680929</c:v>
                </c:pt>
              </c:numCache>
            </c:numRef>
          </c:val>
          <c:smooth val="0"/>
          <c:extLst>
            <c:ext xmlns:c16="http://schemas.microsoft.com/office/drawing/2014/chart" uri="{C3380CC4-5D6E-409C-BE32-E72D297353CC}">
              <c16:uniqueId val="{00000003-0901-4182-9B52-1865DE15DF75}"/>
            </c:ext>
          </c:extLst>
        </c:ser>
        <c:ser>
          <c:idx val="3"/>
          <c:order val="2"/>
          <c:tx>
            <c:strRef>
              <c:f>'overview_debt profiles'!$B$26</c:f>
              <c:strCache>
                <c:ptCount val="1"/>
                <c:pt idx="0">
                  <c:v>Постоянен шок върху първичния баланс</c:v>
                </c:pt>
              </c:strCache>
            </c:strRef>
          </c:tx>
          <c:spPr>
            <a:ln w="25400">
              <a:solidFill>
                <a:srgbClr val="6768AB"/>
              </a:solidFill>
              <a:prstDash val="solid"/>
            </a:ln>
            <a:effectLst/>
          </c:spPr>
          <c:marker>
            <c:symbol val="none"/>
          </c:marker>
          <c:cat>
            <c:numRef>
              <c:f>'overview_debt profiles'!$K$4:$O$4</c:f>
              <c:numCache>
                <c:formatCode>General</c:formatCode>
                <c:ptCount val="5"/>
                <c:pt idx="0">
                  <c:v>2021</c:v>
                </c:pt>
                <c:pt idx="1">
                  <c:v>2022</c:v>
                </c:pt>
                <c:pt idx="2">
                  <c:v>2023</c:v>
                </c:pt>
                <c:pt idx="3">
                  <c:v>2024</c:v>
                </c:pt>
                <c:pt idx="4">
                  <c:v>2025</c:v>
                </c:pt>
              </c:numCache>
            </c:numRef>
          </c:cat>
          <c:val>
            <c:numRef>
              <c:f>'overview_debt profiles'!$K$26:$O$26</c:f>
              <c:numCache>
                <c:formatCode>0.0</c:formatCode>
                <c:ptCount val="5"/>
                <c:pt idx="0">
                  <c:v>25.06812363810802</c:v>
                </c:pt>
                <c:pt idx="1">
                  <c:v>26.027898363450028</c:v>
                </c:pt>
                <c:pt idx="2">
                  <c:v>28.702369005043231</c:v>
                </c:pt>
                <c:pt idx="3">
                  <c:v>30.506146906566027</c:v>
                </c:pt>
                <c:pt idx="4">
                  <c:v>32.258902247271642</c:v>
                </c:pt>
              </c:numCache>
            </c:numRef>
          </c:val>
          <c:smooth val="0"/>
          <c:extLst>
            <c:ext xmlns:c16="http://schemas.microsoft.com/office/drawing/2014/chart" uri="{C3380CC4-5D6E-409C-BE32-E72D297353CC}">
              <c16:uniqueId val="{00000004-0901-4182-9B52-1865DE15DF75}"/>
            </c:ext>
          </c:extLst>
        </c:ser>
        <c:ser>
          <c:idx val="4"/>
          <c:order val="3"/>
          <c:tx>
            <c:strRef>
              <c:f>'overview_debt profiles'!$B$24</c:f>
              <c:strCache>
                <c:ptCount val="1"/>
                <c:pt idx="0">
                  <c:v>Постоянен шок върху имплицитния лихвен %</c:v>
                </c:pt>
              </c:strCache>
            </c:strRef>
          </c:tx>
          <c:spPr>
            <a:ln w="41275">
              <a:solidFill>
                <a:srgbClr val="A197E4"/>
              </a:solidFill>
              <a:prstDash val="sysDot"/>
            </a:ln>
          </c:spPr>
          <c:marker>
            <c:symbol val="none"/>
          </c:marker>
          <c:cat>
            <c:numRef>
              <c:f>'overview_debt profiles'!$K$4:$O$4</c:f>
              <c:numCache>
                <c:formatCode>General</c:formatCode>
                <c:ptCount val="5"/>
                <c:pt idx="0">
                  <c:v>2021</c:v>
                </c:pt>
                <c:pt idx="1">
                  <c:v>2022</c:v>
                </c:pt>
                <c:pt idx="2">
                  <c:v>2023</c:v>
                </c:pt>
                <c:pt idx="3">
                  <c:v>2024</c:v>
                </c:pt>
                <c:pt idx="4">
                  <c:v>2025</c:v>
                </c:pt>
              </c:numCache>
            </c:numRef>
          </c:cat>
          <c:val>
            <c:numRef>
              <c:f>'overview_debt profiles'!$K$24:$O$24</c:f>
              <c:numCache>
                <c:formatCode>0.0</c:formatCode>
                <c:ptCount val="5"/>
                <c:pt idx="0">
                  <c:v>25.06812363810802</c:v>
                </c:pt>
                <c:pt idx="1">
                  <c:v>25.753650980842941</c:v>
                </c:pt>
                <c:pt idx="2">
                  <c:v>28.180150859118392</c:v>
                </c:pt>
                <c:pt idx="3">
                  <c:v>29.76821461940261</c:v>
                </c:pt>
                <c:pt idx="4">
                  <c:v>31.32388473143682</c:v>
                </c:pt>
              </c:numCache>
            </c:numRef>
          </c:val>
          <c:smooth val="0"/>
          <c:extLst>
            <c:ext xmlns:c16="http://schemas.microsoft.com/office/drawing/2014/chart" uri="{C3380CC4-5D6E-409C-BE32-E72D297353CC}">
              <c16:uniqueId val="{00000005-0901-4182-9B52-1865DE15DF75}"/>
            </c:ext>
          </c:extLst>
        </c:ser>
        <c:ser>
          <c:idx val="2"/>
          <c:order val="4"/>
          <c:tx>
            <c:strRef>
              <c:f>'overview_debt profiles'!$B$25</c:f>
              <c:strCache>
                <c:ptCount val="1"/>
                <c:pt idx="0">
                  <c:v>Постоянен шоквърху растежа на БВП</c:v>
                </c:pt>
              </c:strCache>
            </c:strRef>
          </c:tx>
          <c:spPr>
            <a:ln w="19050">
              <a:solidFill>
                <a:srgbClr val="6768AB"/>
              </a:solidFill>
              <a:prstDash val="sysDash"/>
            </a:ln>
            <a:effectLst/>
          </c:spPr>
          <c:marker>
            <c:symbol val="none"/>
          </c:marker>
          <c:cat>
            <c:numRef>
              <c:f>'overview_debt profiles'!$K$4:$O$4</c:f>
              <c:numCache>
                <c:formatCode>General</c:formatCode>
                <c:ptCount val="5"/>
                <c:pt idx="0">
                  <c:v>2021</c:v>
                </c:pt>
                <c:pt idx="1">
                  <c:v>2022</c:v>
                </c:pt>
                <c:pt idx="2">
                  <c:v>2023</c:v>
                </c:pt>
                <c:pt idx="3">
                  <c:v>2024</c:v>
                </c:pt>
                <c:pt idx="4">
                  <c:v>2025</c:v>
                </c:pt>
              </c:numCache>
            </c:numRef>
          </c:cat>
          <c:val>
            <c:numRef>
              <c:f>'overview_debt profiles'!$K$25:$O$25</c:f>
              <c:numCache>
                <c:formatCode>0.0</c:formatCode>
                <c:ptCount val="5"/>
                <c:pt idx="0">
                  <c:v>25.06812363810802</c:v>
                </c:pt>
                <c:pt idx="1">
                  <c:v>25.654009127159405</c:v>
                </c:pt>
                <c:pt idx="2">
                  <c:v>27.982151202242239</c:v>
                </c:pt>
                <c:pt idx="3">
                  <c:v>29.469585560872527</c:v>
                </c:pt>
                <c:pt idx="4">
                  <c:v>30.918988207138792</c:v>
                </c:pt>
              </c:numCache>
            </c:numRef>
          </c:val>
          <c:smooth val="0"/>
          <c:extLst>
            <c:ext xmlns:c16="http://schemas.microsoft.com/office/drawing/2014/chart" uri="{C3380CC4-5D6E-409C-BE32-E72D297353CC}">
              <c16:uniqueId val="{00000006-0901-4182-9B52-1865DE15DF75}"/>
            </c:ext>
          </c:extLst>
        </c:ser>
        <c:dLbls>
          <c:showLegendKey val="0"/>
          <c:showVal val="0"/>
          <c:showCatName val="0"/>
          <c:showSerName val="0"/>
          <c:showPercent val="0"/>
          <c:showBubbleSize val="0"/>
        </c:dLbls>
        <c:smooth val="0"/>
        <c:axId val="305239168"/>
        <c:axId val="305367296"/>
      </c:lineChart>
      <c:catAx>
        <c:axId val="305239168"/>
        <c:scaling>
          <c:orientation val="minMax"/>
        </c:scaling>
        <c:delete val="0"/>
        <c:axPos val="b"/>
        <c:majorGridlines>
          <c:spPr>
            <a:ln w="3175">
              <a:solidFill>
                <a:schemeClr val="bg1">
                  <a:lumMod val="85000"/>
                </a:schemeClr>
              </a:solidFill>
            </a:ln>
          </c:spPr>
        </c:majorGridlines>
        <c:numFmt formatCode="General" sourceLinked="1"/>
        <c:majorTickMark val="in"/>
        <c:minorTickMark val="none"/>
        <c:tickLblPos val="nextTo"/>
        <c:spPr>
          <a:ln w="6350">
            <a:solidFill>
              <a:schemeClr val="bg1">
                <a:lumMod val="50000"/>
              </a:schemeClr>
            </a:solidFill>
            <a:prstDash val="solid"/>
          </a:ln>
        </c:spPr>
        <c:crossAx val="305367296"/>
        <c:crosses val="autoZero"/>
        <c:auto val="1"/>
        <c:lblAlgn val="ctr"/>
        <c:lblOffset val="100"/>
        <c:noMultiLvlLbl val="0"/>
      </c:catAx>
      <c:valAx>
        <c:axId val="305367296"/>
        <c:scaling>
          <c:orientation val="minMax"/>
          <c:min val="25"/>
        </c:scaling>
        <c:delete val="0"/>
        <c:axPos val="l"/>
        <c:majorGridlines>
          <c:spPr>
            <a:ln w="3175">
              <a:solidFill>
                <a:schemeClr val="bg1">
                  <a:lumMod val="85000"/>
                </a:schemeClr>
              </a:solidFill>
            </a:ln>
          </c:spPr>
        </c:majorGridlines>
        <c:numFmt formatCode="#\ ##0" sourceLinked="0"/>
        <c:majorTickMark val="in"/>
        <c:minorTickMark val="none"/>
        <c:tickLblPos val="nextTo"/>
        <c:spPr>
          <a:ln w="6350">
            <a:solidFill>
              <a:schemeClr val="bg1">
                <a:lumMod val="50000"/>
              </a:schemeClr>
            </a:solidFill>
            <a:prstDash val="solid"/>
          </a:ln>
        </c:spPr>
        <c:crossAx val="305239168"/>
        <c:crosses val="autoZero"/>
        <c:crossBetween val="midCat"/>
        <c:majorUnit val="2"/>
      </c:valAx>
      <c:spPr>
        <a:noFill/>
        <a:ln w="25400">
          <a:noFill/>
        </a:ln>
      </c:spPr>
    </c:plotArea>
    <c:legend>
      <c:legendPos val="b"/>
      <c:layout>
        <c:manualLayout>
          <c:xMode val="edge"/>
          <c:yMode val="edge"/>
          <c:x val="1.460243599649272E-2"/>
          <c:y val="0.74143819850139692"/>
          <c:w val="0.95544559468137547"/>
          <c:h val="0.25675522288544578"/>
        </c:manualLayout>
      </c:layout>
      <c:overlay val="0"/>
    </c:legend>
    <c:plotVisOnly val="1"/>
    <c:dispBlanksAs val="gap"/>
    <c:showDLblsOverMax val="0"/>
  </c:chart>
  <c:spPr>
    <a:noFill/>
    <a:ln w="9525">
      <a:noFill/>
    </a:ln>
  </c:spPr>
  <c:txPr>
    <a:bodyPr/>
    <a:lstStyle/>
    <a:p>
      <a:pPr>
        <a:defRPr sz="900">
          <a:solidFill>
            <a:sysClr val="windowText" lastClr="000000"/>
          </a:solidFill>
        </a:defRPr>
      </a:pPr>
      <a:endParaRPr lang="bg-BG"/>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498218334953035E-2"/>
          <c:y val="5.4033609030894859E-2"/>
          <c:w val="0.88460842566547782"/>
          <c:h val="0.84706392798009222"/>
        </c:manualLayout>
      </c:layout>
      <c:areaChart>
        <c:grouping val="stacked"/>
        <c:varyColors val="0"/>
        <c:ser>
          <c:idx val="0"/>
          <c:order val="0"/>
          <c:spPr>
            <a:noFill/>
            <a:ln w="25400">
              <a:noFill/>
              <a:prstDash val="solid"/>
            </a:ln>
            <a:effectLst/>
          </c:spPr>
          <c:cat>
            <c:numRef>
              <c:f>'fan chart'!$R$52:$AC$52</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chart'!$AE$42:$AP$42</c:f>
              <c:numCache>
                <c:formatCode>0.0</c:formatCode>
                <c:ptCount val="12"/>
                <c:pt idx="0">
                  <c:v>24.678559186379029</c:v>
                </c:pt>
                <c:pt idx="1">
                  <c:v>25.06812363810802</c:v>
                </c:pt>
                <c:pt idx="2">
                  <c:v>21.210031594087045</c:v>
                </c:pt>
                <c:pt idx="3">
                  <c:v>21.530618145812408</c:v>
                </c:pt>
                <c:pt idx="4">
                  <c:v>21.769694150239925</c:v>
                </c:pt>
                <c:pt idx="5">
                  <c:v>21.742374323514088</c:v>
                </c:pt>
                <c:pt idx="6">
                  <c:v>21.116504966428359</c:v>
                </c:pt>
                <c:pt idx="7">
                  <c:v>21.402623188300872</c:v>
                </c:pt>
                <c:pt idx="8">
                  <c:v>20.785001273304413</c:v>
                </c:pt>
                <c:pt idx="9">
                  <c:v>20.296845385732393</c:v>
                </c:pt>
                <c:pt idx="10">
                  <c:v>19.486057022598686</c:v>
                </c:pt>
                <c:pt idx="11">
                  <c:v>20.758405141389542</c:v>
                </c:pt>
              </c:numCache>
            </c:numRef>
          </c:val>
          <c:extLst>
            <c:ext xmlns:c16="http://schemas.microsoft.com/office/drawing/2014/chart" uri="{C3380CC4-5D6E-409C-BE32-E72D297353CC}">
              <c16:uniqueId val="{00000000-F855-400D-A7D5-EC389D31D4C8}"/>
            </c:ext>
          </c:extLst>
        </c:ser>
        <c:ser>
          <c:idx val="2"/>
          <c:order val="1"/>
          <c:tx>
            <c:strRef>
              <c:f>'fan chart'!$AQ$43</c:f>
              <c:strCache>
                <c:ptCount val="1"/>
                <c:pt idx="0">
                  <c:v>10ти-25ти</c:v>
                </c:pt>
              </c:strCache>
            </c:strRef>
          </c:tx>
          <c:spPr>
            <a:solidFill>
              <a:schemeClr val="accent5">
                <a:lumMod val="40000"/>
                <a:lumOff val="60000"/>
              </a:schemeClr>
            </a:solidFill>
            <a:ln w="25400">
              <a:noFill/>
              <a:prstDash val="solid"/>
            </a:ln>
            <a:effectLst/>
          </c:spPr>
          <c:cat>
            <c:numRef>
              <c:f>'fan chart'!$R$52:$AC$52</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chart'!$AE$43:$AP$43</c:f>
              <c:numCache>
                <c:formatCode>0.0</c:formatCode>
                <c:ptCount val="12"/>
                <c:pt idx="0">
                  <c:v>0</c:v>
                </c:pt>
                <c:pt idx="1">
                  <c:v>0</c:v>
                </c:pt>
                <c:pt idx="2">
                  <c:v>2.0999643994401849</c:v>
                </c:pt>
                <c:pt idx="3">
                  <c:v>2.7669655897165497</c:v>
                </c:pt>
                <c:pt idx="4">
                  <c:v>3.0126439255007629</c:v>
                </c:pt>
                <c:pt idx="5">
                  <c:v>3.6515487112296214</c:v>
                </c:pt>
                <c:pt idx="6">
                  <c:v>4.9681986959862225</c:v>
                </c:pt>
                <c:pt idx="7">
                  <c:v>5.1288712866231876</c:v>
                </c:pt>
                <c:pt idx="8">
                  <c:v>5.8349941702424548</c:v>
                </c:pt>
                <c:pt idx="9">
                  <c:v>6.4412579723063859</c:v>
                </c:pt>
                <c:pt idx="10">
                  <c:v>7.5545192452919796</c:v>
                </c:pt>
                <c:pt idx="11">
                  <c:v>6.5741556875608449</c:v>
                </c:pt>
              </c:numCache>
            </c:numRef>
          </c:val>
          <c:extLst>
            <c:ext xmlns:c16="http://schemas.microsoft.com/office/drawing/2014/chart" uri="{C3380CC4-5D6E-409C-BE32-E72D297353CC}">
              <c16:uniqueId val="{00000001-F855-400D-A7D5-EC389D31D4C8}"/>
            </c:ext>
          </c:extLst>
        </c:ser>
        <c:ser>
          <c:idx val="3"/>
          <c:order val="2"/>
          <c:tx>
            <c:v>25ти-75ти</c:v>
          </c:tx>
          <c:spPr>
            <a:solidFill>
              <a:srgbClr val="79C1D5"/>
            </a:solidFill>
            <a:ln w="25400">
              <a:noFill/>
              <a:prstDash val="solid"/>
            </a:ln>
            <a:effectLst/>
          </c:spPr>
          <c:cat>
            <c:numRef>
              <c:f>'fan chart'!$R$52:$AC$52</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chart'!$AE$44:$AP$44</c:f>
              <c:numCache>
                <c:formatCode>0.0</c:formatCode>
                <c:ptCount val="12"/>
                <c:pt idx="0">
                  <c:v>0</c:v>
                </c:pt>
                <c:pt idx="1">
                  <c:v>0</c:v>
                </c:pt>
                <c:pt idx="2">
                  <c:v>2.1318375723429344</c:v>
                </c:pt>
                <c:pt idx="3">
                  <c:v>3.3098324197407463</c:v>
                </c:pt>
                <c:pt idx="4">
                  <c:v>4.2808543307712412</c:v>
                </c:pt>
                <c:pt idx="5">
                  <c:v>4.6682792302211729</c:v>
                </c:pt>
                <c:pt idx="6">
                  <c:v>4.8542473068972409</c:v>
                </c:pt>
                <c:pt idx="7">
                  <c:v>5.2120296315143868</c:v>
                </c:pt>
                <c:pt idx="8">
                  <c:v>5.7729564739991188</c:v>
                </c:pt>
                <c:pt idx="9">
                  <c:v>7.1022671961127548</c:v>
                </c:pt>
                <c:pt idx="10">
                  <c:v>7.9526805837505652</c:v>
                </c:pt>
                <c:pt idx="11">
                  <c:v>8.0583596578258252</c:v>
                </c:pt>
              </c:numCache>
            </c:numRef>
          </c:val>
          <c:extLst>
            <c:ext xmlns:c16="http://schemas.microsoft.com/office/drawing/2014/chart" uri="{C3380CC4-5D6E-409C-BE32-E72D297353CC}">
              <c16:uniqueId val="{00000002-F855-400D-A7D5-EC389D31D4C8}"/>
            </c:ext>
          </c:extLst>
        </c:ser>
        <c:ser>
          <c:idx val="4"/>
          <c:order val="3"/>
          <c:tx>
            <c:strRef>
              <c:f>'fan chart'!$AQ$45</c:f>
              <c:strCache>
                <c:ptCount val="1"/>
                <c:pt idx="0">
                  <c:v>50ти-75ти</c:v>
                </c:pt>
              </c:strCache>
            </c:strRef>
          </c:tx>
          <c:spPr>
            <a:solidFill>
              <a:srgbClr val="79C1D5"/>
            </a:solidFill>
            <a:ln w="25400">
              <a:noFill/>
              <a:prstDash val="solid"/>
            </a:ln>
            <a:effectLst/>
          </c:spPr>
          <c:cat>
            <c:numRef>
              <c:f>'fan chart'!$R$52:$AC$52</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chart'!$AE$45:$AP$45</c:f>
              <c:numCache>
                <c:formatCode>0.0</c:formatCode>
                <c:ptCount val="12"/>
                <c:pt idx="0">
                  <c:v>0</c:v>
                </c:pt>
                <c:pt idx="1">
                  <c:v>0</c:v>
                </c:pt>
                <c:pt idx="2">
                  <c:v>2.4057211019424543</c:v>
                </c:pt>
                <c:pt idx="3">
                  <c:v>3.1977083749058002</c:v>
                </c:pt>
                <c:pt idx="4">
                  <c:v>3.8688593641573901</c:v>
                </c:pt>
                <c:pt idx="5">
                  <c:v>5.2587467732548907</c:v>
                </c:pt>
                <c:pt idx="6">
                  <c:v>6.0920666660254144</c:v>
                </c:pt>
                <c:pt idx="7">
                  <c:v>6.9412075525499164</c:v>
                </c:pt>
                <c:pt idx="8">
                  <c:v>6.8073445391955811</c:v>
                </c:pt>
                <c:pt idx="9">
                  <c:v>7.1687586628833513</c:v>
                </c:pt>
                <c:pt idx="10">
                  <c:v>7.0327392419797183</c:v>
                </c:pt>
                <c:pt idx="11">
                  <c:v>8.3816940132057152</c:v>
                </c:pt>
              </c:numCache>
            </c:numRef>
          </c:val>
          <c:extLst>
            <c:ext xmlns:c16="http://schemas.microsoft.com/office/drawing/2014/chart" uri="{C3380CC4-5D6E-409C-BE32-E72D297353CC}">
              <c16:uniqueId val="{00000003-F855-400D-A7D5-EC389D31D4C8}"/>
            </c:ext>
          </c:extLst>
        </c:ser>
        <c:ser>
          <c:idx val="5"/>
          <c:order val="4"/>
          <c:tx>
            <c:strRef>
              <c:f>'fan chart'!$AQ$46</c:f>
              <c:strCache>
                <c:ptCount val="1"/>
                <c:pt idx="0">
                  <c:v>75ти-90ти</c:v>
                </c:pt>
              </c:strCache>
            </c:strRef>
          </c:tx>
          <c:spPr>
            <a:solidFill>
              <a:schemeClr val="accent5">
                <a:lumMod val="40000"/>
                <a:lumOff val="60000"/>
              </a:schemeClr>
            </a:solidFill>
            <a:ln w="25400">
              <a:noFill/>
              <a:prstDash val="solid"/>
            </a:ln>
            <a:effectLst/>
          </c:spPr>
          <c:cat>
            <c:numRef>
              <c:f>'fan chart'!$R$52:$AC$52</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chart'!$AE$46:$AP$46</c:f>
              <c:numCache>
                <c:formatCode>0.0</c:formatCode>
                <c:ptCount val="12"/>
                <c:pt idx="0">
                  <c:v>0</c:v>
                </c:pt>
                <c:pt idx="1">
                  <c:v>0</c:v>
                </c:pt>
                <c:pt idx="2">
                  <c:v>2.2327403276331759</c:v>
                </c:pt>
                <c:pt idx="3">
                  <c:v>3.3144318825319488</c:v>
                </c:pt>
                <c:pt idx="4">
                  <c:v>4.2677869285528578</c:v>
                </c:pt>
                <c:pt idx="5">
                  <c:v>4.7552154195230738</c:v>
                </c:pt>
                <c:pt idx="6">
                  <c:v>5.0600908932409041</c:v>
                </c:pt>
                <c:pt idx="7">
                  <c:v>5.7714031630026419</c:v>
                </c:pt>
                <c:pt idx="8">
                  <c:v>6.524054181139471</c:v>
                </c:pt>
                <c:pt idx="9">
                  <c:v>6.9377941874900317</c:v>
                </c:pt>
                <c:pt idx="10">
                  <c:v>8.5383325804794747</c:v>
                </c:pt>
                <c:pt idx="11">
                  <c:v>7.9699306673593098</c:v>
                </c:pt>
              </c:numCache>
            </c:numRef>
          </c:val>
          <c:extLst>
            <c:ext xmlns:c16="http://schemas.microsoft.com/office/drawing/2014/chart" uri="{C3380CC4-5D6E-409C-BE32-E72D297353CC}">
              <c16:uniqueId val="{00000004-F855-400D-A7D5-EC389D31D4C8}"/>
            </c:ext>
          </c:extLst>
        </c:ser>
        <c:dLbls>
          <c:showLegendKey val="0"/>
          <c:showVal val="0"/>
          <c:showCatName val="0"/>
          <c:showSerName val="0"/>
          <c:showPercent val="0"/>
          <c:showBubbleSize val="0"/>
        </c:dLbls>
        <c:axId val="313851264"/>
        <c:axId val="314913920"/>
      </c:areaChart>
      <c:lineChart>
        <c:grouping val="standard"/>
        <c:varyColors val="0"/>
        <c:ser>
          <c:idx val="1"/>
          <c:order val="5"/>
          <c:tx>
            <c:v>Baseline debt</c:v>
          </c:tx>
          <c:spPr>
            <a:ln w="38100">
              <a:solidFill>
                <a:schemeClr val="tx1"/>
              </a:solidFill>
            </a:ln>
          </c:spPr>
          <c:marker>
            <c:symbol val="none"/>
          </c:marker>
          <c:cat>
            <c:numRef>
              <c:f>'fan chart'!$R$52:$V$52</c:f>
              <c:numCache>
                <c:formatCode>General</c:formatCode>
                <c:ptCount val="5"/>
                <c:pt idx="0">
                  <c:v>2020</c:v>
                </c:pt>
                <c:pt idx="1">
                  <c:v>2021</c:v>
                </c:pt>
                <c:pt idx="2">
                  <c:v>2022</c:v>
                </c:pt>
                <c:pt idx="3">
                  <c:v>2023</c:v>
                </c:pt>
                <c:pt idx="4">
                  <c:v>2024</c:v>
                </c:pt>
              </c:numCache>
            </c:numRef>
          </c:cat>
          <c:val>
            <c:numRef>
              <c:f>'fan chart'!$R$53:$AC$53</c:f>
              <c:numCache>
                <c:formatCode>0.0</c:formatCode>
                <c:ptCount val="12"/>
                <c:pt idx="0">
                  <c:v>24.678559186379029</c:v>
                </c:pt>
                <c:pt idx="1">
                  <c:v>25.06812363810802</c:v>
                </c:pt>
                <c:pt idx="2">
                  <c:v>25.527898363450024</c:v>
                </c:pt>
                <c:pt idx="3">
                  <c:v>27.731419336377446</c:v>
                </c:pt>
                <c:pt idx="4">
                  <c:v>29.076123150577892</c:v>
                </c:pt>
                <c:pt idx="5">
                  <c:v>30.372760071959782</c:v>
                </c:pt>
                <c:pt idx="6">
                  <c:v>31.313691918205336</c:v>
                </c:pt>
                <c:pt idx="7">
                  <c:v>32.207521975308353</c:v>
                </c:pt>
                <c:pt idx="8">
                  <c:v>33.027621646120913</c:v>
                </c:pt>
                <c:pt idx="9">
                  <c:v>33.853032649410942</c:v>
                </c:pt>
                <c:pt idx="10">
                  <c:v>34.727324291593717</c:v>
                </c:pt>
                <c:pt idx="11">
                  <c:v>35.547403784914422</c:v>
                </c:pt>
              </c:numCache>
            </c:numRef>
          </c:val>
          <c:smooth val="0"/>
          <c:extLst>
            <c:ext xmlns:c16="http://schemas.microsoft.com/office/drawing/2014/chart" uri="{C3380CC4-5D6E-409C-BE32-E72D297353CC}">
              <c16:uniqueId val="{00000005-F855-400D-A7D5-EC389D31D4C8}"/>
            </c:ext>
          </c:extLst>
        </c:ser>
        <c:dLbls>
          <c:showLegendKey val="0"/>
          <c:showVal val="0"/>
          <c:showCatName val="0"/>
          <c:showSerName val="0"/>
          <c:showPercent val="0"/>
          <c:showBubbleSize val="0"/>
        </c:dLbls>
        <c:marker val="1"/>
        <c:smooth val="0"/>
        <c:axId val="313851264"/>
        <c:axId val="314913920"/>
      </c:lineChart>
      <c:catAx>
        <c:axId val="313851264"/>
        <c:scaling>
          <c:orientation val="minMax"/>
        </c:scaling>
        <c:delete val="0"/>
        <c:axPos val="b"/>
        <c:numFmt formatCode="General" sourceLinked="1"/>
        <c:majorTickMark val="in"/>
        <c:minorTickMark val="none"/>
        <c:tickLblPos val="low"/>
        <c:spPr>
          <a:ln w="6350">
            <a:solidFill>
              <a:srgbClr val="C0C0C0"/>
            </a:solidFill>
            <a:prstDash val="solid"/>
          </a:ln>
        </c:spPr>
        <c:txPr>
          <a:bodyPr rot="0" vert="horz"/>
          <a:lstStyle/>
          <a:p>
            <a:pPr>
              <a:defRPr sz="700"/>
            </a:pPr>
            <a:endParaRPr lang="bg-BG"/>
          </a:p>
        </c:txPr>
        <c:crossAx val="314913920"/>
        <c:crosses val="autoZero"/>
        <c:auto val="1"/>
        <c:lblAlgn val="ctr"/>
        <c:lblOffset val="100"/>
        <c:tickLblSkip val="1"/>
        <c:tickMarkSkip val="1"/>
        <c:noMultiLvlLbl val="0"/>
      </c:catAx>
      <c:valAx>
        <c:axId val="314913920"/>
        <c:scaling>
          <c:orientation val="minMax"/>
          <c:max val="70"/>
        </c:scaling>
        <c:delete val="0"/>
        <c:axPos val="l"/>
        <c:numFmt formatCode="#,##0" sourceLinked="0"/>
        <c:majorTickMark val="in"/>
        <c:minorTickMark val="none"/>
        <c:tickLblPos val="nextTo"/>
        <c:spPr>
          <a:ln w="6350">
            <a:solidFill>
              <a:sysClr val="window" lastClr="FFFFFF">
                <a:lumMod val="50000"/>
              </a:sysClr>
            </a:solidFill>
            <a:prstDash val="solid"/>
          </a:ln>
        </c:spPr>
        <c:txPr>
          <a:bodyPr rot="0" vert="horz"/>
          <a:lstStyle/>
          <a:p>
            <a:pPr>
              <a:defRPr sz="700"/>
            </a:pPr>
            <a:endParaRPr lang="bg-BG"/>
          </a:p>
        </c:txPr>
        <c:crossAx val="313851264"/>
        <c:crosses val="autoZero"/>
        <c:crossBetween val="midCat"/>
      </c:valAx>
      <c:spPr>
        <a:noFill/>
        <a:ln w="25400">
          <a:noFill/>
          <a:prstDash val="solid"/>
        </a:ln>
      </c:spPr>
    </c:plotArea>
    <c:legend>
      <c:legendPos val="t"/>
      <c:legendEntry>
        <c:idx val="0"/>
        <c:delete val="1"/>
      </c:legendEntry>
      <c:legendEntry>
        <c:idx val="3"/>
        <c:delete val="1"/>
      </c:legendEntry>
      <c:legendEntry>
        <c:idx val="5"/>
        <c:delete val="1"/>
      </c:legendEntry>
      <c:layout>
        <c:manualLayout>
          <c:xMode val="edge"/>
          <c:yMode val="edge"/>
          <c:x val="0.27381374671725245"/>
          <c:y val="0.74746354255832415"/>
          <c:w val="0.64755831683178344"/>
          <c:h val="6.674433437755764E-2"/>
        </c:manualLayout>
      </c:layout>
      <c:overlay val="0"/>
    </c:legend>
    <c:plotVisOnly val="1"/>
    <c:dispBlanksAs val="zero"/>
    <c:showDLblsOverMax val="0"/>
  </c:chart>
  <c:spPr>
    <a:noFill/>
    <a:ln w="25400">
      <a:noFill/>
    </a:ln>
  </c:spPr>
  <c:txPr>
    <a:bodyPr/>
    <a:lstStyle/>
    <a:p>
      <a:pPr>
        <a:defRPr sz="800" b="0" i="0" u="none" strike="noStrike" baseline="0">
          <a:solidFill>
            <a:srgbClr val="000000"/>
          </a:solidFill>
          <a:latin typeface="+mn-lt"/>
          <a:ea typeface="Times New Roman"/>
          <a:cs typeface="Times New Roman"/>
        </a:defRPr>
      </a:pPr>
      <a:endParaRPr lang="bg-BG"/>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358308712387678E-2"/>
          <c:y val="5.5542851305263465E-2"/>
          <c:w val="0.8603179574174884"/>
          <c:h val="0.84543690465658106"/>
        </c:manualLayout>
      </c:layout>
      <c:areaChart>
        <c:grouping val="stacked"/>
        <c:varyColors val="0"/>
        <c:ser>
          <c:idx val="0"/>
          <c:order val="0"/>
          <c:spPr>
            <a:noFill/>
            <a:ln w="25400">
              <a:noFill/>
              <a:prstDash val="solid"/>
            </a:ln>
            <a:effectLst/>
          </c:spPr>
          <c:cat>
            <c:numRef>
              <c:f>'fan chart'!$BL$41:$BW$41</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chart'!$BL$42:$BW$42</c:f>
              <c:numCache>
                <c:formatCode>0.0</c:formatCode>
                <c:ptCount val="12"/>
                <c:pt idx="0">
                  <c:v>24.678559186379029</c:v>
                </c:pt>
                <c:pt idx="1">
                  <c:v>25.06812363810802</c:v>
                </c:pt>
                <c:pt idx="2">
                  <c:v>24.574329943533442</c:v>
                </c:pt>
                <c:pt idx="3">
                  <c:v>26.33249589582088</c:v>
                </c:pt>
                <c:pt idx="4">
                  <c:v>27.78166035166101</c:v>
                </c:pt>
                <c:pt idx="5">
                  <c:v>29.191099267499158</c:v>
                </c:pt>
                <c:pt idx="6">
                  <c:v>30.639816300403467</c:v>
                </c:pt>
                <c:pt idx="7">
                  <c:v>31.645727136497197</c:v>
                </c:pt>
                <c:pt idx="8">
                  <c:v>32.882779100216503</c:v>
                </c:pt>
                <c:pt idx="9">
                  <c:v>34.111877647059302</c:v>
                </c:pt>
                <c:pt idx="10">
                  <c:v>35.234160875427939</c:v>
                </c:pt>
                <c:pt idx="11">
                  <c:v>36.688650850296689</c:v>
                </c:pt>
              </c:numCache>
            </c:numRef>
          </c:val>
          <c:extLst>
            <c:ext xmlns:c16="http://schemas.microsoft.com/office/drawing/2014/chart" uri="{C3380CC4-5D6E-409C-BE32-E72D297353CC}">
              <c16:uniqueId val="{00000000-49C9-4FD8-A9CA-0EDF4F74E5A2}"/>
            </c:ext>
          </c:extLst>
        </c:ser>
        <c:ser>
          <c:idx val="2"/>
          <c:order val="1"/>
          <c:tx>
            <c:strRef>
              <c:f>'fan chart'!$AQ$43</c:f>
              <c:strCache>
                <c:ptCount val="1"/>
                <c:pt idx="0">
                  <c:v>10ти-25ти</c:v>
                </c:pt>
              </c:strCache>
            </c:strRef>
          </c:tx>
          <c:spPr>
            <a:solidFill>
              <a:schemeClr val="accent5">
                <a:lumMod val="40000"/>
                <a:lumOff val="60000"/>
              </a:schemeClr>
            </a:solidFill>
            <a:ln w="25400">
              <a:noFill/>
              <a:prstDash val="solid"/>
            </a:ln>
            <a:effectLst/>
          </c:spPr>
          <c:cat>
            <c:numRef>
              <c:f>'fan chart'!$BL$41:$BW$41</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chart'!$BL$43:$BW$43</c:f>
              <c:numCache>
                <c:formatCode>0.0</c:formatCode>
                <c:ptCount val="12"/>
                <c:pt idx="0">
                  <c:v>0</c:v>
                </c:pt>
                <c:pt idx="1">
                  <c:v>0</c:v>
                </c:pt>
                <c:pt idx="2">
                  <c:v>0.35093117507180305</c:v>
                </c:pt>
                <c:pt idx="3">
                  <c:v>0.95518398413234618</c:v>
                </c:pt>
                <c:pt idx="4">
                  <c:v>1.5642042445536575</c:v>
                </c:pt>
                <c:pt idx="5">
                  <c:v>2.1075693751797742</c:v>
                </c:pt>
                <c:pt idx="6">
                  <c:v>2.2293606994800763</c:v>
                </c:pt>
                <c:pt idx="7">
                  <c:v>3.0958829347306152</c:v>
                </c:pt>
                <c:pt idx="8">
                  <c:v>3.1245618569772757</c:v>
                </c:pt>
                <c:pt idx="9">
                  <c:v>3.6829742141300583</c:v>
                </c:pt>
                <c:pt idx="10">
                  <c:v>4.2992852125006751</c:v>
                </c:pt>
                <c:pt idx="11">
                  <c:v>4.3992567529683724</c:v>
                </c:pt>
              </c:numCache>
            </c:numRef>
          </c:val>
          <c:extLst>
            <c:ext xmlns:c16="http://schemas.microsoft.com/office/drawing/2014/chart" uri="{C3380CC4-5D6E-409C-BE32-E72D297353CC}">
              <c16:uniqueId val="{00000001-49C9-4FD8-A9CA-0EDF4F74E5A2}"/>
            </c:ext>
          </c:extLst>
        </c:ser>
        <c:ser>
          <c:idx val="3"/>
          <c:order val="2"/>
          <c:tx>
            <c:strRef>
              <c:f>'fan chart'!$AQ$44</c:f>
              <c:strCache>
                <c:ptCount val="1"/>
                <c:pt idx="0">
                  <c:v>25ти-50ти</c:v>
                </c:pt>
              </c:strCache>
            </c:strRef>
          </c:tx>
          <c:spPr>
            <a:solidFill>
              <a:srgbClr val="79C1D5"/>
            </a:solidFill>
            <a:ln w="25400">
              <a:noFill/>
              <a:prstDash val="solid"/>
            </a:ln>
            <a:effectLst/>
          </c:spPr>
          <c:cat>
            <c:numRef>
              <c:f>'fan chart'!$BL$41:$BW$41</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chart'!$BL$44:$BW$44</c:f>
              <c:numCache>
                <c:formatCode>0.0</c:formatCode>
                <c:ptCount val="12"/>
                <c:pt idx="0">
                  <c:v>0</c:v>
                </c:pt>
                <c:pt idx="1">
                  <c:v>0</c:v>
                </c:pt>
                <c:pt idx="2">
                  <c:v>0.89063023065434344</c:v>
                </c:pt>
                <c:pt idx="3">
                  <c:v>1.9162139340199114</c:v>
                </c:pt>
                <c:pt idx="4">
                  <c:v>2.6042467075311881</c:v>
                </c:pt>
                <c:pt idx="5">
                  <c:v>2.9929376954852871</c:v>
                </c:pt>
                <c:pt idx="6">
                  <c:v>3.4510661561844183</c:v>
                </c:pt>
                <c:pt idx="7">
                  <c:v>3.7693203073258239</c:v>
                </c:pt>
                <c:pt idx="8">
                  <c:v>4.4523953153501274</c:v>
                </c:pt>
                <c:pt idx="9">
                  <c:v>4.5565872591392438</c:v>
                </c:pt>
                <c:pt idx="10">
                  <c:v>4.808586621054328</c:v>
                </c:pt>
                <c:pt idx="11">
                  <c:v>5.5316575731225832</c:v>
                </c:pt>
              </c:numCache>
            </c:numRef>
          </c:val>
          <c:extLst>
            <c:ext xmlns:c16="http://schemas.microsoft.com/office/drawing/2014/chart" uri="{C3380CC4-5D6E-409C-BE32-E72D297353CC}">
              <c16:uniqueId val="{00000002-49C9-4FD8-A9CA-0EDF4F74E5A2}"/>
            </c:ext>
          </c:extLst>
        </c:ser>
        <c:ser>
          <c:idx val="4"/>
          <c:order val="3"/>
          <c:tx>
            <c:strRef>
              <c:f>'fan chart'!$AQ$45</c:f>
              <c:strCache>
                <c:ptCount val="1"/>
                <c:pt idx="0">
                  <c:v>50ти-75ти</c:v>
                </c:pt>
              </c:strCache>
            </c:strRef>
          </c:tx>
          <c:spPr>
            <a:solidFill>
              <a:srgbClr val="79C1D5"/>
            </a:solidFill>
            <a:ln w="25400">
              <a:noFill/>
              <a:prstDash val="solid"/>
            </a:ln>
            <a:effectLst/>
          </c:spPr>
          <c:cat>
            <c:numRef>
              <c:f>'fan chart'!$BL$41:$BW$41</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chart'!$BL$45:$BW$45</c:f>
              <c:numCache>
                <c:formatCode>0.0</c:formatCode>
                <c:ptCount val="12"/>
                <c:pt idx="0">
                  <c:v>0</c:v>
                </c:pt>
                <c:pt idx="1">
                  <c:v>0</c:v>
                </c:pt>
                <c:pt idx="2">
                  <c:v>2.0566141880805855</c:v>
                </c:pt>
                <c:pt idx="3">
                  <c:v>2.6910629125482699</c:v>
                </c:pt>
                <c:pt idx="4">
                  <c:v>2.8576795283017042</c:v>
                </c:pt>
                <c:pt idx="5">
                  <c:v>3.6501522600187908</c:v>
                </c:pt>
                <c:pt idx="6">
                  <c:v>4.3827529639039682</c:v>
                </c:pt>
                <c:pt idx="7">
                  <c:v>4.2991233245165077</c:v>
                </c:pt>
                <c:pt idx="8">
                  <c:v>4.5914142927096115</c:v>
                </c:pt>
                <c:pt idx="9">
                  <c:v>5.5929458073730061</c:v>
                </c:pt>
                <c:pt idx="10">
                  <c:v>6.072950676188543</c:v>
                </c:pt>
                <c:pt idx="11">
                  <c:v>6.4463280962616327</c:v>
                </c:pt>
              </c:numCache>
            </c:numRef>
          </c:val>
          <c:extLst>
            <c:ext xmlns:c16="http://schemas.microsoft.com/office/drawing/2014/chart" uri="{C3380CC4-5D6E-409C-BE32-E72D297353CC}">
              <c16:uniqueId val="{00000003-49C9-4FD8-A9CA-0EDF4F74E5A2}"/>
            </c:ext>
          </c:extLst>
        </c:ser>
        <c:ser>
          <c:idx val="5"/>
          <c:order val="4"/>
          <c:tx>
            <c:strRef>
              <c:f>'fan chart'!$AQ$46</c:f>
              <c:strCache>
                <c:ptCount val="1"/>
                <c:pt idx="0">
                  <c:v>75ти-90ти</c:v>
                </c:pt>
              </c:strCache>
            </c:strRef>
          </c:tx>
          <c:spPr>
            <a:solidFill>
              <a:schemeClr val="accent5">
                <a:lumMod val="40000"/>
                <a:lumOff val="60000"/>
              </a:schemeClr>
            </a:solidFill>
            <a:ln w="25400">
              <a:noFill/>
              <a:prstDash val="solid"/>
            </a:ln>
            <a:effectLst/>
          </c:spPr>
          <c:cat>
            <c:numRef>
              <c:f>'fan chart'!$BL$41:$BW$41</c:f>
              <c:numCache>
                <c:formatCode>General</c:formatCode>
                <c:ptCount val="12"/>
                <c:pt idx="0">
                  <c:v>2020</c:v>
                </c:pt>
                <c:pt idx="1">
                  <c:v>2021</c:v>
                </c:pt>
                <c:pt idx="2">
                  <c:v>2022</c:v>
                </c:pt>
                <c:pt idx="3">
                  <c:v>2023</c:v>
                </c:pt>
                <c:pt idx="4">
                  <c:v>2024</c:v>
                </c:pt>
                <c:pt idx="5">
                  <c:v>2025</c:v>
                </c:pt>
                <c:pt idx="6">
                  <c:v>2026</c:v>
                </c:pt>
                <c:pt idx="7">
                  <c:v>2027</c:v>
                </c:pt>
                <c:pt idx="8">
                  <c:v>2028</c:v>
                </c:pt>
                <c:pt idx="9">
                  <c:v>2029</c:v>
                </c:pt>
                <c:pt idx="10">
                  <c:v>2030</c:v>
                </c:pt>
                <c:pt idx="11">
                  <c:v>2031</c:v>
                </c:pt>
              </c:numCache>
            </c:numRef>
          </c:cat>
          <c:val>
            <c:numRef>
              <c:f>'fan chart'!$BL$46:$BW$46</c:f>
              <c:numCache>
                <c:formatCode>0.0</c:formatCode>
                <c:ptCount val="12"/>
                <c:pt idx="0">
                  <c:v>0</c:v>
                </c:pt>
                <c:pt idx="1">
                  <c:v>0</c:v>
                </c:pt>
                <c:pt idx="2">
                  <c:v>2.2077894581056192</c:v>
                </c:pt>
                <c:pt idx="3">
                  <c:v>2.6239129124783989</c:v>
                </c:pt>
                <c:pt idx="4">
                  <c:v>3.1815587869896413</c:v>
                </c:pt>
                <c:pt idx="5">
                  <c:v>4.0463093269637982</c:v>
                </c:pt>
                <c:pt idx="6">
                  <c:v>4.3919222892640661</c:v>
                </c:pt>
                <c:pt idx="7">
                  <c:v>5.1254687910198662</c:v>
                </c:pt>
                <c:pt idx="8">
                  <c:v>5.4764731894974776</c:v>
                </c:pt>
                <c:pt idx="9">
                  <c:v>5.955444015001687</c:v>
                </c:pt>
                <c:pt idx="10">
                  <c:v>6.13465981954805</c:v>
                </c:pt>
                <c:pt idx="11">
                  <c:v>5.6322971699322544</c:v>
                </c:pt>
              </c:numCache>
            </c:numRef>
          </c:val>
          <c:extLst>
            <c:ext xmlns:c16="http://schemas.microsoft.com/office/drawing/2014/chart" uri="{C3380CC4-5D6E-409C-BE32-E72D297353CC}">
              <c16:uniqueId val="{00000004-49C9-4FD8-A9CA-0EDF4F74E5A2}"/>
            </c:ext>
          </c:extLst>
        </c:ser>
        <c:dLbls>
          <c:showLegendKey val="0"/>
          <c:showVal val="0"/>
          <c:showCatName val="0"/>
          <c:showSerName val="0"/>
          <c:showPercent val="0"/>
          <c:showBubbleSize val="0"/>
        </c:dLbls>
        <c:axId val="316229504"/>
        <c:axId val="316231040"/>
      </c:areaChart>
      <c:lineChart>
        <c:grouping val="standard"/>
        <c:varyColors val="0"/>
        <c:ser>
          <c:idx val="1"/>
          <c:order val="5"/>
          <c:tx>
            <c:v>Baseline debt</c:v>
          </c:tx>
          <c:spPr>
            <a:ln w="38100">
              <a:solidFill>
                <a:schemeClr val="tx1"/>
              </a:solidFill>
            </a:ln>
          </c:spPr>
          <c:marker>
            <c:symbol val="none"/>
          </c:marker>
          <c:cat>
            <c:numRef>
              <c:f>'[3]fan chart'!$R$52:$Y$52</c:f>
              <c:numCache>
                <c:formatCode>General</c:formatCode>
                <c:ptCount val="8"/>
                <c:pt idx="0">
                  <c:v>2011</c:v>
                </c:pt>
                <c:pt idx="1">
                  <c:v>2012</c:v>
                </c:pt>
                <c:pt idx="2">
                  <c:v>2013</c:v>
                </c:pt>
                <c:pt idx="3">
                  <c:v>2014</c:v>
                </c:pt>
                <c:pt idx="4">
                  <c:v>2015</c:v>
                </c:pt>
                <c:pt idx="5">
                  <c:v>2016</c:v>
                </c:pt>
                <c:pt idx="6">
                  <c:v>2017</c:v>
                </c:pt>
                <c:pt idx="7">
                  <c:v>2018</c:v>
                </c:pt>
              </c:numCache>
            </c:numRef>
          </c:cat>
          <c:val>
            <c:numRef>
              <c:f>'fan chart'!$R$53:$AC$53</c:f>
              <c:numCache>
                <c:formatCode>0.0</c:formatCode>
                <c:ptCount val="12"/>
                <c:pt idx="0">
                  <c:v>24.678559186379029</c:v>
                </c:pt>
                <c:pt idx="1">
                  <c:v>25.06812363810802</c:v>
                </c:pt>
                <c:pt idx="2">
                  <c:v>25.527898363450024</c:v>
                </c:pt>
                <c:pt idx="3">
                  <c:v>27.731419336377446</c:v>
                </c:pt>
                <c:pt idx="4">
                  <c:v>29.076123150577892</c:v>
                </c:pt>
                <c:pt idx="5">
                  <c:v>30.372760071959782</c:v>
                </c:pt>
                <c:pt idx="6">
                  <c:v>31.313691918205336</c:v>
                </c:pt>
                <c:pt idx="7">
                  <c:v>32.207521975308353</c:v>
                </c:pt>
                <c:pt idx="8">
                  <c:v>33.027621646120913</c:v>
                </c:pt>
                <c:pt idx="9">
                  <c:v>33.853032649410942</c:v>
                </c:pt>
                <c:pt idx="10">
                  <c:v>34.727324291593717</c:v>
                </c:pt>
                <c:pt idx="11">
                  <c:v>35.547403784914422</c:v>
                </c:pt>
              </c:numCache>
            </c:numRef>
          </c:val>
          <c:smooth val="0"/>
          <c:extLst>
            <c:ext xmlns:c16="http://schemas.microsoft.com/office/drawing/2014/chart" uri="{C3380CC4-5D6E-409C-BE32-E72D297353CC}">
              <c16:uniqueId val="{00000005-49C9-4FD8-A9CA-0EDF4F74E5A2}"/>
            </c:ext>
          </c:extLst>
        </c:ser>
        <c:dLbls>
          <c:showLegendKey val="0"/>
          <c:showVal val="0"/>
          <c:showCatName val="0"/>
          <c:showSerName val="0"/>
          <c:showPercent val="0"/>
          <c:showBubbleSize val="0"/>
        </c:dLbls>
        <c:marker val="1"/>
        <c:smooth val="0"/>
        <c:axId val="316229504"/>
        <c:axId val="316231040"/>
      </c:lineChart>
      <c:catAx>
        <c:axId val="316229504"/>
        <c:scaling>
          <c:orientation val="minMax"/>
        </c:scaling>
        <c:delete val="0"/>
        <c:axPos val="b"/>
        <c:numFmt formatCode="General" sourceLinked="1"/>
        <c:majorTickMark val="in"/>
        <c:minorTickMark val="none"/>
        <c:tickLblPos val="low"/>
        <c:spPr>
          <a:ln w="6350">
            <a:solidFill>
              <a:srgbClr val="C0C0C0"/>
            </a:solidFill>
            <a:prstDash val="solid"/>
          </a:ln>
        </c:spPr>
        <c:txPr>
          <a:bodyPr rot="0" vert="horz"/>
          <a:lstStyle/>
          <a:p>
            <a:pPr>
              <a:defRPr sz="700"/>
            </a:pPr>
            <a:endParaRPr lang="bg-BG"/>
          </a:p>
        </c:txPr>
        <c:crossAx val="316231040"/>
        <c:crosses val="autoZero"/>
        <c:auto val="1"/>
        <c:lblAlgn val="ctr"/>
        <c:lblOffset val="100"/>
        <c:tickLblSkip val="1"/>
        <c:tickMarkSkip val="1"/>
        <c:noMultiLvlLbl val="0"/>
      </c:catAx>
      <c:valAx>
        <c:axId val="316231040"/>
        <c:scaling>
          <c:orientation val="minMax"/>
        </c:scaling>
        <c:delete val="0"/>
        <c:axPos val="l"/>
        <c:numFmt formatCode="#,##0" sourceLinked="0"/>
        <c:majorTickMark val="in"/>
        <c:minorTickMark val="none"/>
        <c:tickLblPos val="nextTo"/>
        <c:spPr>
          <a:ln w="6350">
            <a:solidFill>
              <a:srgbClr val="C0C0C0"/>
            </a:solidFill>
            <a:prstDash val="solid"/>
          </a:ln>
        </c:spPr>
        <c:txPr>
          <a:bodyPr rot="0" vert="horz"/>
          <a:lstStyle/>
          <a:p>
            <a:pPr>
              <a:defRPr/>
            </a:pPr>
            <a:endParaRPr lang="bg-BG"/>
          </a:p>
        </c:txPr>
        <c:crossAx val="316229504"/>
        <c:crosses val="autoZero"/>
        <c:crossBetween val="midCat"/>
      </c:valAx>
      <c:spPr>
        <a:noFill/>
        <a:ln w="25400">
          <a:noFill/>
          <a:prstDash val="solid"/>
        </a:ln>
      </c:spPr>
    </c:plotArea>
    <c:plotVisOnly val="1"/>
    <c:dispBlanksAs val="zero"/>
    <c:showDLblsOverMax val="0"/>
  </c:chart>
  <c:spPr>
    <a:noFill/>
    <a:ln w="25400">
      <a:noFill/>
    </a:ln>
  </c:spPr>
  <c:txPr>
    <a:bodyPr/>
    <a:lstStyle/>
    <a:p>
      <a:pPr>
        <a:defRPr sz="800" b="0" i="0" u="none" strike="noStrike" baseline="0">
          <a:solidFill>
            <a:srgbClr val="000000"/>
          </a:solidFill>
          <a:latin typeface="+mn-lt"/>
          <a:ea typeface="Times New Roman"/>
          <a:cs typeface="Times New Roman"/>
        </a:defRPr>
      </a:pPr>
      <a:endParaRPr lang="bg-BG"/>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0320579110651496E-2"/>
          <c:y val="2.8851288167292342E-2"/>
          <c:w val="0.88934850051706305"/>
          <c:h val="0.82746147695393502"/>
        </c:manualLayout>
      </c:layout>
      <c:lineChart>
        <c:grouping val="standard"/>
        <c:varyColors val="0"/>
        <c:ser>
          <c:idx val="0"/>
          <c:order val="0"/>
          <c:spPr>
            <a:ln w="22225">
              <a:solidFill>
                <a:srgbClr val="6768AB"/>
              </a:solidFill>
              <a:prstDash val="solid"/>
            </a:ln>
          </c:spPr>
          <c:marker>
            <c:symbol val="none"/>
          </c:marker>
          <c:dLbls>
            <c:dLbl>
              <c:idx val="0"/>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38-47BD-86F1-0A10D57F5288}"/>
                </c:ext>
              </c:extLst>
            </c:dLbl>
            <c:dLbl>
              <c:idx val="39"/>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38-47BD-86F1-0A10D57F5288}"/>
                </c:ext>
              </c:extLst>
            </c:dLbl>
            <c:dLbl>
              <c:idx val="49"/>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38-47BD-86F1-0A10D57F5288}"/>
                </c:ext>
              </c:extLst>
            </c:dLbl>
            <c:spPr>
              <a:solidFill>
                <a:srgbClr val="6768AB"/>
              </a:solidFill>
              <a:ln>
                <a:noFill/>
              </a:ln>
              <a:effectLst/>
            </c:spPr>
            <c:txPr>
              <a:bodyPr wrap="square" lIns="38100" tIns="19050" rIns="38100" bIns="19050" anchor="ctr">
                <a:spAutoFit/>
              </a:bodyPr>
              <a:lstStyle/>
              <a:p>
                <a:pPr>
                  <a:defRPr>
                    <a:solidFill>
                      <a:schemeClr val="bg1"/>
                    </a:solidFill>
                  </a:defRPr>
                </a:pPr>
                <a:endParaRPr lang="bg-BG"/>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3175">
                      <a:solidFill>
                        <a:schemeClr val="bg1">
                          <a:lumMod val="50000"/>
                        </a:schemeClr>
                      </a:solidFill>
                    </a:ln>
                  </c:spPr>
                </c15:leaderLines>
              </c:ext>
            </c:extLst>
          </c:dLbls>
          <c:cat>
            <c:numRef>
              <c:f>Budget!$K$5:$K$54</c:f>
              <c:numCache>
                <c:formatCode>General</c:formatCode>
                <c:ptCount val="50"/>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2037</c:v>
                </c:pt>
                <c:pt idx="17">
                  <c:v>2038</c:v>
                </c:pt>
                <c:pt idx="18">
                  <c:v>2039</c:v>
                </c:pt>
                <c:pt idx="19">
                  <c:v>2040</c:v>
                </c:pt>
                <c:pt idx="20">
                  <c:v>2041</c:v>
                </c:pt>
                <c:pt idx="21">
                  <c:v>2042</c:v>
                </c:pt>
                <c:pt idx="22">
                  <c:v>2043</c:v>
                </c:pt>
                <c:pt idx="23">
                  <c:v>2044</c:v>
                </c:pt>
                <c:pt idx="24">
                  <c:v>2045</c:v>
                </c:pt>
                <c:pt idx="25">
                  <c:v>2046</c:v>
                </c:pt>
                <c:pt idx="26">
                  <c:v>2047</c:v>
                </c:pt>
                <c:pt idx="27">
                  <c:v>2048</c:v>
                </c:pt>
                <c:pt idx="28">
                  <c:v>2049</c:v>
                </c:pt>
                <c:pt idx="29">
                  <c:v>2050</c:v>
                </c:pt>
                <c:pt idx="30">
                  <c:v>2051</c:v>
                </c:pt>
                <c:pt idx="31">
                  <c:v>2052</c:v>
                </c:pt>
                <c:pt idx="32">
                  <c:v>2053</c:v>
                </c:pt>
                <c:pt idx="33">
                  <c:v>2054</c:v>
                </c:pt>
                <c:pt idx="34">
                  <c:v>2055</c:v>
                </c:pt>
                <c:pt idx="35">
                  <c:v>2056</c:v>
                </c:pt>
                <c:pt idx="36">
                  <c:v>2057</c:v>
                </c:pt>
                <c:pt idx="37">
                  <c:v>2058</c:v>
                </c:pt>
                <c:pt idx="38">
                  <c:v>2059</c:v>
                </c:pt>
                <c:pt idx="39">
                  <c:v>2060</c:v>
                </c:pt>
                <c:pt idx="40">
                  <c:v>2061</c:v>
                </c:pt>
                <c:pt idx="41">
                  <c:v>2062</c:v>
                </c:pt>
                <c:pt idx="42">
                  <c:v>2063</c:v>
                </c:pt>
                <c:pt idx="43">
                  <c:v>2064</c:v>
                </c:pt>
                <c:pt idx="44">
                  <c:v>2065</c:v>
                </c:pt>
                <c:pt idx="45">
                  <c:v>2066</c:v>
                </c:pt>
                <c:pt idx="46">
                  <c:v>2067</c:v>
                </c:pt>
                <c:pt idx="47">
                  <c:v>2068</c:v>
                </c:pt>
                <c:pt idx="48">
                  <c:v>2069</c:v>
                </c:pt>
                <c:pt idx="49">
                  <c:v>2070</c:v>
                </c:pt>
              </c:numCache>
            </c:numRef>
          </c:cat>
          <c:val>
            <c:numRef>
              <c:f>Budget!$L$5:$L$54</c:f>
              <c:numCache>
                <c:formatCode>0.0%</c:formatCode>
                <c:ptCount val="50"/>
                <c:pt idx="0">
                  <c:v>0.72995449785128752</c:v>
                </c:pt>
                <c:pt idx="1">
                  <c:v>0.70931941398147735</c:v>
                </c:pt>
                <c:pt idx="2">
                  <c:v>0.69704344565631937</c:v>
                </c:pt>
                <c:pt idx="3">
                  <c:v>0.67791309534528477</c:v>
                </c:pt>
                <c:pt idx="4">
                  <c:v>0.66600434747270543</c:v>
                </c:pt>
                <c:pt idx="5">
                  <c:v>0.65631852434239246</c:v>
                </c:pt>
                <c:pt idx="6">
                  <c:v>0.64769245635704187</c:v>
                </c:pt>
                <c:pt idx="7">
                  <c:v>0.64862054890808829</c:v>
                </c:pt>
                <c:pt idx="8">
                  <c:v>0.64912772811376185</c:v>
                </c:pt>
                <c:pt idx="9">
                  <c:v>0.64888066288153312</c:v>
                </c:pt>
                <c:pt idx="10">
                  <c:v>0.64897744997777984</c:v>
                </c:pt>
                <c:pt idx="11">
                  <c:v>0.6484874010295546</c:v>
                </c:pt>
                <c:pt idx="12">
                  <c:v>0.64795964287958319</c:v>
                </c:pt>
                <c:pt idx="13">
                  <c:v>0.64817649153514578</c:v>
                </c:pt>
                <c:pt idx="14">
                  <c:v>0.647510405655781</c:v>
                </c:pt>
                <c:pt idx="15">
                  <c:v>0.64873503648637665</c:v>
                </c:pt>
                <c:pt idx="16">
                  <c:v>0.64842337073783496</c:v>
                </c:pt>
                <c:pt idx="17">
                  <c:v>0.64821652005042596</c:v>
                </c:pt>
                <c:pt idx="18">
                  <c:v>0.64852479677517239</c:v>
                </c:pt>
                <c:pt idx="19">
                  <c:v>0.65582340635483805</c:v>
                </c:pt>
                <c:pt idx="20">
                  <c:v>0.66101300186326706</c:v>
                </c:pt>
                <c:pt idx="21">
                  <c:v>0.66438201594858992</c:v>
                </c:pt>
                <c:pt idx="22">
                  <c:v>0.6685355395589031</c:v>
                </c:pt>
                <c:pt idx="23">
                  <c:v>0.67273344662957524</c:v>
                </c:pt>
                <c:pt idx="24">
                  <c:v>0.67748041067403209</c:v>
                </c:pt>
                <c:pt idx="25">
                  <c:v>0.68196540063062405</c:v>
                </c:pt>
                <c:pt idx="26">
                  <c:v>0.68674966812433968</c:v>
                </c:pt>
                <c:pt idx="27">
                  <c:v>0.69387800969781899</c:v>
                </c:pt>
                <c:pt idx="28">
                  <c:v>0.70274299615213165</c:v>
                </c:pt>
                <c:pt idx="29">
                  <c:v>0.71082773613953165</c:v>
                </c:pt>
                <c:pt idx="30">
                  <c:v>0.71886357668243883</c:v>
                </c:pt>
                <c:pt idx="31">
                  <c:v>0.72629852234150205</c:v>
                </c:pt>
                <c:pt idx="32">
                  <c:v>0.73382544524195659</c:v>
                </c:pt>
                <c:pt idx="33">
                  <c:v>0.74086076437368209</c:v>
                </c:pt>
                <c:pt idx="34">
                  <c:v>0.74813453909018213</c:v>
                </c:pt>
                <c:pt idx="35">
                  <c:v>0.75477236414205473</c:v>
                </c:pt>
                <c:pt idx="36">
                  <c:v>0.76086336451310022</c:v>
                </c:pt>
                <c:pt idx="37">
                  <c:v>0.76532972977910863</c:v>
                </c:pt>
                <c:pt idx="38">
                  <c:v>0.76859721064282827</c:v>
                </c:pt>
                <c:pt idx="39">
                  <c:v>0.77036767050103427</c:v>
                </c:pt>
                <c:pt idx="40">
                  <c:v>0.77132563126773102</c:v>
                </c:pt>
                <c:pt idx="41">
                  <c:v>0.77182096592620508</c:v>
                </c:pt>
                <c:pt idx="42">
                  <c:v>0.76837496372841196</c:v>
                </c:pt>
                <c:pt idx="43">
                  <c:v>0.76585944811705409</c:v>
                </c:pt>
                <c:pt idx="44">
                  <c:v>0.76333392524880683</c:v>
                </c:pt>
                <c:pt idx="45">
                  <c:v>0.76088486822214796</c:v>
                </c:pt>
                <c:pt idx="46">
                  <c:v>0.75880478673926888</c:v>
                </c:pt>
                <c:pt idx="47">
                  <c:v>0.75743552259605973</c:v>
                </c:pt>
                <c:pt idx="48">
                  <c:v>0.75635182444602389</c:v>
                </c:pt>
                <c:pt idx="49">
                  <c:v>0.75697452346184657</c:v>
                </c:pt>
              </c:numCache>
            </c:numRef>
          </c:val>
          <c:smooth val="0"/>
          <c:extLst>
            <c:ext xmlns:c16="http://schemas.microsoft.com/office/drawing/2014/chart" uri="{C3380CC4-5D6E-409C-BE32-E72D297353CC}">
              <c16:uniqueId val="{00000003-C638-47BD-86F1-0A10D57F5288}"/>
            </c:ext>
          </c:extLst>
        </c:ser>
        <c:dLbls>
          <c:showLegendKey val="0"/>
          <c:showVal val="0"/>
          <c:showCatName val="0"/>
          <c:showSerName val="0"/>
          <c:showPercent val="0"/>
          <c:showBubbleSize val="0"/>
        </c:dLbls>
        <c:smooth val="0"/>
        <c:axId val="392759008"/>
        <c:axId val="1"/>
      </c:lineChart>
      <c:catAx>
        <c:axId val="392759008"/>
        <c:scaling>
          <c:orientation val="minMax"/>
        </c:scaling>
        <c:delete val="0"/>
        <c:axPos val="b"/>
        <c:majorGridlines>
          <c:spPr>
            <a:ln w="3175">
              <a:solidFill>
                <a:schemeClr val="bg1">
                  <a:lumMod val="85000"/>
                </a:schemeClr>
              </a:solidFill>
            </a:ln>
          </c:spPr>
        </c:majorGridlines>
        <c:numFmt formatCode="General" sourceLinked="1"/>
        <c:majorTickMark val="in"/>
        <c:minorTickMark val="none"/>
        <c:tickLblPos val="nextTo"/>
        <c:spPr>
          <a:ln w="6350">
            <a:solidFill>
              <a:schemeClr val="bg1">
                <a:lumMod val="50000"/>
              </a:schemeClr>
            </a:solidFill>
            <a:prstDash val="solid"/>
          </a:ln>
        </c:spPr>
        <c:txPr>
          <a:bodyPr rot="-5400000" vert="horz"/>
          <a:lstStyle/>
          <a:p>
            <a:pPr>
              <a:defRPr sz="800"/>
            </a:pPr>
            <a:endParaRPr lang="bg-BG"/>
          </a:p>
        </c:txPr>
        <c:crossAx val="1"/>
        <c:crosses val="autoZero"/>
        <c:auto val="1"/>
        <c:lblAlgn val="ctr"/>
        <c:lblOffset val="100"/>
        <c:tickLblSkip val="2"/>
        <c:tickMarkSkip val="1"/>
        <c:noMultiLvlLbl val="0"/>
      </c:catAx>
      <c:valAx>
        <c:axId val="1"/>
        <c:scaling>
          <c:orientation val="minMax"/>
          <c:min val="0.2"/>
        </c:scaling>
        <c:delete val="0"/>
        <c:axPos val="l"/>
        <c:majorGridlines>
          <c:spPr>
            <a:ln w="3175">
              <a:solidFill>
                <a:schemeClr val="bg1">
                  <a:lumMod val="85000"/>
                </a:schemeClr>
              </a:solidFill>
              <a:prstDash val="solid"/>
            </a:ln>
          </c:spPr>
        </c:majorGridlines>
        <c:numFmt formatCode="0%" sourceLinked="0"/>
        <c:majorTickMark val="in"/>
        <c:minorTickMark val="none"/>
        <c:tickLblPos val="nextTo"/>
        <c:spPr>
          <a:ln w="6350">
            <a:solidFill>
              <a:schemeClr val="bg1">
                <a:lumMod val="50000"/>
              </a:schemeClr>
            </a:solidFill>
            <a:prstDash val="solid"/>
          </a:ln>
        </c:spPr>
        <c:txPr>
          <a:bodyPr rot="0" vert="horz"/>
          <a:lstStyle/>
          <a:p>
            <a:pPr>
              <a:defRPr/>
            </a:pPr>
            <a:endParaRPr lang="bg-BG"/>
          </a:p>
        </c:txPr>
        <c:crossAx val="392759008"/>
        <c:crosses val="autoZero"/>
        <c:crossBetween val="between"/>
      </c:valAx>
      <c:spPr>
        <a:solidFill>
          <a:srgbClr val="FFFFFF"/>
        </a:solidFill>
        <a:ln w="12700">
          <a:noFill/>
          <a:prstDash val="solid"/>
        </a:ln>
      </c:spPr>
    </c:plotArea>
    <c:plotVisOnly val="1"/>
    <c:dispBlanksAs val="gap"/>
    <c:showDLblsOverMax val="0"/>
  </c:chart>
  <c:spPr>
    <a:noFill/>
    <a:ln w="6350">
      <a:noFill/>
    </a:ln>
  </c:spPr>
  <c:txPr>
    <a:bodyPr/>
    <a:lstStyle/>
    <a:p>
      <a:pPr>
        <a:defRPr sz="900" b="0" i="0" u="none" strike="noStrike" baseline="0">
          <a:solidFill>
            <a:srgbClr val="000000"/>
          </a:solidFill>
          <a:latin typeface="+mn-lt"/>
          <a:ea typeface="Arial"/>
          <a:cs typeface="Arial"/>
        </a:defRPr>
      </a:pPr>
      <a:endParaRPr lang="bg-BG"/>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44623184505465E-2"/>
          <c:y val="3.0016113157226316E-2"/>
          <c:w val="0.90448289333182852"/>
          <c:h val="0.72222464757429505"/>
        </c:manualLayout>
      </c:layout>
      <c:lineChart>
        <c:grouping val="standard"/>
        <c:varyColors val="0"/>
        <c:ser>
          <c:idx val="1"/>
          <c:order val="0"/>
          <c:tx>
            <c:v>Без еднократните суми</c:v>
          </c:tx>
          <c:spPr>
            <a:ln w="25400">
              <a:solidFill>
                <a:srgbClr val="F2A4A2"/>
              </a:solidFill>
            </a:ln>
          </c:spPr>
          <c:marker>
            <c:symbol val="none"/>
          </c:marker>
          <c:cat>
            <c:numRef>
              <c:f>Budget!$B$7:$B$56</c:f>
              <c:numCache>
                <c:formatCode>General</c:formatCode>
                <c:ptCount val="50"/>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2037</c:v>
                </c:pt>
                <c:pt idx="17">
                  <c:v>2038</c:v>
                </c:pt>
                <c:pt idx="18">
                  <c:v>2039</c:v>
                </c:pt>
                <c:pt idx="19">
                  <c:v>2040</c:v>
                </c:pt>
                <c:pt idx="20">
                  <c:v>2041</c:v>
                </c:pt>
                <c:pt idx="21">
                  <c:v>2042</c:v>
                </c:pt>
                <c:pt idx="22">
                  <c:v>2043</c:v>
                </c:pt>
                <c:pt idx="23">
                  <c:v>2044</c:v>
                </c:pt>
                <c:pt idx="24">
                  <c:v>2045</c:v>
                </c:pt>
                <c:pt idx="25">
                  <c:v>2046</c:v>
                </c:pt>
                <c:pt idx="26">
                  <c:v>2047</c:v>
                </c:pt>
                <c:pt idx="27">
                  <c:v>2048</c:v>
                </c:pt>
                <c:pt idx="28">
                  <c:v>2049</c:v>
                </c:pt>
                <c:pt idx="29">
                  <c:v>2050</c:v>
                </c:pt>
                <c:pt idx="30">
                  <c:v>2051</c:v>
                </c:pt>
                <c:pt idx="31">
                  <c:v>2052</c:v>
                </c:pt>
                <c:pt idx="32">
                  <c:v>2053</c:v>
                </c:pt>
                <c:pt idx="33">
                  <c:v>2054</c:v>
                </c:pt>
                <c:pt idx="34">
                  <c:v>2055</c:v>
                </c:pt>
                <c:pt idx="35">
                  <c:v>2056</c:v>
                </c:pt>
                <c:pt idx="36">
                  <c:v>2057</c:v>
                </c:pt>
                <c:pt idx="37">
                  <c:v>2058</c:v>
                </c:pt>
                <c:pt idx="38">
                  <c:v>2059</c:v>
                </c:pt>
                <c:pt idx="39">
                  <c:v>2060</c:v>
                </c:pt>
                <c:pt idx="40">
                  <c:v>2061</c:v>
                </c:pt>
                <c:pt idx="41">
                  <c:v>2062</c:v>
                </c:pt>
                <c:pt idx="42">
                  <c:v>2063</c:v>
                </c:pt>
                <c:pt idx="43">
                  <c:v>2064</c:v>
                </c:pt>
                <c:pt idx="44">
                  <c:v>2065</c:v>
                </c:pt>
                <c:pt idx="45">
                  <c:v>2066</c:v>
                </c:pt>
                <c:pt idx="46">
                  <c:v>2067</c:v>
                </c:pt>
                <c:pt idx="47">
                  <c:v>2068</c:v>
                </c:pt>
                <c:pt idx="48">
                  <c:v>2069</c:v>
                </c:pt>
                <c:pt idx="49">
                  <c:v>2070</c:v>
                </c:pt>
              </c:numCache>
            </c:numRef>
          </c:cat>
          <c:val>
            <c:numRef>
              <c:f>Budget!$P$7:$P$56</c:f>
              <c:numCache>
                <c:formatCode>0.0%</c:formatCode>
                <c:ptCount val="50"/>
                <c:pt idx="0">
                  <c:v>8.816745187605822E-2</c:v>
                </c:pt>
                <c:pt idx="1">
                  <c:v>9.5783075732463308E-2</c:v>
                </c:pt>
                <c:pt idx="2">
                  <c:v>9.3084615713592944E-2</c:v>
                </c:pt>
                <c:pt idx="3">
                  <c:v>9.3313724061949044E-2</c:v>
                </c:pt>
                <c:pt idx="4">
                  <c:v>9.3081239356635717E-2</c:v>
                </c:pt>
                <c:pt idx="5">
                  <c:v>9.0307558632396964E-2</c:v>
                </c:pt>
                <c:pt idx="6">
                  <c:v>8.8751509629811237E-2</c:v>
                </c:pt>
                <c:pt idx="7">
                  <c:v>8.7175175647042163E-2</c:v>
                </c:pt>
                <c:pt idx="8">
                  <c:v>8.6086443913474017E-2</c:v>
                </c:pt>
                <c:pt idx="9">
                  <c:v>8.546671131421002E-2</c:v>
                </c:pt>
                <c:pt idx="10">
                  <c:v>8.455660524362589E-2</c:v>
                </c:pt>
                <c:pt idx="11">
                  <c:v>8.3865055470214819E-2</c:v>
                </c:pt>
                <c:pt idx="12">
                  <c:v>8.3295570342898292E-2</c:v>
                </c:pt>
                <c:pt idx="13">
                  <c:v>8.2779172247459315E-2</c:v>
                </c:pt>
                <c:pt idx="14">
                  <c:v>8.2368196394035142E-2</c:v>
                </c:pt>
                <c:pt idx="15">
                  <c:v>8.2080043857025942E-2</c:v>
                </c:pt>
                <c:pt idx="16">
                  <c:v>8.18495724108982E-2</c:v>
                </c:pt>
                <c:pt idx="17">
                  <c:v>8.1752441801171499E-2</c:v>
                </c:pt>
                <c:pt idx="18">
                  <c:v>8.1713528889132622E-2</c:v>
                </c:pt>
                <c:pt idx="19">
                  <c:v>8.1938520923802757E-2</c:v>
                </c:pt>
                <c:pt idx="20">
                  <c:v>8.2195315469485442E-2</c:v>
                </c:pt>
                <c:pt idx="21">
                  <c:v>8.2500755130652081E-2</c:v>
                </c:pt>
                <c:pt idx="22">
                  <c:v>8.290603922489885E-2</c:v>
                </c:pt>
                <c:pt idx="23">
                  <c:v>8.3335469045565616E-2</c:v>
                </c:pt>
                <c:pt idx="24">
                  <c:v>8.3835905309388586E-2</c:v>
                </c:pt>
                <c:pt idx="25">
                  <c:v>8.434896142355576E-2</c:v>
                </c:pt>
                <c:pt idx="26">
                  <c:v>8.493522145572209E-2</c:v>
                </c:pt>
                <c:pt idx="27">
                  <c:v>8.5677371797637902E-2</c:v>
                </c:pt>
                <c:pt idx="28">
                  <c:v>8.6428164677902569E-2</c:v>
                </c:pt>
                <c:pt idx="29">
                  <c:v>8.711722029798312E-2</c:v>
                </c:pt>
                <c:pt idx="30">
                  <c:v>8.7807222185960751E-2</c:v>
                </c:pt>
                <c:pt idx="31">
                  <c:v>8.8427876420885038E-2</c:v>
                </c:pt>
                <c:pt idx="32">
                  <c:v>8.9066078543383512E-2</c:v>
                </c:pt>
                <c:pt idx="33">
                  <c:v>8.9643780083574209E-2</c:v>
                </c:pt>
                <c:pt idx="34">
                  <c:v>9.0220700254434655E-2</c:v>
                </c:pt>
                <c:pt idx="35">
                  <c:v>9.074164502273141E-2</c:v>
                </c:pt>
                <c:pt idx="36">
                  <c:v>9.1190711322285817E-2</c:v>
                </c:pt>
                <c:pt idx="37">
                  <c:v>9.1471850230965324E-2</c:v>
                </c:pt>
                <c:pt idx="38">
                  <c:v>9.1628796777375635E-2</c:v>
                </c:pt>
                <c:pt idx="39">
                  <c:v>9.165223749980668E-2</c:v>
                </c:pt>
                <c:pt idx="40">
                  <c:v>9.1627420797288403E-2</c:v>
                </c:pt>
                <c:pt idx="41">
                  <c:v>9.1579545576572483E-2</c:v>
                </c:pt>
                <c:pt idx="42">
                  <c:v>9.1125963092946224E-2</c:v>
                </c:pt>
                <c:pt idx="43">
                  <c:v>9.0809098434396038E-2</c:v>
                </c:pt>
                <c:pt idx="44">
                  <c:v>9.0535410014497983E-2</c:v>
                </c:pt>
                <c:pt idx="45">
                  <c:v>9.0336341811968035E-2</c:v>
                </c:pt>
                <c:pt idx="46">
                  <c:v>9.0196666463809944E-2</c:v>
                </c:pt>
                <c:pt idx="47">
                  <c:v>9.0188696281974998E-2</c:v>
                </c:pt>
                <c:pt idx="48">
                  <c:v>9.0262711609474258E-2</c:v>
                </c:pt>
                <c:pt idx="49">
                  <c:v>9.0462761459306928E-2</c:v>
                </c:pt>
              </c:numCache>
            </c:numRef>
          </c:val>
          <c:smooth val="0"/>
          <c:extLst>
            <c:ext xmlns:c16="http://schemas.microsoft.com/office/drawing/2014/chart" uri="{C3380CC4-5D6E-409C-BE32-E72D297353CC}">
              <c16:uniqueId val="{00000000-C5AB-4227-9B40-16253904C9C9}"/>
            </c:ext>
          </c:extLst>
        </c:ser>
        <c:ser>
          <c:idx val="0"/>
          <c:order val="1"/>
          <c:tx>
            <c:v>С вкл. еднократни суми</c:v>
          </c:tx>
          <c:spPr>
            <a:ln w="38100">
              <a:solidFill>
                <a:srgbClr val="6768AB">
                  <a:alpha val="51000"/>
                </a:srgbClr>
              </a:solidFill>
              <a:prstDash val="solid"/>
            </a:ln>
          </c:spPr>
          <c:marker>
            <c:symbol val="none"/>
          </c:marker>
          <c:dLbls>
            <c:dLbl>
              <c:idx val="0"/>
              <c:layout>
                <c:manualLayout>
                  <c:x val="8.5501219734523456E-3"/>
                  <c:y val="-4.6232458089916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5AB-4227-9B40-16253904C9C9}"/>
                </c:ext>
              </c:extLst>
            </c:dLbl>
            <c:dLbl>
              <c:idx val="1"/>
              <c:layout>
                <c:manualLayout>
                  <c:x val="-6.3341117641441454E-3"/>
                  <c:y val="-8.15147161544323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5AB-4227-9B40-16253904C9C9}"/>
                </c:ext>
              </c:extLst>
            </c:dLbl>
            <c:dLbl>
              <c:idx val="18"/>
              <c:layout>
                <c:manualLayout>
                  <c:x val="-4.1615258401409935E-2"/>
                  <c:y val="-7.64743935737871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5AB-4227-9B40-16253904C9C9}"/>
                </c:ext>
              </c:extLst>
            </c:dLbl>
            <c:dLbl>
              <c:idx val="39"/>
              <c:layout>
                <c:manualLayout>
                  <c:x val="-3.7205115071751643E-2"/>
                  <c:y val="-8.655503873507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5AB-4227-9B40-16253904C9C9}"/>
                </c:ext>
              </c:extLst>
            </c:dLbl>
            <c:dLbl>
              <c:idx val="49"/>
              <c:layout>
                <c:manualLayout>
                  <c:x val="-8.0386147982880306E-3"/>
                  <c:y val="-8.6555038735077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5AB-4227-9B40-16253904C9C9}"/>
                </c:ext>
              </c:extLst>
            </c:dLbl>
            <c:spPr>
              <a:noFill/>
              <a:ln>
                <a:noFill/>
              </a:ln>
              <a:effectLst/>
            </c:spPr>
            <c:dLblPos val="t"/>
            <c:showLegendKey val="0"/>
            <c:showVal val="0"/>
            <c:showCatName val="0"/>
            <c:showSerName val="0"/>
            <c:showPercent val="0"/>
            <c:showBubbleSize val="0"/>
            <c:extLst>
              <c:ext xmlns:c15="http://schemas.microsoft.com/office/drawing/2012/chart" uri="{CE6537A1-D6FC-4f65-9D91-7224C49458BB}">
                <c15:showLeaderLines val="1"/>
                <c15:leaderLines>
                  <c:spPr>
                    <a:ln w="3175">
                      <a:solidFill>
                        <a:schemeClr val="bg1">
                          <a:lumMod val="50000"/>
                        </a:schemeClr>
                      </a:solidFill>
                    </a:ln>
                  </c:spPr>
                </c15:leaderLines>
              </c:ext>
            </c:extLst>
          </c:dLbls>
          <c:cat>
            <c:numRef>
              <c:f>Budget!$B$7:$B$56</c:f>
              <c:numCache>
                <c:formatCode>General</c:formatCode>
                <c:ptCount val="50"/>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2037</c:v>
                </c:pt>
                <c:pt idx="17">
                  <c:v>2038</c:v>
                </c:pt>
                <c:pt idx="18">
                  <c:v>2039</c:v>
                </c:pt>
                <c:pt idx="19">
                  <c:v>2040</c:v>
                </c:pt>
                <c:pt idx="20">
                  <c:v>2041</c:v>
                </c:pt>
                <c:pt idx="21">
                  <c:v>2042</c:v>
                </c:pt>
                <c:pt idx="22">
                  <c:v>2043</c:v>
                </c:pt>
                <c:pt idx="23">
                  <c:v>2044</c:v>
                </c:pt>
                <c:pt idx="24">
                  <c:v>2045</c:v>
                </c:pt>
                <c:pt idx="25">
                  <c:v>2046</c:v>
                </c:pt>
                <c:pt idx="26">
                  <c:v>2047</c:v>
                </c:pt>
                <c:pt idx="27">
                  <c:v>2048</c:v>
                </c:pt>
                <c:pt idx="28">
                  <c:v>2049</c:v>
                </c:pt>
                <c:pt idx="29">
                  <c:v>2050</c:v>
                </c:pt>
                <c:pt idx="30">
                  <c:v>2051</c:v>
                </c:pt>
                <c:pt idx="31">
                  <c:v>2052</c:v>
                </c:pt>
                <c:pt idx="32">
                  <c:v>2053</c:v>
                </c:pt>
                <c:pt idx="33">
                  <c:v>2054</c:v>
                </c:pt>
                <c:pt idx="34">
                  <c:v>2055</c:v>
                </c:pt>
                <c:pt idx="35">
                  <c:v>2056</c:v>
                </c:pt>
                <c:pt idx="36">
                  <c:v>2057</c:v>
                </c:pt>
                <c:pt idx="37">
                  <c:v>2058</c:v>
                </c:pt>
                <c:pt idx="38">
                  <c:v>2059</c:v>
                </c:pt>
                <c:pt idx="39">
                  <c:v>2060</c:v>
                </c:pt>
                <c:pt idx="40">
                  <c:v>2061</c:v>
                </c:pt>
                <c:pt idx="41">
                  <c:v>2062</c:v>
                </c:pt>
                <c:pt idx="42">
                  <c:v>2063</c:v>
                </c:pt>
                <c:pt idx="43">
                  <c:v>2064</c:v>
                </c:pt>
                <c:pt idx="44">
                  <c:v>2065</c:v>
                </c:pt>
                <c:pt idx="45">
                  <c:v>2066</c:v>
                </c:pt>
                <c:pt idx="46">
                  <c:v>2067</c:v>
                </c:pt>
                <c:pt idx="47">
                  <c:v>2068</c:v>
                </c:pt>
                <c:pt idx="48">
                  <c:v>2069</c:v>
                </c:pt>
                <c:pt idx="49">
                  <c:v>2070</c:v>
                </c:pt>
              </c:numCache>
            </c:numRef>
          </c:cat>
          <c:val>
            <c:numRef>
              <c:f>Budget!$R$7:$R$56</c:f>
              <c:numCache>
                <c:formatCode>0.0%</c:formatCode>
                <c:ptCount val="50"/>
                <c:pt idx="0">
                  <c:v>0.10733889306436115</c:v>
                </c:pt>
                <c:pt idx="1">
                  <c:v>9.5783075732463308E-2</c:v>
                </c:pt>
                <c:pt idx="2">
                  <c:v>9.3084615713592944E-2</c:v>
                </c:pt>
                <c:pt idx="3">
                  <c:v>9.3313724061949044E-2</c:v>
                </c:pt>
                <c:pt idx="4">
                  <c:v>9.3081239356635717E-2</c:v>
                </c:pt>
                <c:pt idx="5">
                  <c:v>9.0307558632396964E-2</c:v>
                </c:pt>
                <c:pt idx="6">
                  <c:v>8.8751509629811251E-2</c:v>
                </c:pt>
                <c:pt idx="7">
                  <c:v>8.7175175647042163E-2</c:v>
                </c:pt>
                <c:pt idx="8">
                  <c:v>8.6086443913474017E-2</c:v>
                </c:pt>
                <c:pt idx="9">
                  <c:v>8.546671131421002E-2</c:v>
                </c:pt>
                <c:pt idx="10">
                  <c:v>8.455660524362589E-2</c:v>
                </c:pt>
                <c:pt idx="11">
                  <c:v>8.3865055470214819E-2</c:v>
                </c:pt>
                <c:pt idx="12">
                  <c:v>8.3295570342898292E-2</c:v>
                </c:pt>
                <c:pt idx="13">
                  <c:v>8.2779172247459315E-2</c:v>
                </c:pt>
                <c:pt idx="14">
                  <c:v>8.2368196394035156E-2</c:v>
                </c:pt>
                <c:pt idx="15">
                  <c:v>8.2080043857025956E-2</c:v>
                </c:pt>
                <c:pt idx="16">
                  <c:v>8.1849572410898186E-2</c:v>
                </c:pt>
                <c:pt idx="17">
                  <c:v>8.1752441801171499E-2</c:v>
                </c:pt>
                <c:pt idx="18">
                  <c:v>8.1713528889132622E-2</c:v>
                </c:pt>
                <c:pt idx="19">
                  <c:v>8.1938520923802743E-2</c:v>
                </c:pt>
                <c:pt idx="20">
                  <c:v>8.2195315469485442E-2</c:v>
                </c:pt>
                <c:pt idx="21">
                  <c:v>8.2500755130652081E-2</c:v>
                </c:pt>
                <c:pt idx="22">
                  <c:v>8.290603922489885E-2</c:v>
                </c:pt>
                <c:pt idx="23">
                  <c:v>8.3335469045565616E-2</c:v>
                </c:pt>
                <c:pt idx="24">
                  <c:v>8.3835905309388573E-2</c:v>
                </c:pt>
                <c:pt idx="25">
                  <c:v>8.434896142355576E-2</c:v>
                </c:pt>
                <c:pt idx="26">
                  <c:v>8.493522145572209E-2</c:v>
                </c:pt>
                <c:pt idx="27">
                  <c:v>8.5677371797637916E-2</c:v>
                </c:pt>
                <c:pt idx="28">
                  <c:v>8.6428164677902583E-2</c:v>
                </c:pt>
                <c:pt idx="29">
                  <c:v>8.711722029798312E-2</c:v>
                </c:pt>
                <c:pt idx="30">
                  <c:v>8.7807222185960765E-2</c:v>
                </c:pt>
                <c:pt idx="31">
                  <c:v>8.8427876420885038E-2</c:v>
                </c:pt>
                <c:pt idx="32">
                  <c:v>8.9066078543383512E-2</c:v>
                </c:pt>
                <c:pt idx="33">
                  <c:v>8.9643780083574209E-2</c:v>
                </c:pt>
                <c:pt idx="34">
                  <c:v>9.0220700254434669E-2</c:v>
                </c:pt>
                <c:pt idx="35">
                  <c:v>9.0741645022731424E-2</c:v>
                </c:pt>
                <c:pt idx="36">
                  <c:v>9.1190711322285803E-2</c:v>
                </c:pt>
                <c:pt idx="37">
                  <c:v>9.1471850230965338E-2</c:v>
                </c:pt>
                <c:pt idx="38">
                  <c:v>9.1628796777375635E-2</c:v>
                </c:pt>
                <c:pt idx="39">
                  <c:v>9.1652237499806666E-2</c:v>
                </c:pt>
                <c:pt idx="40">
                  <c:v>9.1627420797288417E-2</c:v>
                </c:pt>
                <c:pt idx="41">
                  <c:v>9.1579545576572483E-2</c:v>
                </c:pt>
                <c:pt idx="42">
                  <c:v>9.1125963092946211E-2</c:v>
                </c:pt>
                <c:pt idx="43">
                  <c:v>9.0809098434396052E-2</c:v>
                </c:pt>
                <c:pt idx="44">
                  <c:v>9.0535410014497969E-2</c:v>
                </c:pt>
                <c:pt idx="45">
                  <c:v>9.0336341811968021E-2</c:v>
                </c:pt>
                <c:pt idx="46">
                  <c:v>9.019666646380993E-2</c:v>
                </c:pt>
                <c:pt idx="47">
                  <c:v>9.0188696281974998E-2</c:v>
                </c:pt>
                <c:pt idx="48">
                  <c:v>9.0262711609474258E-2</c:v>
                </c:pt>
                <c:pt idx="49">
                  <c:v>9.0462761459306915E-2</c:v>
                </c:pt>
              </c:numCache>
            </c:numRef>
          </c:val>
          <c:smooth val="0"/>
          <c:extLst>
            <c:ext xmlns:c16="http://schemas.microsoft.com/office/drawing/2014/chart" uri="{C3380CC4-5D6E-409C-BE32-E72D297353CC}">
              <c16:uniqueId val="{00000006-C5AB-4227-9B40-16253904C9C9}"/>
            </c:ext>
          </c:extLst>
        </c:ser>
        <c:dLbls>
          <c:showLegendKey val="0"/>
          <c:showVal val="0"/>
          <c:showCatName val="0"/>
          <c:showSerName val="0"/>
          <c:showPercent val="0"/>
          <c:showBubbleSize val="0"/>
        </c:dLbls>
        <c:smooth val="0"/>
        <c:axId val="282683152"/>
        <c:axId val="1"/>
      </c:lineChart>
      <c:catAx>
        <c:axId val="282683152"/>
        <c:scaling>
          <c:orientation val="minMax"/>
        </c:scaling>
        <c:delete val="0"/>
        <c:axPos val="b"/>
        <c:majorGridlines>
          <c:spPr>
            <a:ln>
              <a:solidFill>
                <a:schemeClr val="bg1">
                  <a:lumMod val="85000"/>
                </a:schemeClr>
              </a:solidFill>
            </a:ln>
          </c:spPr>
        </c:majorGridlines>
        <c:numFmt formatCode="General" sourceLinked="1"/>
        <c:majorTickMark val="in"/>
        <c:minorTickMark val="none"/>
        <c:tickLblPos val="nextTo"/>
        <c:spPr>
          <a:ln w="3175">
            <a:solidFill>
              <a:schemeClr val="bg1">
                <a:lumMod val="85000"/>
              </a:schemeClr>
            </a:solidFill>
            <a:prstDash val="solid"/>
          </a:ln>
        </c:spPr>
        <c:txPr>
          <a:bodyPr rot="-5400000" vert="horz"/>
          <a:lstStyle/>
          <a:p>
            <a:pPr>
              <a:defRPr/>
            </a:pPr>
            <a:endParaRPr lang="bg-BG"/>
          </a:p>
        </c:txPr>
        <c:crossAx val="1"/>
        <c:crosses val="autoZero"/>
        <c:auto val="1"/>
        <c:lblAlgn val="ctr"/>
        <c:lblOffset val="100"/>
        <c:tickLblSkip val="2"/>
        <c:tickMarkSkip val="1"/>
        <c:noMultiLvlLbl val="0"/>
      </c:catAx>
      <c:valAx>
        <c:axId val="1"/>
        <c:scaling>
          <c:orientation val="minMax"/>
          <c:min val="5.000000000000001E-2"/>
        </c:scaling>
        <c:delete val="0"/>
        <c:axPos val="l"/>
        <c:majorGridlines>
          <c:spPr>
            <a:ln w="3175">
              <a:solidFill>
                <a:schemeClr val="bg1">
                  <a:lumMod val="85000"/>
                </a:schemeClr>
              </a:solidFill>
              <a:prstDash val="solid"/>
            </a:ln>
          </c:spPr>
        </c:majorGridlines>
        <c:numFmt formatCode="0%" sourceLinked="0"/>
        <c:majorTickMark val="in"/>
        <c:minorTickMark val="none"/>
        <c:tickLblPos val="nextTo"/>
        <c:spPr>
          <a:ln w="6350">
            <a:solidFill>
              <a:schemeClr val="bg1">
                <a:lumMod val="50000"/>
              </a:schemeClr>
            </a:solidFill>
            <a:prstDash val="solid"/>
          </a:ln>
        </c:spPr>
        <c:txPr>
          <a:bodyPr rot="0" vert="horz"/>
          <a:lstStyle/>
          <a:p>
            <a:pPr>
              <a:defRPr/>
            </a:pPr>
            <a:endParaRPr lang="bg-BG"/>
          </a:p>
        </c:txPr>
        <c:crossAx val="282683152"/>
        <c:crosses val="autoZero"/>
        <c:crossBetween val="between"/>
      </c:valAx>
      <c:spPr>
        <a:noFill/>
        <a:ln w="12700">
          <a:noFill/>
          <a:prstDash val="solid"/>
        </a:ln>
      </c:spPr>
    </c:plotArea>
    <c:legend>
      <c:legendPos val="b"/>
      <c:layout>
        <c:manualLayout>
          <c:xMode val="edge"/>
          <c:yMode val="edge"/>
          <c:x val="0.19843873981022495"/>
          <c:y val="0.92003349631699261"/>
          <c:w val="0.60312234675185994"/>
          <c:h val="7.9966503683007367E-2"/>
        </c:manualLayout>
      </c:layout>
      <c:overlay val="0"/>
    </c:legend>
    <c:plotVisOnly val="1"/>
    <c:dispBlanksAs val="gap"/>
    <c:showDLblsOverMax val="0"/>
  </c:chart>
  <c:spPr>
    <a:noFill/>
    <a:ln w="3175">
      <a:noFill/>
      <a:prstDash val="solid"/>
    </a:ln>
  </c:spPr>
  <c:txPr>
    <a:bodyPr/>
    <a:lstStyle/>
    <a:p>
      <a:pPr>
        <a:defRPr sz="900" b="0" i="0" u="none" strike="noStrike" baseline="0">
          <a:solidFill>
            <a:srgbClr val="000000"/>
          </a:solidFill>
          <a:latin typeface="+mn-lt"/>
          <a:ea typeface="Arial"/>
          <a:cs typeface="Arial"/>
        </a:defRPr>
      </a:pPr>
      <a:endParaRPr lang="bg-BG"/>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8873590360190643E-2"/>
          <c:y val="2.9404527559055125E-2"/>
          <c:w val="0.89827275173844723"/>
          <c:h val="0.75258088328676653"/>
        </c:manualLayout>
      </c:layout>
      <c:barChart>
        <c:barDir val="col"/>
        <c:grouping val="clustered"/>
        <c:varyColors val="0"/>
        <c:ser>
          <c:idx val="0"/>
          <c:order val="0"/>
          <c:tx>
            <c:strRef>
              <c:f>UR!$A$2</c:f>
              <c:strCache>
                <c:ptCount val="1"/>
                <c:pt idx="0">
                  <c:v>Заетост, %, на год. база</c:v>
                </c:pt>
              </c:strCache>
            </c:strRef>
          </c:tx>
          <c:spPr>
            <a:solidFill>
              <a:srgbClr val="A197E4"/>
            </a:solidFill>
            <a:ln w="3175">
              <a:solidFill>
                <a:schemeClr val="bg1"/>
              </a:solidFill>
            </a:ln>
          </c:spPr>
          <c:invertIfNegative val="0"/>
          <c:cat>
            <c:numRef>
              <c:f>UR!$F$1:$Q$1</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UR!$F$2:$Q$2</c:f>
              <c:numCache>
                <c:formatCode>0.0</c:formatCode>
                <c:ptCount val="12"/>
                <c:pt idx="0">
                  <c:v>0.36790053241530529</c:v>
                </c:pt>
                <c:pt idx="1">
                  <c:v>0.35000502305508974</c:v>
                </c:pt>
                <c:pt idx="2">
                  <c:v>0.49800725280326219</c:v>
                </c:pt>
                <c:pt idx="3">
                  <c:v>1.7903201729425433</c:v>
                </c:pt>
                <c:pt idx="4">
                  <c:v>-0.10529445002939042</c:v>
                </c:pt>
                <c:pt idx="5">
                  <c:v>0.33898978884836595</c:v>
                </c:pt>
                <c:pt idx="6">
                  <c:v>-2.3158962388830702</c:v>
                </c:pt>
                <c:pt idx="7">
                  <c:v>0.19309079700002485</c:v>
                </c:pt>
                <c:pt idx="8">
                  <c:v>1.7</c:v>
                </c:pt>
                <c:pt idx="9">
                  <c:v>0.8</c:v>
                </c:pt>
                <c:pt idx="10">
                  <c:v>1</c:v>
                </c:pt>
                <c:pt idx="11">
                  <c:v>0.6</c:v>
                </c:pt>
              </c:numCache>
            </c:numRef>
          </c:val>
          <c:extLst>
            <c:ext xmlns:c16="http://schemas.microsoft.com/office/drawing/2014/chart" uri="{C3380CC4-5D6E-409C-BE32-E72D297353CC}">
              <c16:uniqueId val="{00000000-45AF-48A7-AE62-411EC2136420}"/>
            </c:ext>
          </c:extLst>
        </c:ser>
        <c:dLbls>
          <c:showLegendKey val="0"/>
          <c:showVal val="0"/>
          <c:showCatName val="0"/>
          <c:showSerName val="0"/>
          <c:showPercent val="0"/>
          <c:showBubbleSize val="0"/>
        </c:dLbls>
        <c:gapWidth val="80"/>
        <c:axId val="84554880"/>
        <c:axId val="84556416"/>
      </c:barChart>
      <c:lineChart>
        <c:grouping val="standard"/>
        <c:varyColors val="0"/>
        <c:ser>
          <c:idx val="1"/>
          <c:order val="1"/>
          <c:tx>
            <c:strRef>
              <c:f>UR!$A$3</c:f>
              <c:strCache>
                <c:ptCount val="1"/>
                <c:pt idx="0">
                  <c:v>Безработица, %, д.с.</c:v>
                </c:pt>
              </c:strCache>
            </c:strRef>
          </c:tx>
          <c:spPr>
            <a:ln w="25400" cmpd="sng">
              <a:solidFill>
                <a:srgbClr val="F2A4A2"/>
              </a:solidFill>
              <a:prstDash val="solid"/>
            </a:ln>
          </c:spPr>
          <c:marker>
            <c:symbol val="circle"/>
            <c:size val="7"/>
            <c:spPr>
              <a:solidFill>
                <a:srgbClr val="F2A4A2"/>
              </a:solidFill>
              <a:ln w="3175">
                <a:solidFill>
                  <a:schemeClr val="bg1"/>
                </a:solidFill>
              </a:ln>
            </c:spPr>
          </c:marker>
          <c:cat>
            <c:numRef>
              <c:f>UR!$F$1:$Q$1</c:f>
              <c:numCache>
                <c:formatCode>General</c:formatCode>
                <c:ptCount val="12"/>
                <c:pt idx="0">
                  <c:v>2014</c:v>
                </c:pt>
                <c:pt idx="1">
                  <c:v>2015</c:v>
                </c:pt>
                <c:pt idx="2">
                  <c:v>2016</c:v>
                </c:pt>
                <c:pt idx="3">
                  <c:v>2017</c:v>
                </c:pt>
                <c:pt idx="4">
                  <c:v>2018</c:v>
                </c:pt>
                <c:pt idx="5">
                  <c:v>2019</c:v>
                </c:pt>
                <c:pt idx="6">
                  <c:v>2020</c:v>
                </c:pt>
                <c:pt idx="7">
                  <c:v>2021</c:v>
                </c:pt>
                <c:pt idx="8">
                  <c:v>2022</c:v>
                </c:pt>
                <c:pt idx="9">
                  <c:v>2023</c:v>
                </c:pt>
                <c:pt idx="10">
                  <c:v>2024</c:v>
                </c:pt>
                <c:pt idx="11">
                  <c:v>2025</c:v>
                </c:pt>
              </c:numCache>
            </c:numRef>
          </c:cat>
          <c:val>
            <c:numRef>
              <c:f>UR!$F$3:$Q$3</c:f>
              <c:numCache>
                <c:formatCode>0.0</c:formatCode>
                <c:ptCount val="12"/>
                <c:pt idx="0">
                  <c:v>11.423393446032264</c:v>
                </c:pt>
                <c:pt idx="1">
                  <c:v>9.1429427629607449</c:v>
                </c:pt>
                <c:pt idx="2">
                  <c:v>7.6</c:v>
                </c:pt>
                <c:pt idx="3">
                  <c:v>6.2</c:v>
                </c:pt>
                <c:pt idx="4">
                  <c:v>5.2</c:v>
                </c:pt>
                <c:pt idx="5">
                  <c:v>4.2</c:v>
                </c:pt>
                <c:pt idx="6">
                  <c:v>5.0999999999999996</c:v>
                </c:pt>
                <c:pt idx="7">
                  <c:v>5.3</c:v>
                </c:pt>
                <c:pt idx="8">
                  <c:v>4.991156379706629</c:v>
                </c:pt>
                <c:pt idx="9">
                  <c:v>4.8098953438626335</c:v>
                </c:pt>
                <c:pt idx="10">
                  <c:v>4.4039819948186532</c:v>
                </c:pt>
                <c:pt idx="11">
                  <c:v>4.1602342856657994</c:v>
                </c:pt>
              </c:numCache>
            </c:numRef>
          </c:val>
          <c:smooth val="0"/>
          <c:extLst>
            <c:ext xmlns:c16="http://schemas.microsoft.com/office/drawing/2014/chart" uri="{C3380CC4-5D6E-409C-BE32-E72D297353CC}">
              <c16:uniqueId val="{00000001-45AF-48A7-AE62-411EC2136420}"/>
            </c:ext>
          </c:extLst>
        </c:ser>
        <c:dLbls>
          <c:showLegendKey val="0"/>
          <c:showVal val="0"/>
          <c:showCatName val="0"/>
          <c:showSerName val="0"/>
          <c:showPercent val="0"/>
          <c:showBubbleSize val="0"/>
        </c:dLbls>
        <c:marker val="1"/>
        <c:smooth val="0"/>
        <c:axId val="84566400"/>
        <c:axId val="84567936"/>
      </c:lineChart>
      <c:catAx>
        <c:axId val="84554880"/>
        <c:scaling>
          <c:orientation val="minMax"/>
        </c:scaling>
        <c:delete val="0"/>
        <c:axPos val="b"/>
        <c:majorGridlines>
          <c:spPr>
            <a:ln w="3175">
              <a:solidFill>
                <a:schemeClr val="bg1">
                  <a:lumMod val="85000"/>
                </a:schemeClr>
              </a:solidFill>
            </a:ln>
          </c:spPr>
        </c:majorGridlines>
        <c:numFmt formatCode="General" sourceLinked="1"/>
        <c:majorTickMark val="cross"/>
        <c:minorTickMark val="none"/>
        <c:tickLblPos val="low"/>
        <c:spPr>
          <a:ln w="6350">
            <a:solidFill>
              <a:schemeClr val="bg1">
                <a:lumMod val="50000"/>
              </a:schemeClr>
            </a:solidFill>
          </a:ln>
        </c:spPr>
        <c:crossAx val="84556416"/>
        <c:crosses val="autoZero"/>
        <c:auto val="1"/>
        <c:lblAlgn val="ctr"/>
        <c:lblOffset val="100"/>
        <c:noMultiLvlLbl val="0"/>
      </c:catAx>
      <c:valAx>
        <c:axId val="84556416"/>
        <c:scaling>
          <c:orientation val="minMax"/>
          <c:max val="2"/>
          <c:min val="-4"/>
        </c:scaling>
        <c:delete val="0"/>
        <c:axPos val="l"/>
        <c:majorGridlines>
          <c:spPr>
            <a:ln w="3175">
              <a:solidFill>
                <a:schemeClr val="bg1">
                  <a:lumMod val="85000"/>
                </a:schemeClr>
              </a:solidFill>
            </a:ln>
          </c:spPr>
        </c:majorGridlines>
        <c:numFmt formatCode="0" sourceLinked="0"/>
        <c:majorTickMark val="in"/>
        <c:minorTickMark val="none"/>
        <c:tickLblPos val="nextTo"/>
        <c:spPr>
          <a:ln w="6350">
            <a:solidFill>
              <a:schemeClr val="bg1">
                <a:lumMod val="50000"/>
              </a:schemeClr>
            </a:solidFill>
          </a:ln>
        </c:spPr>
        <c:crossAx val="84554880"/>
        <c:crosses val="autoZero"/>
        <c:crossBetween val="between"/>
        <c:majorUnit val="1"/>
      </c:valAx>
      <c:catAx>
        <c:axId val="84566400"/>
        <c:scaling>
          <c:orientation val="minMax"/>
        </c:scaling>
        <c:delete val="1"/>
        <c:axPos val="b"/>
        <c:numFmt formatCode="General" sourceLinked="1"/>
        <c:majorTickMark val="out"/>
        <c:minorTickMark val="none"/>
        <c:tickLblPos val="nextTo"/>
        <c:crossAx val="84567936"/>
        <c:crosses val="autoZero"/>
        <c:auto val="1"/>
        <c:lblAlgn val="ctr"/>
        <c:lblOffset val="100"/>
        <c:noMultiLvlLbl val="0"/>
      </c:catAx>
      <c:valAx>
        <c:axId val="84567936"/>
        <c:scaling>
          <c:orientation val="minMax"/>
          <c:max val="14"/>
          <c:min val="2"/>
        </c:scaling>
        <c:delete val="0"/>
        <c:axPos val="r"/>
        <c:numFmt formatCode="0" sourceLinked="0"/>
        <c:majorTickMark val="in"/>
        <c:minorTickMark val="none"/>
        <c:tickLblPos val="nextTo"/>
        <c:spPr>
          <a:ln w="3175">
            <a:solidFill>
              <a:schemeClr val="bg1">
                <a:lumMod val="50000"/>
              </a:schemeClr>
            </a:solidFill>
          </a:ln>
        </c:spPr>
        <c:crossAx val="84566400"/>
        <c:crosses val="max"/>
        <c:crossBetween val="between"/>
        <c:majorUnit val="2"/>
      </c:valAx>
      <c:spPr>
        <a:noFill/>
        <a:ln w="6350">
          <a:noFill/>
        </a:ln>
      </c:spPr>
    </c:plotArea>
    <c:legend>
      <c:legendPos val="b"/>
      <c:layout>
        <c:manualLayout>
          <c:xMode val="edge"/>
          <c:yMode val="edge"/>
          <c:x val="0"/>
          <c:y val="0.90345879763672687"/>
          <c:w val="0.99762591524295541"/>
          <c:h val="9.3998113517060333E-2"/>
        </c:manualLayout>
      </c:layout>
      <c:overlay val="0"/>
    </c:legend>
    <c:plotVisOnly val="1"/>
    <c:dispBlanksAs val="gap"/>
    <c:showDLblsOverMax val="0"/>
  </c:chart>
  <c:spPr>
    <a:noFill/>
    <a:ln>
      <a:noFill/>
    </a:ln>
  </c:spPr>
  <c:txPr>
    <a:bodyPr/>
    <a:lstStyle/>
    <a:p>
      <a:pPr>
        <a:defRPr sz="900">
          <a:solidFill>
            <a:sysClr val="windowText" lastClr="000000"/>
          </a:solidFill>
        </a:defRPr>
      </a:pPr>
      <a:endParaRPr lang="bg-BG"/>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1377472313409236E-2"/>
          <c:y val="2.7042169253945019E-2"/>
          <c:w val="0.92421604887585196"/>
          <c:h val="0.74666481479503"/>
        </c:manualLayout>
      </c:layout>
      <c:barChart>
        <c:barDir val="col"/>
        <c:grouping val="clustered"/>
        <c:varyColors val="0"/>
        <c:ser>
          <c:idx val="0"/>
          <c:order val="0"/>
          <c:tx>
            <c:strRef>
              <c:f>ULC!$A$3</c:f>
              <c:strCache>
                <c:ptCount val="1"/>
                <c:pt idx="0">
                  <c:v>Компенсация на един нает, %</c:v>
                </c:pt>
              </c:strCache>
            </c:strRef>
          </c:tx>
          <c:spPr>
            <a:solidFill>
              <a:srgbClr val="6768AB"/>
            </a:solidFill>
            <a:ln w="3175">
              <a:solidFill>
                <a:schemeClr val="bg1"/>
              </a:solidFill>
            </a:ln>
          </c:spPr>
          <c:invertIfNegative val="0"/>
          <c:cat>
            <c:numRef>
              <c:f>ULC!$I$2:$Q$2</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ULC!$I$3:$Q$3</c:f>
              <c:numCache>
                <c:formatCode>0.0</c:formatCode>
                <c:ptCount val="9"/>
                <c:pt idx="0">
                  <c:v>10.501698033529451</c:v>
                </c:pt>
                <c:pt idx="1">
                  <c:v>9.6717893336006888</c:v>
                </c:pt>
                <c:pt idx="2">
                  <c:v>6.9167644380697446</c:v>
                </c:pt>
                <c:pt idx="3">
                  <c:v>7.1609155603060248</c:v>
                </c:pt>
                <c:pt idx="4">
                  <c:v>9.542011730839949</c:v>
                </c:pt>
                <c:pt idx="5">
                  <c:v>8.1459531273019525</c:v>
                </c:pt>
                <c:pt idx="6">
                  <c:v>9.1568800389406402</c:v>
                </c:pt>
                <c:pt idx="7">
                  <c:v>8.2157460160723783</c:v>
                </c:pt>
                <c:pt idx="8">
                  <c:v>7.5672175389972507</c:v>
                </c:pt>
              </c:numCache>
            </c:numRef>
          </c:val>
          <c:extLst>
            <c:ext xmlns:c16="http://schemas.microsoft.com/office/drawing/2014/chart" uri="{C3380CC4-5D6E-409C-BE32-E72D297353CC}">
              <c16:uniqueId val="{00000000-2547-4B39-A363-3E525DD5C26B}"/>
            </c:ext>
          </c:extLst>
        </c:ser>
        <c:ser>
          <c:idx val="1"/>
          <c:order val="1"/>
          <c:tx>
            <c:strRef>
              <c:f>ULC!$A$4</c:f>
              <c:strCache>
                <c:ptCount val="1"/>
                <c:pt idx="0">
                  <c:v>Производителност на труда, %</c:v>
                </c:pt>
              </c:strCache>
            </c:strRef>
          </c:tx>
          <c:spPr>
            <a:solidFill>
              <a:srgbClr val="A197E4"/>
            </a:solidFill>
            <a:ln w="3175">
              <a:solidFill>
                <a:schemeClr val="bg1"/>
              </a:solidFill>
            </a:ln>
          </c:spPr>
          <c:invertIfNegative val="0"/>
          <c:cat>
            <c:numRef>
              <c:f>ULC!$I$2:$Q$2</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ULC!$I$4:$Q$4</c:f>
              <c:numCache>
                <c:formatCode>0.0</c:formatCode>
                <c:ptCount val="9"/>
                <c:pt idx="0">
                  <c:v>0.95475711550219167</c:v>
                </c:pt>
                <c:pt idx="1">
                  <c:v>2.7928115241091955</c:v>
                </c:pt>
                <c:pt idx="2">
                  <c:v>3.6861072489912328</c:v>
                </c:pt>
                <c:pt idx="3">
                  <c:v>-2.1203587195309126</c:v>
                </c:pt>
                <c:pt idx="4">
                  <c:v>3.977102719485659</c:v>
                </c:pt>
                <c:pt idx="5">
                  <c:v>0.88495575221239076</c:v>
                </c:pt>
                <c:pt idx="6">
                  <c:v>1.9841269841269771</c:v>
                </c:pt>
                <c:pt idx="7">
                  <c:v>2.5742574257425765</c:v>
                </c:pt>
                <c:pt idx="8">
                  <c:v>2.7833001988071482</c:v>
                </c:pt>
              </c:numCache>
            </c:numRef>
          </c:val>
          <c:extLst>
            <c:ext xmlns:c16="http://schemas.microsoft.com/office/drawing/2014/chart" uri="{C3380CC4-5D6E-409C-BE32-E72D297353CC}">
              <c16:uniqueId val="{00000001-2547-4B39-A363-3E525DD5C26B}"/>
            </c:ext>
          </c:extLst>
        </c:ser>
        <c:dLbls>
          <c:showLegendKey val="0"/>
          <c:showVal val="0"/>
          <c:showCatName val="0"/>
          <c:showSerName val="0"/>
          <c:showPercent val="0"/>
          <c:showBubbleSize val="0"/>
        </c:dLbls>
        <c:gapWidth val="80"/>
        <c:axId val="90381696"/>
        <c:axId val="90424832"/>
      </c:barChart>
      <c:lineChart>
        <c:grouping val="standard"/>
        <c:varyColors val="0"/>
        <c:ser>
          <c:idx val="2"/>
          <c:order val="2"/>
          <c:tx>
            <c:strRef>
              <c:f>ULC!$A$5</c:f>
              <c:strCache>
                <c:ptCount val="1"/>
                <c:pt idx="0">
                  <c:v>Номинални РТЕП, %</c:v>
                </c:pt>
              </c:strCache>
            </c:strRef>
          </c:tx>
          <c:spPr>
            <a:ln w="25400">
              <a:solidFill>
                <a:srgbClr val="F2A4A2"/>
              </a:solidFill>
            </a:ln>
          </c:spPr>
          <c:marker>
            <c:symbol val="circle"/>
            <c:size val="7"/>
            <c:spPr>
              <a:solidFill>
                <a:srgbClr val="F2A4A2"/>
              </a:solidFill>
              <a:ln w="3175">
                <a:solidFill>
                  <a:schemeClr val="bg1"/>
                </a:solidFill>
              </a:ln>
            </c:spPr>
          </c:marker>
          <c:cat>
            <c:numRef>
              <c:f>ULC!$I$2:$Q$2</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ULC!$I$5:$Q$5</c:f>
              <c:numCache>
                <c:formatCode>0.0</c:formatCode>
                <c:ptCount val="9"/>
                <c:pt idx="0">
                  <c:v>9.4566528520341198</c:v>
                </c:pt>
                <c:pt idx="1">
                  <c:v>6.6920806109852293</c:v>
                </c:pt>
                <c:pt idx="2">
                  <c:v>3.1158052653287971</c:v>
                </c:pt>
                <c:pt idx="3">
                  <c:v>9.4823337707602651</c:v>
                </c:pt>
                <c:pt idx="4">
                  <c:v>5.3520523901955386</c:v>
                </c:pt>
                <c:pt idx="5">
                  <c:v>7.1973044156589561</c:v>
                </c:pt>
                <c:pt idx="6">
                  <c:v>7.033205330011838</c:v>
                </c:pt>
                <c:pt idx="7">
                  <c:v>5.4999068303408061</c:v>
                </c:pt>
                <c:pt idx="8">
                  <c:v>4.6543721897787549</c:v>
                </c:pt>
              </c:numCache>
            </c:numRef>
          </c:val>
          <c:smooth val="0"/>
          <c:extLst>
            <c:ext xmlns:c16="http://schemas.microsoft.com/office/drawing/2014/chart" uri="{C3380CC4-5D6E-409C-BE32-E72D297353CC}">
              <c16:uniqueId val="{00000002-2547-4B39-A363-3E525DD5C26B}"/>
            </c:ext>
          </c:extLst>
        </c:ser>
        <c:dLbls>
          <c:showLegendKey val="0"/>
          <c:showVal val="0"/>
          <c:showCatName val="0"/>
          <c:showSerName val="0"/>
          <c:showPercent val="0"/>
          <c:showBubbleSize val="0"/>
        </c:dLbls>
        <c:marker val="1"/>
        <c:smooth val="0"/>
        <c:axId val="90381696"/>
        <c:axId val="90424832"/>
      </c:lineChart>
      <c:catAx>
        <c:axId val="90381696"/>
        <c:scaling>
          <c:orientation val="minMax"/>
        </c:scaling>
        <c:delete val="0"/>
        <c:axPos val="b"/>
        <c:majorGridlines>
          <c:spPr>
            <a:ln w="3175">
              <a:solidFill>
                <a:schemeClr val="bg1">
                  <a:lumMod val="85000"/>
                </a:schemeClr>
              </a:solidFill>
            </a:ln>
          </c:spPr>
        </c:majorGridlines>
        <c:numFmt formatCode="General" sourceLinked="1"/>
        <c:majorTickMark val="in"/>
        <c:minorTickMark val="none"/>
        <c:tickLblPos val="nextTo"/>
        <c:spPr>
          <a:ln w="6350">
            <a:solidFill>
              <a:schemeClr val="bg1">
                <a:lumMod val="50000"/>
              </a:schemeClr>
            </a:solidFill>
          </a:ln>
        </c:spPr>
        <c:crossAx val="90424832"/>
        <c:crosses val="autoZero"/>
        <c:auto val="1"/>
        <c:lblAlgn val="ctr"/>
        <c:lblOffset val="100"/>
        <c:noMultiLvlLbl val="0"/>
      </c:catAx>
      <c:valAx>
        <c:axId val="90424832"/>
        <c:scaling>
          <c:orientation val="minMax"/>
          <c:max val="12"/>
          <c:min val="0"/>
        </c:scaling>
        <c:delete val="0"/>
        <c:axPos val="l"/>
        <c:majorGridlines>
          <c:spPr>
            <a:ln w="3175">
              <a:solidFill>
                <a:schemeClr val="bg1">
                  <a:lumMod val="85000"/>
                </a:schemeClr>
              </a:solidFill>
            </a:ln>
          </c:spPr>
        </c:majorGridlines>
        <c:numFmt formatCode="0" sourceLinked="0"/>
        <c:majorTickMark val="in"/>
        <c:minorTickMark val="none"/>
        <c:tickLblPos val="nextTo"/>
        <c:spPr>
          <a:ln w="6350">
            <a:solidFill>
              <a:schemeClr val="bg1">
                <a:lumMod val="50000"/>
              </a:schemeClr>
            </a:solidFill>
          </a:ln>
        </c:spPr>
        <c:crossAx val="90381696"/>
        <c:crosses val="autoZero"/>
        <c:crossBetween val="between"/>
        <c:majorUnit val="2"/>
      </c:valAx>
      <c:spPr>
        <a:noFill/>
      </c:spPr>
    </c:plotArea>
    <c:legend>
      <c:legendPos val="b"/>
      <c:layout>
        <c:manualLayout>
          <c:xMode val="edge"/>
          <c:yMode val="edge"/>
          <c:x val="5.9228216307672284E-3"/>
          <c:y val="0.90681142830714445"/>
          <c:w val="0.98374646970781543"/>
          <c:h val="9.3188571692855576E-2"/>
        </c:manualLayout>
      </c:layout>
      <c:overlay val="0"/>
    </c:legend>
    <c:plotVisOnly val="1"/>
    <c:dispBlanksAs val="gap"/>
    <c:showDLblsOverMax val="0"/>
  </c:chart>
  <c:spPr>
    <a:noFill/>
    <a:ln>
      <a:noFill/>
    </a:ln>
  </c:spPr>
  <c:txPr>
    <a:bodyPr/>
    <a:lstStyle/>
    <a:p>
      <a:pPr>
        <a:defRPr sz="900"/>
      </a:pPr>
      <a:endParaRPr lang="bg-BG"/>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399656217173515E-2"/>
          <c:y val="2.5113506477012954E-2"/>
          <c:w val="0.93844377501323906"/>
          <c:h val="0.64369007175514348"/>
        </c:manualLayout>
      </c:layout>
      <c:barChart>
        <c:barDir val="col"/>
        <c:grouping val="stacked"/>
        <c:varyColors val="0"/>
        <c:ser>
          <c:idx val="5"/>
          <c:order val="1"/>
          <c:tx>
            <c:strRef>
              <c:f>contrib!$E$9</c:f>
              <c:strCache>
                <c:ptCount val="1"/>
                <c:pt idx="0">
                  <c:v>Енергийни стоки</c:v>
                </c:pt>
              </c:strCache>
            </c:strRef>
          </c:tx>
          <c:spPr>
            <a:solidFill>
              <a:srgbClr val="C8C9E0"/>
            </a:solidFill>
            <a:ln w="3175">
              <a:solidFill>
                <a:schemeClr val="bg1"/>
              </a:solidFill>
            </a:ln>
            <a:effectLst/>
          </c:spPr>
          <c:invertIfNegative val="0"/>
          <c:cat>
            <c:multiLvlStrRef>
              <c:f>contrib!$F$3:$AQ$4</c:f>
              <c:multiLvlStrCache>
                <c:ptCount val="38"/>
                <c:lvl>
                  <c:pt idx="2">
                    <c:v>3</c:v>
                  </c:pt>
                  <c:pt idx="5">
                    <c:v>6</c:v>
                  </c:pt>
                  <c:pt idx="8">
                    <c:v>9</c:v>
                  </c:pt>
                  <c:pt idx="11">
                    <c:v>12</c:v>
                  </c:pt>
                  <c:pt idx="12">
                    <c:v> </c:v>
                  </c:pt>
                  <c:pt idx="13">
                    <c:v> </c:v>
                  </c:pt>
                  <c:pt idx="14">
                    <c:v>3</c:v>
                  </c:pt>
                  <c:pt idx="17">
                    <c:v>6</c:v>
                  </c:pt>
                  <c:pt idx="20">
                    <c:v>9</c:v>
                  </c:pt>
                  <c:pt idx="23">
                    <c:v>12</c:v>
                  </c:pt>
                  <c:pt idx="24">
                    <c:v> </c:v>
                  </c:pt>
                  <c:pt idx="25">
                    <c:v> </c:v>
                  </c:pt>
                  <c:pt idx="26">
                    <c:v>3</c:v>
                  </c:pt>
                  <c:pt idx="29">
                    <c:v>6</c:v>
                  </c:pt>
                  <c:pt idx="32">
                    <c:v>9</c:v>
                  </c:pt>
                  <c:pt idx="35">
                    <c:v>12</c:v>
                  </c:pt>
                  <c:pt idx="36">
                    <c:v> </c:v>
                  </c:pt>
                  <c:pt idx="37">
                    <c:v> </c:v>
                  </c:pt>
                </c:lvl>
                <c:lvl>
                  <c:pt idx="0">
                    <c:v>2019</c:v>
                  </c:pt>
                  <c:pt idx="12">
                    <c:v>2020</c:v>
                  </c:pt>
                  <c:pt idx="24">
                    <c:v>2021</c:v>
                  </c:pt>
                  <c:pt idx="36">
                    <c:v>2022</c:v>
                  </c:pt>
                </c:lvl>
              </c:multiLvlStrCache>
            </c:multiLvlStrRef>
          </c:cat>
          <c:val>
            <c:numRef>
              <c:f>contrib!$F$9:$AQ$9</c:f>
              <c:numCache>
                <c:formatCode>0.0</c:formatCode>
                <c:ptCount val="38"/>
                <c:pt idx="0">
                  <c:v>5.2579521982886915E-2</c:v>
                </c:pt>
                <c:pt idx="1">
                  <c:v>0.21852251545178134</c:v>
                </c:pt>
                <c:pt idx="2">
                  <c:v>0.55645657764589518</c:v>
                </c:pt>
                <c:pt idx="3">
                  <c:v>0.61591151491210749</c:v>
                </c:pt>
                <c:pt idx="4">
                  <c:v>0.49588012374323309</c:v>
                </c:pt>
                <c:pt idx="5">
                  <c:v>0.147507931984422</c:v>
                </c:pt>
                <c:pt idx="6">
                  <c:v>8.0208427389013792E-2</c:v>
                </c:pt>
                <c:pt idx="7">
                  <c:v>9.5483870967740057E-3</c:v>
                </c:pt>
                <c:pt idx="8">
                  <c:v>-0.10644118193644335</c:v>
                </c:pt>
                <c:pt idx="9">
                  <c:v>-0.33199454694174241</c:v>
                </c:pt>
                <c:pt idx="10">
                  <c:v>-6.1271616367337876E-2</c:v>
                </c:pt>
                <c:pt idx="11">
                  <c:v>0.46936491430772143</c:v>
                </c:pt>
                <c:pt idx="12">
                  <c:v>0.70278930355568547</c:v>
                </c:pt>
                <c:pt idx="13">
                  <c:v>0.5048859953703686</c:v>
                </c:pt>
                <c:pt idx="14">
                  <c:v>-1.7345526914328602E-2</c:v>
                </c:pt>
                <c:pt idx="15">
                  <c:v>-1.0172164657121325</c:v>
                </c:pt>
                <c:pt idx="16">
                  <c:v>-1.4022024751093318</c:v>
                </c:pt>
                <c:pt idx="17">
                  <c:v>-1.3738565123485764</c:v>
                </c:pt>
                <c:pt idx="18">
                  <c:v>-1.1473233012431057</c:v>
                </c:pt>
                <c:pt idx="19">
                  <c:v>-1.015308845577211</c:v>
                </c:pt>
                <c:pt idx="20">
                  <c:v>-1.0015884557721138</c:v>
                </c:pt>
                <c:pt idx="21">
                  <c:v>-1.033913400522583</c:v>
                </c:pt>
                <c:pt idx="22">
                  <c:v>-1.0079419534883713</c:v>
                </c:pt>
                <c:pt idx="23">
                  <c:v>-1.0050305506546577</c:v>
                </c:pt>
                <c:pt idx="24">
                  <c:v>-0.8995087524312303</c:v>
                </c:pt>
                <c:pt idx="25">
                  <c:v>-0.68706196165601585</c:v>
                </c:pt>
                <c:pt idx="26">
                  <c:v>-0.14473996393660449</c:v>
                </c:pt>
                <c:pt idx="27">
                  <c:v>1.0444387010584733</c:v>
                </c:pt>
                <c:pt idx="28">
                  <c:v>1.3519611017661901</c:v>
                </c:pt>
                <c:pt idx="29">
                  <c:v>1.4925244444444457</c:v>
                </c:pt>
                <c:pt idx="30">
                  <c:v>1.6565063447848964</c:v>
                </c:pt>
                <c:pt idx="31">
                  <c:v>1.8331428863450554</c:v>
                </c:pt>
                <c:pt idx="32">
                  <c:v>1.9554481420988166</c:v>
                </c:pt>
                <c:pt idx="33">
                  <c:v>2.5464362765089716</c:v>
                </c:pt>
                <c:pt idx="34">
                  <c:v>2.9234397688095721</c:v>
                </c:pt>
                <c:pt idx="35">
                  <c:v>2.9446857923497274</c:v>
                </c:pt>
                <c:pt idx="36">
                  <c:v>3.3180809919008096</c:v>
                </c:pt>
                <c:pt idx="37">
                  <c:v>3.0934882716655214</c:v>
                </c:pt>
              </c:numCache>
            </c:numRef>
          </c:val>
          <c:extLst>
            <c:ext xmlns:c16="http://schemas.microsoft.com/office/drawing/2014/chart" uri="{C3380CC4-5D6E-409C-BE32-E72D297353CC}">
              <c16:uniqueId val="{00000000-6275-4905-A031-8A69272D04AE}"/>
            </c:ext>
          </c:extLst>
        </c:ser>
        <c:ser>
          <c:idx val="6"/>
          <c:order val="2"/>
          <c:tx>
            <c:strRef>
              <c:f>contrib!$E$10</c:f>
              <c:strCache>
                <c:ptCount val="1"/>
                <c:pt idx="0">
                  <c:v>Услуги</c:v>
                </c:pt>
              </c:strCache>
            </c:strRef>
          </c:tx>
          <c:spPr>
            <a:solidFill>
              <a:srgbClr val="6768AB"/>
            </a:solidFill>
            <a:ln w="3175">
              <a:solidFill>
                <a:schemeClr val="bg1"/>
              </a:solidFill>
            </a:ln>
            <a:effectLst/>
          </c:spPr>
          <c:invertIfNegative val="0"/>
          <c:cat>
            <c:multiLvlStrRef>
              <c:f>contrib!$F$3:$AQ$4</c:f>
              <c:multiLvlStrCache>
                <c:ptCount val="38"/>
                <c:lvl>
                  <c:pt idx="2">
                    <c:v>3</c:v>
                  </c:pt>
                  <c:pt idx="5">
                    <c:v>6</c:v>
                  </c:pt>
                  <c:pt idx="8">
                    <c:v>9</c:v>
                  </c:pt>
                  <c:pt idx="11">
                    <c:v>12</c:v>
                  </c:pt>
                  <c:pt idx="12">
                    <c:v> </c:v>
                  </c:pt>
                  <c:pt idx="13">
                    <c:v> </c:v>
                  </c:pt>
                  <c:pt idx="14">
                    <c:v>3</c:v>
                  </c:pt>
                  <c:pt idx="17">
                    <c:v>6</c:v>
                  </c:pt>
                  <c:pt idx="20">
                    <c:v>9</c:v>
                  </c:pt>
                  <c:pt idx="23">
                    <c:v>12</c:v>
                  </c:pt>
                  <c:pt idx="24">
                    <c:v> </c:v>
                  </c:pt>
                  <c:pt idx="25">
                    <c:v> </c:v>
                  </c:pt>
                  <c:pt idx="26">
                    <c:v>3</c:v>
                  </c:pt>
                  <c:pt idx="29">
                    <c:v>6</c:v>
                  </c:pt>
                  <c:pt idx="32">
                    <c:v>9</c:v>
                  </c:pt>
                  <c:pt idx="35">
                    <c:v>12</c:v>
                  </c:pt>
                  <c:pt idx="36">
                    <c:v> </c:v>
                  </c:pt>
                  <c:pt idx="37">
                    <c:v> </c:v>
                  </c:pt>
                </c:lvl>
                <c:lvl>
                  <c:pt idx="0">
                    <c:v>2019</c:v>
                  </c:pt>
                  <c:pt idx="12">
                    <c:v>2020</c:v>
                  </c:pt>
                  <c:pt idx="24">
                    <c:v>2021</c:v>
                  </c:pt>
                  <c:pt idx="36">
                    <c:v>2022</c:v>
                  </c:pt>
                </c:lvl>
              </c:multiLvlStrCache>
            </c:multiLvlStrRef>
          </c:cat>
          <c:val>
            <c:numRef>
              <c:f>contrib!$F$10:$AQ$10</c:f>
              <c:numCache>
                <c:formatCode>0.0</c:formatCode>
                <c:ptCount val="38"/>
                <c:pt idx="0">
                  <c:v>1.3744408316090302</c:v>
                </c:pt>
                <c:pt idx="1">
                  <c:v>1.026763351298384</c:v>
                </c:pt>
                <c:pt idx="2">
                  <c:v>0.9915047021943556</c:v>
                </c:pt>
                <c:pt idx="3">
                  <c:v>1.1878001374300555</c:v>
                </c:pt>
                <c:pt idx="4">
                  <c:v>1.066058465764179</c:v>
                </c:pt>
                <c:pt idx="5">
                  <c:v>0.99482248234497461</c:v>
                </c:pt>
                <c:pt idx="6">
                  <c:v>1.3996954314720813</c:v>
                </c:pt>
                <c:pt idx="7">
                  <c:v>1.1736178107606738</c:v>
                </c:pt>
                <c:pt idx="8">
                  <c:v>0.64182631028250559</c:v>
                </c:pt>
                <c:pt idx="9">
                  <c:v>0.78557067052580565</c:v>
                </c:pt>
                <c:pt idx="10">
                  <c:v>0.80060156174684316</c:v>
                </c:pt>
                <c:pt idx="11">
                  <c:v>0.90025762455010305</c:v>
                </c:pt>
                <c:pt idx="12">
                  <c:v>0.88911447206730221</c:v>
                </c:pt>
                <c:pt idx="13">
                  <c:v>0.97850930851063922</c:v>
                </c:pt>
                <c:pt idx="14">
                  <c:v>0.85456587452471588</c:v>
                </c:pt>
                <c:pt idx="15">
                  <c:v>0.8785956439393996</c:v>
                </c:pt>
                <c:pt idx="16">
                  <c:v>0.91460661031436652</c:v>
                </c:pt>
                <c:pt idx="17">
                  <c:v>0.69066923221325294</c:v>
                </c:pt>
                <c:pt idx="18">
                  <c:v>0.30271830224385332</c:v>
                </c:pt>
                <c:pt idx="19">
                  <c:v>0.60434404655326646</c:v>
                </c:pt>
                <c:pt idx="20">
                  <c:v>0.6296542300158573</c:v>
                </c:pt>
                <c:pt idx="21">
                  <c:v>0.83779709871891739</c:v>
                </c:pt>
                <c:pt idx="22">
                  <c:v>0.72540342459309504</c:v>
                </c:pt>
                <c:pt idx="23">
                  <c:v>0.66633655884250231</c:v>
                </c:pt>
                <c:pt idx="24">
                  <c:v>0.54759863883012838</c:v>
                </c:pt>
                <c:pt idx="25">
                  <c:v>0.69865207373271854</c:v>
                </c:pt>
                <c:pt idx="26">
                  <c:v>0.76307147486343896</c:v>
                </c:pt>
                <c:pt idx="27">
                  <c:v>0.62751658986175285</c:v>
                </c:pt>
                <c:pt idx="28">
                  <c:v>0.62103970452446755</c:v>
                </c:pt>
                <c:pt idx="29">
                  <c:v>0.54957782065417127</c:v>
                </c:pt>
                <c:pt idx="30">
                  <c:v>8.6125245491876834E-2</c:v>
                </c:pt>
                <c:pt idx="31">
                  <c:v>-0.13078903435550801</c:v>
                </c:pt>
                <c:pt idx="32">
                  <c:v>0.66315358580314832</c:v>
                </c:pt>
                <c:pt idx="33">
                  <c:v>0.66546677069946614</c:v>
                </c:pt>
                <c:pt idx="34">
                  <c:v>0.8317681692732265</c:v>
                </c:pt>
                <c:pt idx="35">
                  <c:v>0.65696127110228375</c:v>
                </c:pt>
                <c:pt idx="36">
                  <c:v>0.94422653079628605</c:v>
                </c:pt>
                <c:pt idx="37">
                  <c:v>1.0759742022471919</c:v>
                </c:pt>
              </c:numCache>
            </c:numRef>
          </c:val>
          <c:extLst>
            <c:ext xmlns:c16="http://schemas.microsoft.com/office/drawing/2014/chart" uri="{C3380CC4-5D6E-409C-BE32-E72D297353CC}">
              <c16:uniqueId val="{00000001-6275-4905-A031-8A69272D04AE}"/>
            </c:ext>
          </c:extLst>
        </c:ser>
        <c:ser>
          <c:idx val="2"/>
          <c:order val="3"/>
          <c:tx>
            <c:strRef>
              <c:f>contrib!$E$7</c:f>
              <c:strCache>
                <c:ptCount val="1"/>
                <c:pt idx="0">
                  <c:v>Непреработени храни</c:v>
                </c:pt>
              </c:strCache>
            </c:strRef>
          </c:tx>
          <c:spPr>
            <a:solidFill>
              <a:srgbClr val="A197E4"/>
            </a:solidFill>
            <a:ln w="3175">
              <a:solidFill>
                <a:schemeClr val="bg1"/>
              </a:solidFill>
            </a:ln>
            <a:effectLst/>
          </c:spPr>
          <c:invertIfNegative val="0"/>
          <c:cat>
            <c:multiLvlStrRef>
              <c:f>contrib!$F$3:$AQ$4</c:f>
              <c:multiLvlStrCache>
                <c:ptCount val="38"/>
                <c:lvl>
                  <c:pt idx="2">
                    <c:v>3</c:v>
                  </c:pt>
                  <c:pt idx="5">
                    <c:v>6</c:v>
                  </c:pt>
                  <c:pt idx="8">
                    <c:v>9</c:v>
                  </c:pt>
                  <c:pt idx="11">
                    <c:v>12</c:v>
                  </c:pt>
                  <c:pt idx="12">
                    <c:v> </c:v>
                  </c:pt>
                  <c:pt idx="13">
                    <c:v> </c:v>
                  </c:pt>
                  <c:pt idx="14">
                    <c:v>3</c:v>
                  </c:pt>
                  <c:pt idx="17">
                    <c:v>6</c:v>
                  </c:pt>
                  <c:pt idx="20">
                    <c:v>9</c:v>
                  </c:pt>
                  <c:pt idx="23">
                    <c:v>12</c:v>
                  </c:pt>
                  <c:pt idx="24">
                    <c:v> </c:v>
                  </c:pt>
                  <c:pt idx="25">
                    <c:v> </c:v>
                  </c:pt>
                  <c:pt idx="26">
                    <c:v>3</c:v>
                  </c:pt>
                  <c:pt idx="29">
                    <c:v>6</c:v>
                  </c:pt>
                  <c:pt idx="32">
                    <c:v>9</c:v>
                  </c:pt>
                  <c:pt idx="35">
                    <c:v>12</c:v>
                  </c:pt>
                  <c:pt idx="36">
                    <c:v> </c:v>
                  </c:pt>
                  <c:pt idx="37">
                    <c:v> </c:v>
                  </c:pt>
                </c:lvl>
                <c:lvl>
                  <c:pt idx="0">
                    <c:v>2019</c:v>
                  </c:pt>
                  <c:pt idx="12">
                    <c:v>2020</c:v>
                  </c:pt>
                  <c:pt idx="24">
                    <c:v>2021</c:v>
                  </c:pt>
                  <c:pt idx="36">
                    <c:v>2022</c:v>
                  </c:pt>
                </c:lvl>
              </c:multiLvlStrCache>
            </c:multiLvlStrRef>
          </c:cat>
          <c:val>
            <c:numRef>
              <c:f>contrib!$F$7:$AQ$7</c:f>
              <c:numCache>
                <c:formatCode>0.0</c:formatCode>
                <c:ptCount val="38"/>
                <c:pt idx="0">
                  <c:v>0.16180594900849804</c:v>
                </c:pt>
                <c:pt idx="1">
                  <c:v>0.31470739219712512</c:v>
                </c:pt>
                <c:pt idx="2">
                  <c:v>0.36986883080116989</c:v>
                </c:pt>
                <c:pt idx="3">
                  <c:v>0.3299500601128279</c:v>
                </c:pt>
                <c:pt idx="4">
                  <c:v>0.24984897769516709</c:v>
                </c:pt>
                <c:pt idx="5">
                  <c:v>0.11946009165552836</c:v>
                </c:pt>
                <c:pt idx="6">
                  <c:v>0.19728307254623023</c:v>
                </c:pt>
                <c:pt idx="7">
                  <c:v>0.24115033735626695</c:v>
                </c:pt>
                <c:pt idx="8">
                  <c:v>0.10937065851625459</c:v>
                </c:pt>
                <c:pt idx="9">
                  <c:v>0.21559405940594073</c:v>
                </c:pt>
                <c:pt idx="10">
                  <c:v>0.38111089884420735</c:v>
                </c:pt>
                <c:pt idx="11">
                  <c:v>0.53233185798133276</c:v>
                </c:pt>
                <c:pt idx="12">
                  <c:v>0.63144158814381013</c:v>
                </c:pt>
                <c:pt idx="13">
                  <c:v>0.43034167764602527</c:v>
                </c:pt>
                <c:pt idx="14">
                  <c:v>0.34688160323459594</c:v>
                </c:pt>
                <c:pt idx="15">
                  <c:v>0.37659498394515234</c:v>
                </c:pt>
                <c:pt idx="16">
                  <c:v>0.44425745905267811</c:v>
                </c:pt>
                <c:pt idx="17">
                  <c:v>0.62461027697472671</c:v>
                </c:pt>
                <c:pt idx="18">
                  <c:v>0.28396313532256584</c:v>
                </c:pt>
                <c:pt idx="19">
                  <c:v>0.18112658686978644</c:v>
                </c:pt>
                <c:pt idx="20">
                  <c:v>0.18350108774474264</c:v>
                </c:pt>
                <c:pt idx="21">
                  <c:v>0.15869656419529893</c:v>
                </c:pt>
                <c:pt idx="22">
                  <c:v>6.4533428038711774E-2</c:v>
                </c:pt>
                <c:pt idx="23">
                  <c:v>-0.129751870541152</c:v>
                </c:pt>
                <c:pt idx="24">
                  <c:v>-0.4022844509948415</c:v>
                </c:pt>
                <c:pt idx="25">
                  <c:v>-0.29392907686051262</c:v>
                </c:pt>
                <c:pt idx="26">
                  <c:v>-0.21817968620974354</c:v>
                </c:pt>
                <c:pt idx="27">
                  <c:v>-0.19172252413010035</c:v>
                </c:pt>
                <c:pt idx="28">
                  <c:v>-0.18841073035086284</c:v>
                </c:pt>
                <c:pt idx="29">
                  <c:v>-0.19934678699757646</c:v>
                </c:pt>
                <c:pt idx="30">
                  <c:v>-5.1575886278929256E-2</c:v>
                </c:pt>
                <c:pt idx="31">
                  <c:v>0.21215343451179888</c:v>
                </c:pt>
                <c:pt idx="32">
                  <c:v>0.25553173211781205</c:v>
                </c:pt>
                <c:pt idx="33">
                  <c:v>0.32266880379413354</c:v>
                </c:pt>
                <c:pt idx="34">
                  <c:v>0.27491366906474785</c:v>
                </c:pt>
                <c:pt idx="35">
                  <c:v>0.41951127752518508</c:v>
                </c:pt>
                <c:pt idx="36">
                  <c:v>0.57417334040484369</c:v>
                </c:pt>
                <c:pt idx="37">
                  <c:v>0.82032906387002535</c:v>
                </c:pt>
              </c:numCache>
            </c:numRef>
          </c:val>
          <c:extLst>
            <c:ext xmlns:c16="http://schemas.microsoft.com/office/drawing/2014/chart" uri="{C3380CC4-5D6E-409C-BE32-E72D297353CC}">
              <c16:uniqueId val="{00000002-6275-4905-A031-8A69272D04AE}"/>
            </c:ext>
          </c:extLst>
        </c:ser>
        <c:ser>
          <c:idx val="3"/>
          <c:order val="4"/>
          <c:tx>
            <c:strRef>
              <c:f>contrib!$E$8</c:f>
              <c:strCache>
                <c:ptCount val="1"/>
                <c:pt idx="0">
                  <c:v>Нехранителни стоки</c:v>
                </c:pt>
              </c:strCache>
            </c:strRef>
          </c:tx>
          <c:spPr>
            <a:solidFill>
              <a:srgbClr val="F8BBCD"/>
            </a:solidFill>
            <a:ln w="3175">
              <a:solidFill>
                <a:schemeClr val="bg1"/>
              </a:solidFill>
            </a:ln>
            <a:effectLst/>
          </c:spPr>
          <c:invertIfNegative val="0"/>
          <c:cat>
            <c:multiLvlStrRef>
              <c:f>contrib!$F$3:$AQ$4</c:f>
              <c:multiLvlStrCache>
                <c:ptCount val="38"/>
                <c:lvl>
                  <c:pt idx="2">
                    <c:v>3</c:v>
                  </c:pt>
                  <c:pt idx="5">
                    <c:v>6</c:v>
                  </c:pt>
                  <c:pt idx="8">
                    <c:v>9</c:v>
                  </c:pt>
                  <c:pt idx="11">
                    <c:v>12</c:v>
                  </c:pt>
                  <c:pt idx="12">
                    <c:v> </c:v>
                  </c:pt>
                  <c:pt idx="13">
                    <c:v> </c:v>
                  </c:pt>
                  <c:pt idx="14">
                    <c:v>3</c:v>
                  </c:pt>
                  <c:pt idx="17">
                    <c:v>6</c:v>
                  </c:pt>
                  <c:pt idx="20">
                    <c:v>9</c:v>
                  </c:pt>
                  <c:pt idx="23">
                    <c:v>12</c:v>
                  </c:pt>
                  <c:pt idx="24">
                    <c:v> </c:v>
                  </c:pt>
                  <c:pt idx="25">
                    <c:v> </c:v>
                  </c:pt>
                  <c:pt idx="26">
                    <c:v>3</c:v>
                  </c:pt>
                  <c:pt idx="29">
                    <c:v>6</c:v>
                  </c:pt>
                  <c:pt idx="32">
                    <c:v>9</c:v>
                  </c:pt>
                  <c:pt idx="35">
                    <c:v>12</c:v>
                  </c:pt>
                  <c:pt idx="36">
                    <c:v> </c:v>
                  </c:pt>
                  <c:pt idx="37">
                    <c:v> </c:v>
                  </c:pt>
                </c:lvl>
                <c:lvl>
                  <c:pt idx="0">
                    <c:v>2019</c:v>
                  </c:pt>
                  <c:pt idx="12">
                    <c:v>2020</c:v>
                  </c:pt>
                  <c:pt idx="24">
                    <c:v>2021</c:v>
                  </c:pt>
                  <c:pt idx="36">
                    <c:v>2022</c:v>
                  </c:pt>
                </c:lvl>
              </c:multiLvlStrCache>
            </c:multiLvlStrRef>
          </c:cat>
          <c:val>
            <c:numRef>
              <c:f>contrib!$F$8:$AQ$8</c:f>
              <c:numCache>
                <c:formatCode>0.0</c:formatCode>
                <c:ptCount val="38"/>
                <c:pt idx="0">
                  <c:v>1.0971841155232653E-2</c:v>
                </c:pt>
                <c:pt idx="1">
                  <c:v>3.3038202712493657E-2</c:v>
                </c:pt>
                <c:pt idx="2">
                  <c:v>3.3079299264022893E-2</c:v>
                </c:pt>
                <c:pt idx="3">
                  <c:v>7.1250824402301946E-2</c:v>
                </c:pt>
                <c:pt idx="4">
                  <c:v>5.475190446777984E-2</c:v>
                </c:pt>
                <c:pt idx="5">
                  <c:v>8.7838150289021241E-2</c:v>
                </c:pt>
                <c:pt idx="6">
                  <c:v>1.099565846599071E-2</c:v>
                </c:pt>
                <c:pt idx="7">
                  <c:v>5.2538941457832646E-2</c:v>
                </c:pt>
                <c:pt idx="8">
                  <c:v>4.6974334995844934E-2</c:v>
                </c:pt>
                <c:pt idx="9">
                  <c:v>8.2077160493828225E-2</c:v>
                </c:pt>
                <c:pt idx="10">
                  <c:v>0.11233391716463859</c:v>
                </c:pt>
                <c:pt idx="11">
                  <c:v>0.16484967455315677</c:v>
                </c:pt>
                <c:pt idx="12">
                  <c:v>-4.4184348901949201E-2</c:v>
                </c:pt>
                <c:pt idx="13">
                  <c:v>8.3085513390572206E-3</c:v>
                </c:pt>
                <c:pt idx="14">
                  <c:v>-5.2686199399523952E-2</c:v>
                </c:pt>
                <c:pt idx="15">
                  <c:v>-3.578540596094347E-2</c:v>
                </c:pt>
                <c:pt idx="16">
                  <c:v>-2.2012738853503452E-2</c:v>
                </c:pt>
                <c:pt idx="17">
                  <c:v>2.2044444444444224E-2</c:v>
                </c:pt>
                <c:pt idx="18">
                  <c:v>2.2140111593303445E-2</c:v>
                </c:pt>
                <c:pt idx="19">
                  <c:v>1.3897882938977972E-2</c:v>
                </c:pt>
                <c:pt idx="20">
                  <c:v>-1.1112540192925043E-2</c:v>
                </c:pt>
                <c:pt idx="21">
                  <c:v>-7.9665230769232376E-2</c:v>
                </c:pt>
                <c:pt idx="22">
                  <c:v>-9.3429362880887268E-2</c:v>
                </c:pt>
                <c:pt idx="23">
                  <c:v>-0.15676024232467659</c:v>
                </c:pt>
                <c:pt idx="24">
                  <c:v>-0.11760817928327896</c:v>
                </c:pt>
                <c:pt idx="25">
                  <c:v>-9.9607194542072244E-2</c:v>
                </c:pt>
                <c:pt idx="26">
                  <c:v>-5.7551867219920436E-2</c:v>
                </c:pt>
                <c:pt idx="27">
                  <c:v>-2.4040341669238727E-2</c:v>
                </c:pt>
                <c:pt idx="28">
                  <c:v>3.302488176023155E-2</c:v>
                </c:pt>
                <c:pt idx="29">
                  <c:v>6.3034539473679846E-2</c:v>
                </c:pt>
                <c:pt idx="30">
                  <c:v>0.12963039438364404</c:v>
                </c:pt>
                <c:pt idx="31">
                  <c:v>0.19686754486049465</c:v>
                </c:pt>
                <c:pt idx="32">
                  <c:v>0.28178893846632708</c:v>
                </c:pt>
                <c:pt idx="33">
                  <c:v>0.48060899084456937</c:v>
                </c:pt>
                <c:pt idx="34">
                  <c:v>0.68543189539791927</c:v>
                </c:pt>
                <c:pt idx="35">
                  <c:v>0.85651724850237554</c:v>
                </c:pt>
                <c:pt idx="36">
                  <c:v>1.1653582538365861</c:v>
                </c:pt>
                <c:pt idx="37">
                  <c:v>1.3158274037962865</c:v>
                </c:pt>
              </c:numCache>
            </c:numRef>
          </c:val>
          <c:extLst>
            <c:ext xmlns:c16="http://schemas.microsoft.com/office/drawing/2014/chart" uri="{C3380CC4-5D6E-409C-BE32-E72D297353CC}">
              <c16:uniqueId val="{00000003-6275-4905-A031-8A69272D04AE}"/>
            </c:ext>
          </c:extLst>
        </c:ser>
        <c:ser>
          <c:idx val="0"/>
          <c:order val="5"/>
          <c:tx>
            <c:strRef>
              <c:f>contrib!$E$6</c:f>
              <c:strCache>
                <c:ptCount val="1"/>
                <c:pt idx="0">
                  <c:v>Преработени храни*</c:v>
                </c:pt>
              </c:strCache>
            </c:strRef>
          </c:tx>
          <c:spPr>
            <a:solidFill>
              <a:srgbClr val="F2A4A2"/>
            </a:solidFill>
            <a:ln w="3175">
              <a:solidFill>
                <a:schemeClr val="bg1"/>
              </a:solidFill>
            </a:ln>
            <a:effectLst/>
          </c:spPr>
          <c:invertIfNegative val="0"/>
          <c:cat>
            <c:multiLvlStrRef>
              <c:f>contrib!$F$3:$AQ$4</c:f>
              <c:multiLvlStrCache>
                <c:ptCount val="38"/>
                <c:lvl>
                  <c:pt idx="2">
                    <c:v>3</c:v>
                  </c:pt>
                  <c:pt idx="5">
                    <c:v>6</c:v>
                  </c:pt>
                  <c:pt idx="8">
                    <c:v>9</c:v>
                  </c:pt>
                  <c:pt idx="11">
                    <c:v>12</c:v>
                  </c:pt>
                  <c:pt idx="12">
                    <c:v> </c:v>
                  </c:pt>
                  <c:pt idx="13">
                    <c:v> </c:v>
                  </c:pt>
                  <c:pt idx="14">
                    <c:v>3</c:v>
                  </c:pt>
                  <c:pt idx="17">
                    <c:v>6</c:v>
                  </c:pt>
                  <c:pt idx="20">
                    <c:v>9</c:v>
                  </c:pt>
                  <c:pt idx="23">
                    <c:v>12</c:v>
                  </c:pt>
                  <c:pt idx="24">
                    <c:v> </c:v>
                  </c:pt>
                  <c:pt idx="25">
                    <c:v> </c:v>
                  </c:pt>
                  <c:pt idx="26">
                    <c:v>3</c:v>
                  </c:pt>
                  <c:pt idx="29">
                    <c:v>6</c:v>
                  </c:pt>
                  <c:pt idx="32">
                    <c:v>9</c:v>
                  </c:pt>
                  <c:pt idx="35">
                    <c:v>12</c:v>
                  </c:pt>
                  <c:pt idx="36">
                    <c:v> </c:v>
                  </c:pt>
                  <c:pt idx="37">
                    <c:v> </c:v>
                  </c:pt>
                </c:lvl>
                <c:lvl>
                  <c:pt idx="0">
                    <c:v>2019</c:v>
                  </c:pt>
                  <c:pt idx="12">
                    <c:v>2020</c:v>
                  </c:pt>
                  <c:pt idx="24">
                    <c:v>2021</c:v>
                  </c:pt>
                  <c:pt idx="36">
                    <c:v>2022</c:v>
                  </c:pt>
                </c:lvl>
              </c:multiLvlStrCache>
            </c:multiLvlStrRef>
          </c:cat>
          <c:val>
            <c:numRef>
              <c:f>contrib!$F$6:$AQ$6</c:f>
              <c:numCache>
                <c:formatCode>0.0</c:formatCode>
                <c:ptCount val="38"/>
                <c:pt idx="0">
                  <c:v>0.74227551215776444</c:v>
                </c:pt>
                <c:pt idx="1">
                  <c:v>0.79149603667271451</c:v>
                </c:pt>
                <c:pt idx="2">
                  <c:v>0.83100658648339176</c:v>
                </c:pt>
                <c:pt idx="3">
                  <c:v>0.90264616408403919</c:v>
                </c:pt>
                <c:pt idx="4">
                  <c:v>1.0164262699014421</c:v>
                </c:pt>
                <c:pt idx="5">
                  <c:v>1.0108765619083699</c:v>
                </c:pt>
                <c:pt idx="6">
                  <c:v>0.9470577378135342</c:v>
                </c:pt>
                <c:pt idx="7">
                  <c:v>0.99865982792852581</c:v>
                </c:pt>
                <c:pt idx="8">
                  <c:v>0.97391881745659126</c:v>
                </c:pt>
                <c:pt idx="9">
                  <c:v>0.96006768110530183</c:v>
                </c:pt>
                <c:pt idx="10">
                  <c:v>1.0531630181648828</c:v>
                </c:pt>
                <c:pt idx="11">
                  <c:v>1.0338401822238759</c:v>
                </c:pt>
                <c:pt idx="12">
                  <c:v>1.2278961038961047</c:v>
                </c:pt>
                <c:pt idx="13">
                  <c:v>1.1831597709641692</c:v>
                </c:pt>
                <c:pt idx="14">
                  <c:v>1.2873898258225014</c:v>
                </c:pt>
                <c:pt idx="15">
                  <c:v>1.1507031478770116</c:v>
                </c:pt>
                <c:pt idx="16">
                  <c:v>1.053728618122389</c:v>
                </c:pt>
                <c:pt idx="17">
                  <c:v>0.99059270682148259</c:v>
                </c:pt>
                <c:pt idx="18">
                  <c:v>0.98881593306657223</c:v>
                </c:pt>
                <c:pt idx="19">
                  <c:v>0.87845993473531525</c:v>
                </c:pt>
                <c:pt idx="20">
                  <c:v>0.80904882003242495</c:v>
                </c:pt>
                <c:pt idx="21">
                  <c:v>0.72468435679067755</c:v>
                </c:pt>
                <c:pt idx="22">
                  <c:v>0.61925485653180956</c:v>
                </c:pt>
                <c:pt idx="23">
                  <c:v>0.63957703604806393</c:v>
                </c:pt>
                <c:pt idx="24">
                  <c:v>0.4938894179894196</c:v>
                </c:pt>
                <c:pt idx="25">
                  <c:v>0.4970847845206664</c:v>
                </c:pt>
                <c:pt idx="26">
                  <c:v>0.34420520887956446</c:v>
                </c:pt>
                <c:pt idx="27">
                  <c:v>0.42400174520069733</c:v>
                </c:pt>
                <c:pt idx="28">
                  <c:v>0.48458339852238586</c:v>
                </c:pt>
                <c:pt idx="29">
                  <c:v>0.47425230715653666</c:v>
                </c:pt>
                <c:pt idx="30">
                  <c:v>0.5446976256983268</c:v>
                </c:pt>
                <c:pt idx="31">
                  <c:v>0.63029785002622107</c:v>
                </c:pt>
                <c:pt idx="32">
                  <c:v>0.78624124716948185</c:v>
                </c:pt>
                <c:pt idx="33">
                  <c:v>1.078837087935985</c:v>
                </c:pt>
                <c:pt idx="34">
                  <c:v>1.4501408475165012</c:v>
                </c:pt>
                <c:pt idx="35">
                  <c:v>1.7109912470751383</c:v>
                </c:pt>
                <c:pt idx="36">
                  <c:v>1.8552020070940372</c:v>
                </c:pt>
                <c:pt idx="37">
                  <c:v>2.1939538434992687</c:v>
                </c:pt>
              </c:numCache>
            </c:numRef>
          </c:val>
          <c:extLst>
            <c:ext xmlns:c16="http://schemas.microsoft.com/office/drawing/2014/chart" uri="{C3380CC4-5D6E-409C-BE32-E72D297353CC}">
              <c16:uniqueId val="{00000004-6275-4905-A031-8A69272D04AE}"/>
            </c:ext>
          </c:extLst>
        </c:ser>
        <c:dLbls>
          <c:showLegendKey val="0"/>
          <c:showVal val="0"/>
          <c:showCatName val="0"/>
          <c:showSerName val="0"/>
          <c:showPercent val="0"/>
          <c:showBubbleSize val="0"/>
        </c:dLbls>
        <c:gapWidth val="48"/>
        <c:overlap val="100"/>
        <c:axId val="249485952"/>
        <c:axId val="249504128"/>
      </c:barChart>
      <c:lineChart>
        <c:grouping val="standard"/>
        <c:varyColors val="0"/>
        <c:ser>
          <c:idx val="4"/>
          <c:order val="0"/>
          <c:tx>
            <c:strRef>
              <c:f>contrib!$E$5</c:f>
              <c:strCache>
                <c:ptCount val="1"/>
                <c:pt idx="0">
                  <c:v>общ ХИПЦ (%)</c:v>
                </c:pt>
              </c:strCache>
            </c:strRef>
          </c:tx>
          <c:spPr>
            <a:ln w="19050" cap="rnd" cmpd="sng" algn="ctr">
              <a:solidFill>
                <a:srgbClr val="004290"/>
              </a:solidFill>
              <a:prstDash val="solid"/>
              <a:round/>
            </a:ln>
            <a:effectLst/>
          </c:spPr>
          <c:marker>
            <c:symbol val="none"/>
          </c:marker>
          <c:cat>
            <c:multiLvlStrRef>
              <c:f>contrib!$F$3:$AQ$4</c:f>
              <c:multiLvlStrCache>
                <c:ptCount val="38"/>
                <c:lvl>
                  <c:pt idx="2">
                    <c:v>3</c:v>
                  </c:pt>
                  <c:pt idx="5">
                    <c:v>6</c:v>
                  </c:pt>
                  <c:pt idx="8">
                    <c:v>9</c:v>
                  </c:pt>
                  <c:pt idx="11">
                    <c:v>12</c:v>
                  </c:pt>
                  <c:pt idx="12">
                    <c:v> </c:v>
                  </c:pt>
                  <c:pt idx="13">
                    <c:v> </c:v>
                  </c:pt>
                  <c:pt idx="14">
                    <c:v>3</c:v>
                  </c:pt>
                  <c:pt idx="17">
                    <c:v>6</c:v>
                  </c:pt>
                  <c:pt idx="20">
                    <c:v>9</c:v>
                  </c:pt>
                  <c:pt idx="23">
                    <c:v>12</c:v>
                  </c:pt>
                  <c:pt idx="24">
                    <c:v> </c:v>
                  </c:pt>
                  <c:pt idx="25">
                    <c:v> </c:v>
                  </c:pt>
                  <c:pt idx="26">
                    <c:v>3</c:v>
                  </c:pt>
                  <c:pt idx="29">
                    <c:v>6</c:v>
                  </c:pt>
                  <c:pt idx="32">
                    <c:v>9</c:v>
                  </c:pt>
                  <c:pt idx="35">
                    <c:v>12</c:v>
                  </c:pt>
                  <c:pt idx="36">
                    <c:v> </c:v>
                  </c:pt>
                  <c:pt idx="37">
                    <c:v> </c:v>
                  </c:pt>
                </c:lvl>
                <c:lvl>
                  <c:pt idx="0">
                    <c:v>2019</c:v>
                  </c:pt>
                  <c:pt idx="12">
                    <c:v>2020</c:v>
                  </c:pt>
                  <c:pt idx="24">
                    <c:v>2021</c:v>
                  </c:pt>
                  <c:pt idx="36">
                    <c:v>2022</c:v>
                  </c:pt>
                </c:lvl>
              </c:multiLvlStrCache>
            </c:multiLvlStrRef>
          </c:cat>
          <c:val>
            <c:numRef>
              <c:f>contrib!$F$5:$AQ$5</c:f>
              <c:numCache>
                <c:formatCode>0.0</c:formatCode>
                <c:ptCount val="38"/>
                <c:pt idx="0">
                  <c:v>2.324891175306703</c:v>
                </c:pt>
                <c:pt idx="1">
                  <c:v>2.3887079261672142</c:v>
                </c:pt>
                <c:pt idx="2">
                  <c:v>2.7884900622960633</c:v>
                </c:pt>
                <c:pt idx="3">
                  <c:v>3.104977821586985</c:v>
                </c:pt>
                <c:pt idx="4">
                  <c:v>2.8672427336999107</c:v>
                </c:pt>
                <c:pt idx="5">
                  <c:v>2.3353527457494465</c:v>
                </c:pt>
                <c:pt idx="6">
                  <c:v>2.6303065467556195</c:v>
                </c:pt>
                <c:pt idx="7">
                  <c:v>2.4867469879518187</c:v>
                </c:pt>
                <c:pt idx="8">
                  <c:v>1.6249153689911824</c:v>
                </c:pt>
                <c:pt idx="9">
                  <c:v>1.6224046354418249</c:v>
                </c:pt>
                <c:pt idx="10">
                  <c:v>2.2372881355932321</c:v>
                </c:pt>
                <c:pt idx="11">
                  <c:v>3.1004747601976561</c:v>
                </c:pt>
                <c:pt idx="12">
                  <c:v>3.3935995359179998</c:v>
                </c:pt>
                <c:pt idx="13">
                  <c:v>3.1042128603104122</c:v>
                </c:pt>
                <c:pt idx="14">
                  <c:v>2.4146224146224</c:v>
                </c:pt>
                <c:pt idx="15">
                  <c:v>1.3479923518164583</c:v>
                </c:pt>
                <c:pt idx="16">
                  <c:v>0.95456281023291467</c:v>
                </c:pt>
                <c:pt idx="17">
                  <c:v>0.91664279576050944</c:v>
                </c:pt>
                <c:pt idx="18">
                  <c:v>0.42400829171771193</c:v>
                </c:pt>
                <c:pt idx="19">
                  <c:v>0.63951848020313662</c:v>
                </c:pt>
                <c:pt idx="20">
                  <c:v>0.59960026648901987</c:v>
                </c:pt>
                <c:pt idx="21">
                  <c:v>0.60819158034782106</c:v>
                </c:pt>
                <c:pt idx="22">
                  <c:v>0.31261841606668384</c:v>
                </c:pt>
                <c:pt idx="23">
                  <c:v>1.8795226012599642E-2</c:v>
                </c:pt>
                <c:pt idx="24">
                  <c:v>-0.32728632878249186</c:v>
                </c:pt>
                <c:pt idx="25">
                  <c:v>0.19635343618513446</c:v>
                </c:pt>
                <c:pt idx="26">
                  <c:v>0.81720834116100605</c:v>
                </c:pt>
                <c:pt idx="27">
                  <c:v>1.9526459767946278</c:v>
                </c:pt>
                <c:pt idx="28">
                  <c:v>2.3354765506807809</c:v>
                </c:pt>
                <c:pt idx="29">
                  <c:v>2.3748699025451856</c:v>
                </c:pt>
                <c:pt idx="30">
                  <c:v>2.2424469881779032</c:v>
                </c:pt>
                <c:pt idx="31">
                  <c:v>2.5418185216334876</c:v>
                </c:pt>
                <c:pt idx="32">
                  <c:v>3.9924314096499529</c:v>
                </c:pt>
                <c:pt idx="33">
                  <c:v>5.1761594408236391</c:v>
                </c:pt>
                <c:pt idx="34">
                  <c:v>6.2801019926338739</c:v>
                </c:pt>
                <c:pt idx="35">
                  <c:v>6.5864887719627774</c:v>
                </c:pt>
                <c:pt idx="36">
                  <c:v>7.7024111079838633</c:v>
                </c:pt>
                <c:pt idx="37">
                  <c:v>8.3986562150056017</c:v>
                </c:pt>
              </c:numCache>
            </c:numRef>
          </c:val>
          <c:smooth val="0"/>
          <c:extLst>
            <c:ext xmlns:c16="http://schemas.microsoft.com/office/drawing/2014/chart" uri="{C3380CC4-5D6E-409C-BE32-E72D297353CC}">
              <c16:uniqueId val="{00000005-6275-4905-A031-8A69272D04AE}"/>
            </c:ext>
          </c:extLst>
        </c:ser>
        <c:dLbls>
          <c:showLegendKey val="0"/>
          <c:showVal val="0"/>
          <c:showCatName val="0"/>
          <c:showSerName val="0"/>
          <c:showPercent val="0"/>
          <c:showBubbleSize val="0"/>
        </c:dLbls>
        <c:marker val="1"/>
        <c:smooth val="0"/>
        <c:axId val="249485952"/>
        <c:axId val="249504128"/>
      </c:lineChart>
      <c:catAx>
        <c:axId val="249485952"/>
        <c:scaling>
          <c:orientation val="minMax"/>
        </c:scaling>
        <c:delete val="0"/>
        <c:axPos val="b"/>
        <c:majorGridlines>
          <c:spPr>
            <a:ln w="3175" cap="flat" cmpd="sng" algn="ctr">
              <a:solidFill>
                <a:schemeClr val="bg1">
                  <a:lumMod val="85000"/>
                </a:schemeClr>
              </a:solidFill>
              <a:prstDash val="solid"/>
              <a:round/>
            </a:ln>
            <a:effectLst/>
          </c:spPr>
        </c:majorGridlines>
        <c:numFmt formatCode="General" sourceLinked="0"/>
        <c:majorTickMark val="in"/>
        <c:minorTickMark val="none"/>
        <c:tickLblPos val="low"/>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crossAx val="249504128"/>
        <c:crosses val="autoZero"/>
        <c:auto val="1"/>
        <c:lblAlgn val="ctr"/>
        <c:lblOffset val="30"/>
        <c:tickLblSkip val="1"/>
        <c:tickMarkSkip val="1"/>
        <c:noMultiLvlLbl val="0"/>
      </c:catAx>
      <c:valAx>
        <c:axId val="249504128"/>
        <c:scaling>
          <c:orientation val="minMax"/>
          <c:max val="10"/>
          <c:min val="-2"/>
        </c:scaling>
        <c:delete val="0"/>
        <c:axPos val="l"/>
        <c:majorGridlines>
          <c:spPr>
            <a:ln w="3175" cap="flat" cmpd="sng" algn="ctr">
              <a:solidFill>
                <a:schemeClr val="bg1">
                  <a:lumMod val="85000"/>
                </a:schemeClr>
              </a:solidFill>
              <a:prstDash val="solid"/>
              <a:round/>
            </a:ln>
            <a:effectLst/>
          </c:spPr>
        </c:majorGridlines>
        <c:numFmt formatCode="0" sourceLinked="0"/>
        <c:majorTickMark val="in"/>
        <c:minorTickMark val="none"/>
        <c:tickLblPos val="nextTo"/>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crossAx val="249485952"/>
        <c:crosses val="autoZero"/>
        <c:crossBetween val="between"/>
        <c:majorUnit val="2"/>
      </c:valAx>
      <c:spPr>
        <a:solidFill>
          <a:schemeClr val="bg1"/>
        </a:solidFill>
        <a:ln>
          <a:noFill/>
        </a:ln>
        <a:effectLst/>
      </c:spPr>
    </c:plotArea>
    <c:legend>
      <c:legendPos val="r"/>
      <c:layout>
        <c:manualLayout>
          <c:xMode val="edge"/>
          <c:yMode val="edge"/>
          <c:x val="3.6268608034342497E-3"/>
          <c:y val="0.86615474718552721"/>
          <c:w val="0.99147275099042387"/>
          <c:h val="0.1338448809601279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solidFill>
      <a:schemeClr val="bg1"/>
    </a:solidFill>
    <a:ln w="9525" cap="flat" cmpd="sng" algn="ctr">
      <a:noFill/>
      <a:prstDash val="solid"/>
      <a:round/>
    </a:ln>
    <a:effectLst/>
  </c:spPr>
  <c:txPr>
    <a:bodyPr/>
    <a:lstStyle/>
    <a:p>
      <a:pPr>
        <a:defRPr sz="900">
          <a:solidFill>
            <a:sysClr val="windowText" lastClr="000000"/>
          </a:solidFill>
        </a:defRPr>
      </a:pPr>
      <a:endParaRPr lang="bg-BG"/>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manualLayout>
          <c:layoutTarget val="inner"/>
          <c:xMode val="edge"/>
          <c:yMode val="edge"/>
          <c:x val="3.6750483558994199E-2"/>
          <c:y val="2.5650036988619666E-2"/>
          <c:w val="0.92263056092843332"/>
          <c:h val="0.71033715380172069"/>
        </c:manualLayout>
      </c:layout>
      <c:lineChart>
        <c:grouping val="standard"/>
        <c:varyColors val="0"/>
        <c:ser>
          <c:idx val="1"/>
          <c:order val="0"/>
          <c:tx>
            <c:strRef>
              <c:f>'1. Дял в търговията '!$A$7</c:f>
              <c:strCache>
                <c:ptCount val="1"/>
                <c:pt idx="0">
                  <c:v>Дял в световния внос</c:v>
                </c:pt>
              </c:strCache>
            </c:strRef>
          </c:tx>
          <c:spPr>
            <a:ln w="25400">
              <a:solidFill>
                <a:srgbClr val="6768AB"/>
              </a:solidFill>
            </a:ln>
          </c:spPr>
          <c:marker>
            <c:symbol val="circle"/>
            <c:size val="7"/>
            <c:spPr>
              <a:solidFill>
                <a:srgbClr val="6768AB"/>
              </a:solidFill>
              <a:ln w="3175">
                <a:solidFill>
                  <a:schemeClr val="bg1"/>
                </a:solidFill>
              </a:ln>
            </c:spPr>
          </c:marker>
          <c:dLbls>
            <c:dLbl>
              <c:idx val="0"/>
              <c:layout>
                <c:manualLayout>
                  <c:x val="-5.487336590964715E-2"/>
                  <c:y val="-4.64622491744983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C24-4015-A4A6-05DDC0FF6A41}"/>
                </c:ext>
              </c:extLst>
            </c:dLbl>
            <c:dLbl>
              <c:idx val="1"/>
              <c:layout>
                <c:manualLayout>
                  <c:x val="-1.3173489430604785E-2"/>
                  <c:y val="2.898449109098974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C24-4015-A4A6-05DDC0FF6A41}"/>
                </c:ext>
              </c:extLst>
            </c:dLbl>
            <c:numFmt formatCode="#\ ##0.00" sourceLinked="0"/>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'1. Дял в търговията '!$H$5:$R$5</c:f>
              <c:strCache>
                <c:ptCount val="11"/>
                <c:pt idx="0">
                  <c:v>2011</c:v>
                </c:pt>
                <c:pt idx="1">
                  <c:v>2012</c:v>
                </c:pt>
                <c:pt idx="2">
                  <c:v>2013</c:v>
                </c:pt>
                <c:pt idx="3">
                  <c:v>2014</c:v>
                </c:pt>
                <c:pt idx="4">
                  <c:v>2015</c:v>
                </c:pt>
                <c:pt idx="5">
                  <c:v>2016</c:v>
                </c:pt>
                <c:pt idx="6">
                  <c:v>2017</c:v>
                </c:pt>
                <c:pt idx="7">
                  <c:v>2018</c:v>
                </c:pt>
                <c:pt idx="8">
                  <c:v>2019</c:v>
                </c:pt>
                <c:pt idx="9">
                  <c:v>2020</c:v>
                </c:pt>
                <c:pt idx="10">
                  <c:v>2021Q1-Q3</c:v>
                </c:pt>
              </c:strCache>
            </c:strRef>
          </c:cat>
          <c:val>
            <c:numRef>
              <c:f>'1. Дял в търговията '!$H$7:$R$7</c:f>
              <c:numCache>
                <c:formatCode>0.00</c:formatCode>
                <c:ptCount val="11"/>
                <c:pt idx="0">
                  <c:v>0.15291878117379287</c:v>
                </c:pt>
                <c:pt idx="1">
                  <c:v>0.14392075275513497</c:v>
                </c:pt>
                <c:pt idx="2">
                  <c:v>0.15701328575181264</c:v>
                </c:pt>
                <c:pt idx="3">
                  <c:v>0.15442124743432092</c:v>
                </c:pt>
                <c:pt idx="4">
                  <c:v>0.1528991538145841</c:v>
                </c:pt>
                <c:pt idx="5">
                  <c:v>0.16494779063815609</c:v>
                </c:pt>
                <c:pt idx="6">
                  <c:v>0.17585330216623771</c:v>
                </c:pt>
                <c:pt idx="7">
                  <c:v>0.17051228905266774</c:v>
                </c:pt>
                <c:pt idx="8">
                  <c:v>0.17390036187340449</c:v>
                </c:pt>
                <c:pt idx="9">
                  <c:v>0.17986402156139308</c:v>
                </c:pt>
                <c:pt idx="10">
                  <c:v>0.18568703340445766</c:v>
                </c:pt>
              </c:numCache>
            </c:numRef>
          </c:val>
          <c:smooth val="0"/>
          <c:extLst>
            <c:ext xmlns:c16="http://schemas.microsoft.com/office/drawing/2014/chart" uri="{C3380CC4-5D6E-409C-BE32-E72D297353CC}">
              <c16:uniqueId val="{00000002-3C24-4015-A4A6-05DDC0FF6A41}"/>
            </c:ext>
          </c:extLst>
        </c:ser>
        <c:dLbls>
          <c:showLegendKey val="0"/>
          <c:showVal val="0"/>
          <c:showCatName val="0"/>
          <c:showSerName val="0"/>
          <c:showPercent val="0"/>
          <c:showBubbleSize val="0"/>
        </c:dLbls>
        <c:marker val="1"/>
        <c:smooth val="0"/>
        <c:axId val="175129344"/>
        <c:axId val="175132032"/>
      </c:lineChart>
      <c:lineChart>
        <c:grouping val="standard"/>
        <c:varyColors val="0"/>
        <c:ser>
          <c:idx val="2"/>
          <c:order val="1"/>
          <c:tx>
            <c:strRef>
              <c:f>'1. Дял в търговията '!$A$8</c:f>
              <c:strCache>
                <c:ptCount val="1"/>
                <c:pt idx="0">
                  <c:v>Дял във вноса в ЕС</c:v>
                </c:pt>
              </c:strCache>
            </c:strRef>
          </c:tx>
          <c:spPr>
            <a:ln w="25400">
              <a:solidFill>
                <a:srgbClr val="F2A4A2"/>
              </a:solidFill>
            </a:ln>
          </c:spPr>
          <c:marker>
            <c:symbol val="circle"/>
            <c:size val="7"/>
            <c:spPr>
              <a:solidFill>
                <a:srgbClr val="F2A4A2"/>
              </a:solidFill>
              <a:ln w="3175">
                <a:solidFill>
                  <a:schemeClr val="bg1"/>
                </a:solidFill>
              </a:ln>
            </c:spPr>
          </c:marker>
          <c:dLbls>
            <c:dLbl>
              <c:idx val="0"/>
              <c:layout>
                <c:manualLayout>
                  <c:x val="-5.9160633973068977E-2"/>
                  <c:y val="6.3417174067806521E-4"/>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C24-4015-A4A6-05DDC0FF6A41}"/>
                </c:ext>
              </c:extLst>
            </c:dLbl>
            <c:spPr>
              <a:noFill/>
              <a:ln w="25400">
                <a:noFill/>
              </a:ln>
            </c:spPr>
            <c:txPr>
              <a:bodyPr wrap="square" lIns="38100" tIns="19050" rIns="38100" bIns="19050" anchor="ctr">
                <a:spAutoFit/>
              </a:bodyPr>
              <a:lstStyle/>
              <a:p>
                <a:pPr>
                  <a:defRPr>
                    <a:solidFill>
                      <a:sysClr val="windowText" lastClr="000000"/>
                    </a:solidFill>
                  </a:defRPr>
                </a:pPr>
                <a:endParaRPr lang="bg-BG"/>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'1. Дял в търговията '!$H$5:$R$5</c:f>
              <c:strCache>
                <c:ptCount val="11"/>
                <c:pt idx="0">
                  <c:v>2011</c:v>
                </c:pt>
                <c:pt idx="1">
                  <c:v>2012</c:v>
                </c:pt>
                <c:pt idx="2">
                  <c:v>2013</c:v>
                </c:pt>
                <c:pt idx="3">
                  <c:v>2014</c:v>
                </c:pt>
                <c:pt idx="4">
                  <c:v>2015</c:v>
                </c:pt>
                <c:pt idx="5">
                  <c:v>2016</c:v>
                </c:pt>
                <c:pt idx="6">
                  <c:v>2017</c:v>
                </c:pt>
                <c:pt idx="7">
                  <c:v>2018</c:v>
                </c:pt>
                <c:pt idx="8">
                  <c:v>2019</c:v>
                </c:pt>
                <c:pt idx="9">
                  <c:v>2020</c:v>
                </c:pt>
                <c:pt idx="10">
                  <c:v>2021Q1-Q3</c:v>
                </c:pt>
              </c:strCache>
            </c:strRef>
          </c:cat>
          <c:val>
            <c:numRef>
              <c:f>'1. Дял в търговията '!$H$8:$R$8</c:f>
              <c:numCache>
                <c:formatCode>0.00</c:formatCode>
                <c:ptCount val="11"/>
                <c:pt idx="0">
                  <c:v>0.4495235153648155</c:v>
                </c:pt>
                <c:pt idx="1">
                  <c:v>0.52559625235385887</c:v>
                </c:pt>
                <c:pt idx="2">
                  <c:v>0.57291164185724508</c:v>
                </c:pt>
                <c:pt idx="3">
                  <c:v>0.57116449218285059</c:v>
                </c:pt>
                <c:pt idx="4">
                  <c:v>0.5894849528746694</c:v>
                </c:pt>
                <c:pt idx="5">
                  <c:v>0.61610210274075961</c:v>
                </c:pt>
                <c:pt idx="6">
                  <c:v>0.6297966556182526</c:v>
                </c:pt>
                <c:pt idx="7">
                  <c:v>0.64754533130223613</c:v>
                </c:pt>
                <c:pt idx="8">
                  <c:v>0.6557271015301448</c:v>
                </c:pt>
                <c:pt idx="9">
                  <c:v>0.67836219340181059</c:v>
                </c:pt>
                <c:pt idx="10">
                  <c:v>0.70228554852397929</c:v>
                </c:pt>
              </c:numCache>
            </c:numRef>
          </c:val>
          <c:smooth val="0"/>
          <c:extLst>
            <c:ext xmlns:c16="http://schemas.microsoft.com/office/drawing/2014/chart" uri="{C3380CC4-5D6E-409C-BE32-E72D297353CC}">
              <c16:uniqueId val="{00000004-3C24-4015-A4A6-05DDC0FF6A41}"/>
            </c:ext>
          </c:extLst>
        </c:ser>
        <c:dLbls>
          <c:showLegendKey val="0"/>
          <c:showVal val="0"/>
          <c:showCatName val="0"/>
          <c:showSerName val="0"/>
          <c:showPercent val="0"/>
          <c:showBubbleSize val="0"/>
        </c:dLbls>
        <c:marker val="1"/>
        <c:smooth val="0"/>
        <c:axId val="175176704"/>
        <c:axId val="175661056"/>
      </c:lineChart>
      <c:catAx>
        <c:axId val="175129344"/>
        <c:scaling>
          <c:orientation val="minMax"/>
        </c:scaling>
        <c:delete val="0"/>
        <c:axPos val="b"/>
        <c:majorGridlines>
          <c:spPr>
            <a:ln w="3175">
              <a:solidFill>
                <a:schemeClr val="bg1">
                  <a:lumMod val="85000"/>
                </a:schemeClr>
              </a:solidFill>
            </a:ln>
          </c:spPr>
        </c:majorGridlines>
        <c:numFmt formatCode="General" sourceLinked="1"/>
        <c:majorTickMark val="in"/>
        <c:minorTickMark val="none"/>
        <c:tickLblPos val="nextTo"/>
        <c:spPr>
          <a:ln/>
        </c:spPr>
        <c:txPr>
          <a:bodyPr rot="0" vert="horz"/>
          <a:lstStyle/>
          <a:p>
            <a:pPr>
              <a:defRPr/>
            </a:pPr>
            <a:endParaRPr lang="bg-BG"/>
          </a:p>
        </c:txPr>
        <c:crossAx val="175132032"/>
        <c:crosses val="autoZero"/>
        <c:auto val="0"/>
        <c:lblAlgn val="ctr"/>
        <c:lblOffset val="100"/>
        <c:tickLblSkip val="1"/>
        <c:tickMarkSkip val="1"/>
        <c:noMultiLvlLbl val="0"/>
      </c:catAx>
      <c:valAx>
        <c:axId val="175132032"/>
        <c:scaling>
          <c:orientation val="minMax"/>
          <c:max val="0.2"/>
          <c:min val="0.14000000000000001"/>
        </c:scaling>
        <c:delete val="0"/>
        <c:axPos val="l"/>
        <c:majorGridlines>
          <c:spPr>
            <a:ln w="3175">
              <a:solidFill>
                <a:schemeClr val="bg1">
                  <a:lumMod val="85000"/>
                </a:schemeClr>
              </a:solidFill>
            </a:ln>
          </c:spPr>
        </c:majorGridlines>
        <c:numFmt formatCode="0.00" sourceLinked="0"/>
        <c:majorTickMark val="in"/>
        <c:minorTickMark val="none"/>
        <c:tickLblPos val="nextTo"/>
        <c:spPr>
          <a:ln w="6350">
            <a:solidFill>
              <a:schemeClr val="bg1">
                <a:lumMod val="50000"/>
              </a:schemeClr>
            </a:solidFill>
          </a:ln>
        </c:spPr>
        <c:txPr>
          <a:bodyPr rot="0" vert="horz"/>
          <a:lstStyle/>
          <a:p>
            <a:pPr>
              <a:defRPr>
                <a:solidFill>
                  <a:sysClr val="windowText" lastClr="000000"/>
                </a:solidFill>
              </a:defRPr>
            </a:pPr>
            <a:endParaRPr lang="bg-BG"/>
          </a:p>
        </c:txPr>
        <c:crossAx val="175129344"/>
        <c:crosses val="autoZero"/>
        <c:crossBetween val="between"/>
      </c:valAx>
      <c:catAx>
        <c:axId val="175176704"/>
        <c:scaling>
          <c:orientation val="minMax"/>
        </c:scaling>
        <c:delete val="1"/>
        <c:axPos val="b"/>
        <c:numFmt formatCode="General" sourceLinked="1"/>
        <c:majorTickMark val="out"/>
        <c:minorTickMark val="none"/>
        <c:tickLblPos val="none"/>
        <c:crossAx val="175661056"/>
        <c:crosses val="autoZero"/>
        <c:auto val="0"/>
        <c:lblAlgn val="ctr"/>
        <c:lblOffset val="100"/>
        <c:noMultiLvlLbl val="0"/>
      </c:catAx>
      <c:valAx>
        <c:axId val="175661056"/>
        <c:scaling>
          <c:orientation val="minMax"/>
          <c:max val="0.72000000000000008"/>
          <c:min val="0.42000000000000032"/>
        </c:scaling>
        <c:delete val="0"/>
        <c:axPos val="r"/>
        <c:numFmt formatCode="0.00" sourceLinked="0"/>
        <c:majorTickMark val="in"/>
        <c:minorTickMark val="none"/>
        <c:tickLblPos val="nextTo"/>
        <c:spPr>
          <a:ln w="6350">
            <a:solidFill>
              <a:schemeClr val="bg1">
                <a:lumMod val="50000"/>
              </a:schemeClr>
            </a:solidFill>
          </a:ln>
        </c:spPr>
        <c:txPr>
          <a:bodyPr rot="0" vert="horz"/>
          <a:lstStyle/>
          <a:p>
            <a:pPr>
              <a:defRPr/>
            </a:pPr>
            <a:endParaRPr lang="bg-BG"/>
          </a:p>
        </c:txPr>
        <c:crossAx val="175176704"/>
        <c:crosses val="max"/>
        <c:crossBetween val="between"/>
        <c:majorUnit val="5.000000000000001E-2"/>
      </c:valAx>
    </c:plotArea>
    <c:legend>
      <c:legendPos val="r"/>
      <c:layout>
        <c:manualLayout>
          <c:xMode val="edge"/>
          <c:yMode val="edge"/>
          <c:x val="4.2028508494313782E-4"/>
          <c:y val="0.90109222833632285"/>
          <c:w val="0.9975464803234001"/>
          <c:h val="9.4387255647098156E-2"/>
        </c:manualLayout>
      </c:layout>
      <c:overlay val="0"/>
    </c:legend>
    <c:plotVisOnly val="1"/>
    <c:dispBlanksAs val="gap"/>
    <c:showDLblsOverMax val="0"/>
  </c:chart>
  <c:spPr>
    <a:ln>
      <a:noFill/>
    </a:ln>
  </c:spPr>
  <c:txPr>
    <a:bodyPr/>
    <a:lstStyle/>
    <a:p>
      <a:pPr>
        <a:defRPr sz="900" b="0" i="0" u="none" strike="noStrike" baseline="0">
          <a:solidFill>
            <a:sysClr val="windowText" lastClr="000000"/>
          </a:solidFill>
          <a:latin typeface="+mn-lt"/>
          <a:ea typeface="Calibri"/>
          <a:cs typeface="Calibri"/>
        </a:defRPr>
      </a:pPr>
      <a:endParaRPr lang="bg-BG"/>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2995685351899934E-2"/>
          <c:y val="5.1400554097404488E-2"/>
          <c:w val="0.92511541900702321"/>
          <c:h val="0.66421886906273819"/>
        </c:manualLayout>
      </c:layout>
      <c:lineChart>
        <c:grouping val="standard"/>
        <c:varyColors val="0"/>
        <c:ser>
          <c:idx val="0"/>
          <c:order val="0"/>
          <c:tx>
            <c:strRef>
              <c:f>reer!$D$2</c:f>
              <c:strCache>
                <c:ptCount val="1"/>
                <c:pt idx="0">
                  <c:v>ХИПЦ</c:v>
                </c:pt>
              </c:strCache>
            </c:strRef>
          </c:tx>
          <c:spPr>
            <a:ln w="28575" cap="rnd" cmpd="sng" algn="ctr">
              <a:solidFill>
                <a:srgbClr val="F2A4A2"/>
              </a:solidFill>
              <a:prstDash val="solid"/>
              <a:round/>
            </a:ln>
            <a:effectLst/>
          </c:spPr>
          <c:marker>
            <c:symbol val="none"/>
          </c:marker>
          <c:cat>
            <c:multiLvlStrRef>
              <c:f>reer!$A$71:$B$114</c:f>
              <c:multiLvlStrCache>
                <c:ptCount val="44"/>
                <c:lvl>
                  <c:pt idx="0">
                    <c:v> </c:v>
                  </c:pt>
                  <c:pt idx="1">
                    <c:v> </c:v>
                  </c:pt>
                  <c:pt idx="2">
                    <c:v> </c:v>
                  </c:pt>
                  <c:pt idx="3">
                    <c:v> </c:v>
                  </c:pt>
                  <c:pt idx="4">
                    <c:v> </c:v>
                  </c:pt>
                  <c:pt idx="5">
                    <c:v> </c:v>
                  </c:pt>
                  <c:pt idx="6">
                    <c:v> </c:v>
                  </c:pt>
                  <c:pt idx="7">
                    <c:v> </c:v>
                  </c:pt>
                  <c:pt idx="8">
                    <c:v> </c:v>
                  </c:pt>
                  <c:pt idx="9">
                    <c:v> </c:v>
                  </c:pt>
                  <c:pt idx="10">
                    <c:v> </c:v>
                  </c:pt>
                  <c:pt idx="11">
                    <c:v> </c:v>
                  </c:pt>
                  <c:pt idx="12">
                    <c:v> </c:v>
                  </c:pt>
                  <c:pt idx="13">
                    <c:v> </c:v>
                  </c:pt>
                  <c:pt idx="14">
                    <c:v> </c:v>
                  </c:pt>
                  <c:pt idx="15">
                    <c:v> </c:v>
                  </c:pt>
                  <c:pt idx="16">
                    <c:v> </c:v>
                  </c:pt>
                  <c:pt idx="17">
                    <c:v> </c:v>
                  </c:pt>
                  <c:pt idx="18">
                    <c:v> </c:v>
                  </c:pt>
                  <c:pt idx="20">
                    <c:v> </c:v>
                  </c:pt>
                  <c:pt idx="21">
                    <c:v> </c:v>
                  </c:pt>
                  <c:pt idx="22">
                    <c:v> </c:v>
                  </c:pt>
                  <c:pt idx="23">
                    <c:v> </c:v>
                  </c:pt>
                  <c:pt idx="24">
                    <c:v> </c:v>
                  </c:pt>
                  <c:pt idx="25">
                    <c:v> </c:v>
                  </c:pt>
                  <c:pt idx="26">
                    <c:v> </c:v>
                  </c:pt>
                  <c:pt idx="27">
                    <c:v> </c:v>
                  </c:pt>
                  <c:pt idx="40">
                    <c:v> </c:v>
                  </c:pt>
                  <c:pt idx="41">
                    <c:v> </c:v>
                  </c:pt>
                  <c:pt idx="42">
                    <c:v> </c:v>
                  </c:pt>
                  <c:pt idx="43">
                    <c:v> </c:v>
                  </c:pt>
                </c:lvl>
                <c:lvl>
                  <c:pt idx="0">
                    <c:v>11</c:v>
                  </c:pt>
                  <c:pt idx="4">
                    <c:v>12</c:v>
                  </c:pt>
                  <c:pt idx="8">
                    <c:v>13</c:v>
                  </c:pt>
                  <c:pt idx="12">
                    <c:v>14</c:v>
                  </c:pt>
                  <c:pt idx="16">
                    <c:v>15</c:v>
                  </c:pt>
                  <c:pt idx="20">
                    <c:v>16</c:v>
                  </c:pt>
                  <c:pt idx="24">
                    <c:v>17</c:v>
                  </c:pt>
                  <c:pt idx="28">
                    <c:v>18</c:v>
                  </c:pt>
                  <c:pt idx="32">
                    <c:v>19</c:v>
                  </c:pt>
                  <c:pt idx="36">
                    <c:v>20</c:v>
                  </c:pt>
                  <c:pt idx="40">
                    <c:v>21</c:v>
                  </c:pt>
                </c:lvl>
              </c:multiLvlStrCache>
            </c:multiLvlStrRef>
          </c:cat>
          <c:val>
            <c:numRef>
              <c:f>reer!$D$71:$D$114</c:f>
              <c:numCache>
                <c:formatCode>0.00</c:formatCode>
                <c:ptCount val="44"/>
                <c:pt idx="0">
                  <c:v>101.52573019451999</c:v>
                </c:pt>
                <c:pt idx="1">
                  <c:v>100.991801456205</c:v>
                </c:pt>
                <c:pt idx="2">
                  <c:v>101.99107418996201</c:v>
                </c:pt>
                <c:pt idx="3">
                  <c:v>101.301537120061</c:v>
                </c:pt>
                <c:pt idx="4">
                  <c:v>100.689965977255</c:v>
                </c:pt>
                <c:pt idx="5">
                  <c:v>99.501751692782605</c:v>
                </c:pt>
                <c:pt idx="6">
                  <c:v>100.084264846286</c:v>
                </c:pt>
                <c:pt idx="7">
                  <c:v>100.200217950301</c:v>
                </c:pt>
                <c:pt idx="8">
                  <c:v>101.16089729931601</c:v>
                </c:pt>
                <c:pt idx="9">
                  <c:v>99.954910067178503</c:v>
                </c:pt>
                <c:pt idx="10">
                  <c:v>100.78234829154999</c:v>
                </c:pt>
                <c:pt idx="11">
                  <c:v>101.213522346418</c:v>
                </c:pt>
                <c:pt idx="12">
                  <c:v>101.706214506951</c:v>
                </c:pt>
                <c:pt idx="13">
                  <c:v>99.4383346147022</c:v>
                </c:pt>
                <c:pt idx="14">
                  <c:v>99.069500796880405</c:v>
                </c:pt>
                <c:pt idx="15">
                  <c:v>97.985906550890206</c:v>
                </c:pt>
                <c:pt idx="16">
                  <c:v>96.462666784168803</c:v>
                </c:pt>
                <c:pt idx="17">
                  <c:v>95.743508330212194</c:v>
                </c:pt>
                <c:pt idx="18">
                  <c:v>96.750740104841796</c:v>
                </c:pt>
                <c:pt idx="19">
                  <c:v>95.836136045786006</c:v>
                </c:pt>
                <c:pt idx="20">
                  <c:v>96.377359283712593</c:v>
                </c:pt>
                <c:pt idx="21">
                  <c:v>94.783391958122607</c:v>
                </c:pt>
                <c:pt idx="22">
                  <c:v>95.591279662873106</c:v>
                </c:pt>
                <c:pt idx="23">
                  <c:v>95.274298407466205</c:v>
                </c:pt>
                <c:pt idx="24">
                  <c:v>96.4504971753273</c:v>
                </c:pt>
                <c:pt idx="25">
                  <c:v>95.550548137858996</c:v>
                </c:pt>
                <c:pt idx="26">
                  <c:v>97.021171836135395</c:v>
                </c:pt>
                <c:pt idx="27">
                  <c:v>97.586221905473906</c:v>
                </c:pt>
                <c:pt idx="28">
                  <c:v>98.851553462039803</c:v>
                </c:pt>
                <c:pt idx="29">
                  <c:v>98.715928279530502</c:v>
                </c:pt>
                <c:pt idx="30">
                  <c:v>101.545554395845</c:v>
                </c:pt>
                <c:pt idx="31">
                  <c:v>99.999558587291105</c:v>
                </c:pt>
                <c:pt idx="32">
                  <c:v>100.185680551476</c:v>
                </c:pt>
                <c:pt idx="33">
                  <c:v>100.179852520498</c:v>
                </c:pt>
                <c:pt idx="34">
                  <c:v>100.624530674795</c:v>
                </c:pt>
                <c:pt idx="35">
                  <c:v>99.9575687962205</c:v>
                </c:pt>
                <c:pt idx="36">
                  <c:v>101.50597697234601</c:v>
                </c:pt>
                <c:pt idx="37">
                  <c:v>101.487929065358</c:v>
                </c:pt>
                <c:pt idx="38">
                  <c:v>103.444516294498</c:v>
                </c:pt>
                <c:pt idx="39">
                  <c:v>103.842379628033</c:v>
                </c:pt>
                <c:pt idx="40">
                  <c:v>103.04132450793399</c:v>
                </c:pt>
                <c:pt idx="41">
                  <c:v>103.53350862571</c:v>
                </c:pt>
                <c:pt idx="42">
                  <c:v>103.457559209313</c:v>
                </c:pt>
                <c:pt idx="43">
                  <c:v>105.59911210656</c:v>
                </c:pt>
              </c:numCache>
            </c:numRef>
          </c:val>
          <c:smooth val="0"/>
          <c:extLst>
            <c:ext xmlns:c16="http://schemas.microsoft.com/office/drawing/2014/chart" uri="{C3380CC4-5D6E-409C-BE32-E72D297353CC}">
              <c16:uniqueId val="{00000000-5F59-47EF-B676-8F7A6E794A66}"/>
            </c:ext>
          </c:extLst>
        </c:ser>
        <c:ser>
          <c:idx val="1"/>
          <c:order val="1"/>
          <c:tx>
            <c:strRef>
              <c:f>reer!$E$2</c:f>
              <c:strCache>
                <c:ptCount val="1"/>
                <c:pt idx="0">
                  <c:v>НРТЕП*</c:v>
                </c:pt>
              </c:strCache>
            </c:strRef>
          </c:tx>
          <c:spPr>
            <a:ln w="28575" cap="rnd" cmpd="sng" algn="ctr">
              <a:solidFill>
                <a:srgbClr val="6768AB"/>
              </a:solidFill>
              <a:prstDash val="solid"/>
              <a:round/>
            </a:ln>
            <a:effectLst/>
          </c:spPr>
          <c:marker>
            <c:symbol val="none"/>
          </c:marker>
          <c:cat>
            <c:multiLvlStrRef>
              <c:f>reer!$A$71:$B$114</c:f>
              <c:multiLvlStrCache>
                <c:ptCount val="44"/>
                <c:lvl>
                  <c:pt idx="0">
                    <c:v> </c:v>
                  </c:pt>
                  <c:pt idx="1">
                    <c:v> </c:v>
                  </c:pt>
                  <c:pt idx="2">
                    <c:v> </c:v>
                  </c:pt>
                  <c:pt idx="3">
                    <c:v> </c:v>
                  </c:pt>
                  <c:pt idx="4">
                    <c:v> </c:v>
                  </c:pt>
                  <c:pt idx="5">
                    <c:v> </c:v>
                  </c:pt>
                  <c:pt idx="6">
                    <c:v> </c:v>
                  </c:pt>
                  <c:pt idx="7">
                    <c:v> </c:v>
                  </c:pt>
                  <c:pt idx="8">
                    <c:v> </c:v>
                  </c:pt>
                  <c:pt idx="9">
                    <c:v> </c:v>
                  </c:pt>
                  <c:pt idx="10">
                    <c:v> </c:v>
                  </c:pt>
                  <c:pt idx="11">
                    <c:v> </c:v>
                  </c:pt>
                  <c:pt idx="12">
                    <c:v> </c:v>
                  </c:pt>
                  <c:pt idx="13">
                    <c:v> </c:v>
                  </c:pt>
                  <c:pt idx="14">
                    <c:v> </c:v>
                  </c:pt>
                  <c:pt idx="15">
                    <c:v> </c:v>
                  </c:pt>
                  <c:pt idx="16">
                    <c:v> </c:v>
                  </c:pt>
                  <c:pt idx="17">
                    <c:v> </c:v>
                  </c:pt>
                  <c:pt idx="18">
                    <c:v> </c:v>
                  </c:pt>
                  <c:pt idx="20">
                    <c:v> </c:v>
                  </c:pt>
                  <c:pt idx="21">
                    <c:v> </c:v>
                  </c:pt>
                  <c:pt idx="22">
                    <c:v> </c:v>
                  </c:pt>
                  <c:pt idx="23">
                    <c:v> </c:v>
                  </c:pt>
                  <c:pt idx="24">
                    <c:v> </c:v>
                  </c:pt>
                  <c:pt idx="25">
                    <c:v> </c:v>
                  </c:pt>
                  <c:pt idx="26">
                    <c:v> </c:v>
                  </c:pt>
                  <c:pt idx="27">
                    <c:v> </c:v>
                  </c:pt>
                  <c:pt idx="40">
                    <c:v> </c:v>
                  </c:pt>
                  <c:pt idx="41">
                    <c:v> </c:v>
                  </c:pt>
                  <c:pt idx="42">
                    <c:v> </c:v>
                  </c:pt>
                  <c:pt idx="43">
                    <c:v> </c:v>
                  </c:pt>
                </c:lvl>
                <c:lvl>
                  <c:pt idx="0">
                    <c:v>11</c:v>
                  </c:pt>
                  <c:pt idx="4">
                    <c:v>12</c:v>
                  </c:pt>
                  <c:pt idx="8">
                    <c:v>13</c:v>
                  </c:pt>
                  <c:pt idx="12">
                    <c:v>14</c:v>
                  </c:pt>
                  <c:pt idx="16">
                    <c:v>15</c:v>
                  </c:pt>
                  <c:pt idx="20">
                    <c:v>16</c:v>
                  </c:pt>
                  <c:pt idx="24">
                    <c:v>17</c:v>
                  </c:pt>
                  <c:pt idx="28">
                    <c:v>18</c:v>
                  </c:pt>
                  <c:pt idx="32">
                    <c:v>19</c:v>
                  </c:pt>
                  <c:pt idx="36">
                    <c:v>20</c:v>
                  </c:pt>
                  <c:pt idx="40">
                    <c:v>21</c:v>
                  </c:pt>
                </c:lvl>
              </c:multiLvlStrCache>
            </c:multiLvlStrRef>
          </c:cat>
          <c:val>
            <c:numRef>
              <c:f>reer!$E$71:$E$114</c:f>
              <c:numCache>
                <c:formatCode>0.00</c:formatCode>
                <c:ptCount val="44"/>
                <c:pt idx="0">
                  <c:v>101.730291076917</c:v>
                </c:pt>
                <c:pt idx="1">
                  <c:v>102.784361055829</c:v>
                </c:pt>
                <c:pt idx="2">
                  <c:v>103.595322651681</c:v>
                </c:pt>
                <c:pt idx="3">
                  <c:v>103.692450489617</c:v>
                </c:pt>
                <c:pt idx="4">
                  <c:v>102.52053222088399</c:v>
                </c:pt>
                <c:pt idx="5">
                  <c:v>102.823412049094</c:v>
                </c:pt>
                <c:pt idx="6">
                  <c:v>103.48003774678099</c:v>
                </c:pt>
                <c:pt idx="7">
                  <c:v>106.550486985429</c:v>
                </c:pt>
                <c:pt idx="8">
                  <c:v>110.38609595245499</c:v>
                </c:pt>
                <c:pt idx="9">
                  <c:v>113.28505993162599</c:v>
                </c:pt>
                <c:pt idx="10">
                  <c:v>116.460088200952</c:v>
                </c:pt>
                <c:pt idx="11">
                  <c:v>118.57847439129</c:v>
                </c:pt>
                <c:pt idx="12">
                  <c:v>120.56811527379899</c:v>
                </c:pt>
                <c:pt idx="13">
                  <c:v>120.253050371138</c:v>
                </c:pt>
                <c:pt idx="14">
                  <c:v>120.27129414133201</c:v>
                </c:pt>
                <c:pt idx="15">
                  <c:v>120.56482083061999</c:v>
                </c:pt>
                <c:pt idx="16">
                  <c:v>119.502488624373</c:v>
                </c:pt>
                <c:pt idx="17">
                  <c:v>120.003950404547</c:v>
                </c:pt>
                <c:pt idx="18">
                  <c:v>121.227718899973</c:v>
                </c:pt>
                <c:pt idx="19">
                  <c:v>120.634814972691</c:v>
                </c:pt>
                <c:pt idx="20">
                  <c:v>120.633744157023</c:v>
                </c:pt>
                <c:pt idx="21">
                  <c:v>121.01332156193401</c:v>
                </c:pt>
                <c:pt idx="22">
                  <c:v>122.429709868738</c:v>
                </c:pt>
                <c:pt idx="23">
                  <c:v>125.595528547379</c:v>
                </c:pt>
                <c:pt idx="24">
                  <c:v>129.652996449</c:v>
                </c:pt>
                <c:pt idx="25">
                  <c:v>132.85907860258001</c:v>
                </c:pt>
                <c:pt idx="26">
                  <c:v>136.74101814892899</c:v>
                </c:pt>
                <c:pt idx="27">
                  <c:v>139.56169445414099</c:v>
                </c:pt>
                <c:pt idx="28">
                  <c:v>141.54945188505801</c:v>
                </c:pt>
                <c:pt idx="29">
                  <c:v>143.16753328916201</c:v>
                </c:pt>
                <c:pt idx="30">
                  <c:v>146.09683003194101</c:v>
                </c:pt>
                <c:pt idx="31">
                  <c:v>144.61344489956301</c:v>
                </c:pt>
                <c:pt idx="32">
                  <c:v>143.118629417249</c:v>
                </c:pt>
                <c:pt idx="33">
                  <c:v>143.76708789344599</c:v>
                </c:pt>
                <c:pt idx="34">
                  <c:v>143.55940560070599</c:v>
                </c:pt>
                <c:pt idx="35">
                  <c:v>144.68088024660801</c:v>
                </c:pt>
                <c:pt idx="36">
                  <c:v>147.26676759200299</c:v>
                </c:pt>
                <c:pt idx="37">
                  <c:v>151.46666802624901</c:v>
                </c:pt>
                <c:pt idx="38">
                  <c:v>155.62653900190099</c:v>
                </c:pt>
                <c:pt idx="39">
                  <c:v>159.449264061365</c:v>
                </c:pt>
                <c:pt idx="40">
                  <c:v>160.466947485953</c:v>
                </c:pt>
                <c:pt idx="41">
                  <c:v>164.140248076543</c:v>
                </c:pt>
                <c:pt idx="42">
                  <c:v>165.37060183913499</c:v>
                </c:pt>
                <c:pt idx="43">
                  <c:v>170.15619030552699</c:v>
                </c:pt>
              </c:numCache>
            </c:numRef>
          </c:val>
          <c:smooth val="0"/>
          <c:extLst>
            <c:ext xmlns:c16="http://schemas.microsoft.com/office/drawing/2014/chart" uri="{C3380CC4-5D6E-409C-BE32-E72D297353CC}">
              <c16:uniqueId val="{00000001-5F59-47EF-B676-8F7A6E794A66}"/>
            </c:ext>
          </c:extLst>
        </c:ser>
        <c:ser>
          <c:idx val="2"/>
          <c:order val="2"/>
          <c:tx>
            <c:strRef>
              <c:f>reer!$M$2</c:f>
              <c:strCache>
                <c:ptCount val="1"/>
                <c:pt idx="0">
                  <c:v>НЕВК</c:v>
                </c:pt>
              </c:strCache>
            </c:strRef>
          </c:tx>
          <c:spPr>
            <a:ln w="28575" cap="rnd" cmpd="sng" algn="ctr">
              <a:solidFill>
                <a:srgbClr val="A197E4"/>
              </a:solidFill>
              <a:prstDash val="solid"/>
              <a:round/>
            </a:ln>
            <a:effectLst/>
          </c:spPr>
          <c:marker>
            <c:symbol val="none"/>
          </c:marker>
          <c:cat>
            <c:multiLvlStrRef>
              <c:f>reer!$A$71:$B$114</c:f>
              <c:multiLvlStrCache>
                <c:ptCount val="44"/>
                <c:lvl>
                  <c:pt idx="0">
                    <c:v> </c:v>
                  </c:pt>
                  <c:pt idx="1">
                    <c:v> </c:v>
                  </c:pt>
                  <c:pt idx="2">
                    <c:v> </c:v>
                  </c:pt>
                  <c:pt idx="3">
                    <c:v> </c:v>
                  </c:pt>
                  <c:pt idx="4">
                    <c:v> </c:v>
                  </c:pt>
                  <c:pt idx="5">
                    <c:v> </c:v>
                  </c:pt>
                  <c:pt idx="6">
                    <c:v> </c:v>
                  </c:pt>
                  <c:pt idx="7">
                    <c:v> </c:v>
                  </c:pt>
                  <c:pt idx="8">
                    <c:v> </c:v>
                  </c:pt>
                  <c:pt idx="9">
                    <c:v> </c:v>
                  </c:pt>
                  <c:pt idx="10">
                    <c:v> </c:v>
                  </c:pt>
                  <c:pt idx="11">
                    <c:v> </c:v>
                  </c:pt>
                  <c:pt idx="12">
                    <c:v> </c:v>
                  </c:pt>
                  <c:pt idx="13">
                    <c:v> </c:v>
                  </c:pt>
                  <c:pt idx="14">
                    <c:v> </c:v>
                  </c:pt>
                  <c:pt idx="15">
                    <c:v> </c:v>
                  </c:pt>
                  <c:pt idx="16">
                    <c:v> </c:v>
                  </c:pt>
                  <c:pt idx="17">
                    <c:v> </c:v>
                  </c:pt>
                  <c:pt idx="18">
                    <c:v> </c:v>
                  </c:pt>
                  <c:pt idx="20">
                    <c:v> </c:v>
                  </c:pt>
                  <c:pt idx="21">
                    <c:v> </c:v>
                  </c:pt>
                  <c:pt idx="22">
                    <c:v> </c:v>
                  </c:pt>
                  <c:pt idx="23">
                    <c:v> </c:v>
                  </c:pt>
                  <c:pt idx="24">
                    <c:v> </c:v>
                  </c:pt>
                  <c:pt idx="25">
                    <c:v> </c:v>
                  </c:pt>
                  <c:pt idx="26">
                    <c:v> </c:v>
                  </c:pt>
                  <c:pt idx="27">
                    <c:v> </c:v>
                  </c:pt>
                  <c:pt idx="40">
                    <c:v> </c:v>
                  </c:pt>
                  <c:pt idx="41">
                    <c:v> </c:v>
                  </c:pt>
                  <c:pt idx="42">
                    <c:v> </c:v>
                  </c:pt>
                  <c:pt idx="43">
                    <c:v> </c:v>
                  </c:pt>
                </c:lvl>
                <c:lvl>
                  <c:pt idx="0">
                    <c:v>11</c:v>
                  </c:pt>
                  <c:pt idx="4">
                    <c:v>12</c:v>
                  </c:pt>
                  <c:pt idx="8">
                    <c:v>13</c:v>
                  </c:pt>
                  <c:pt idx="12">
                    <c:v>14</c:v>
                  </c:pt>
                  <c:pt idx="16">
                    <c:v>15</c:v>
                  </c:pt>
                  <c:pt idx="20">
                    <c:v>16</c:v>
                  </c:pt>
                  <c:pt idx="24">
                    <c:v>17</c:v>
                  </c:pt>
                  <c:pt idx="28">
                    <c:v>18</c:v>
                  </c:pt>
                  <c:pt idx="32">
                    <c:v>19</c:v>
                  </c:pt>
                  <c:pt idx="36">
                    <c:v>20</c:v>
                  </c:pt>
                  <c:pt idx="40">
                    <c:v>21</c:v>
                  </c:pt>
                </c:lvl>
              </c:multiLvlStrCache>
            </c:multiLvlStrRef>
          </c:cat>
          <c:val>
            <c:numRef>
              <c:f>reer!$M$71:$M$114</c:f>
              <c:numCache>
                <c:formatCode>0.00</c:formatCode>
                <c:ptCount val="44"/>
                <c:pt idx="0">
                  <c:v>100.401470153425</c:v>
                </c:pt>
                <c:pt idx="1">
                  <c:v>101.152985287836</c:v>
                </c:pt>
                <c:pt idx="2">
                  <c:v>101.846123719072</c:v>
                </c:pt>
                <c:pt idx="3">
                  <c:v>102.023051925728</c:v>
                </c:pt>
                <c:pt idx="4">
                  <c:v>100.98916673950301</c:v>
                </c:pt>
                <c:pt idx="5">
                  <c:v>100.721666734525</c:v>
                </c:pt>
                <c:pt idx="6">
                  <c:v>99.997973699278802</c:v>
                </c:pt>
                <c:pt idx="7">
                  <c:v>100.803638822248</c:v>
                </c:pt>
                <c:pt idx="8">
                  <c:v>101.707386519864</c:v>
                </c:pt>
                <c:pt idx="9">
                  <c:v>102.129829093749</c:v>
                </c:pt>
                <c:pt idx="10">
                  <c:v>103.396006196521</c:v>
                </c:pt>
                <c:pt idx="11">
                  <c:v>104.318642512978</c:v>
                </c:pt>
                <c:pt idx="12">
                  <c:v>105.606647185618</c:v>
                </c:pt>
                <c:pt idx="13">
                  <c:v>104.88210051546</c:v>
                </c:pt>
                <c:pt idx="14">
                  <c:v>104.364630425475</c:v>
                </c:pt>
                <c:pt idx="15">
                  <c:v>104.001758796828</c:v>
                </c:pt>
                <c:pt idx="16">
                  <c:v>102.454757582157</c:v>
                </c:pt>
                <c:pt idx="17">
                  <c:v>102.59043914962901</c:v>
                </c:pt>
                <c:pt idx="18">
                  <c:v>103.747555320928</c:v>
                </c:pt>
                <c:pt idx="19">
                  <c:v>103.738429371257</c:v>
                </c:pt>
                <c:pt idx="20">
                  <c:v>104.370387942813</c:v>
                </c:pt>
                <c:pt idx="21">
                  <c:v>104.55152406419</c:v>
                </c:pt>
                <c:pt idx="22">
                  <c:v>104.684440252708</c:v>
                </c:pt>
                <c:pt idx="23">
                  <c:v>105.38496136602799</c:v>
                </c:pt>
                <c:pt idx="24">
                  <c:v>106.121596220375</c:v>
                </c:pt>
                <c:pt idx="25">
                  <c:v>106.43666027211501</c:v>
                </c:pt>
                <c:pt idx="26">
                  <c:v>107.768102508919</c:v>
                </c:pt>
                <c:pt idx="27">
                  <c:v>108.731514675607</c:v>
                </c:pt>
                <c:pt idx="28">
                  <c:v>109.54515627284199</c:v>
                </c:pt>
                <c:pt idx="29">
                  <c:v>110.493311751091</c:v>
                </c:pt>
                <c:pt idx="30">
                  <c:v>112.855230229062</c:v>
                </c:pt>
                <c:pt idx="31">
                  <c:v>112.20114799428001</c:v>
                </c:pt>
                <c:pt idx="32">
                  <c:v>111.761720841403</c:v>
                </c:pt>
                <c:pt idx="33">
                  <c:v>112.52411938844099</c:v>
                </c:pt>
                <c:pt idx="34">
                  <c:v>112.02461760767601</c:v>
                </c:pt>
                <c:pt idx="35">
                  <c:v>112.001791361651</c:v>
                </c:pt>
                <c:pt idx="36">
                  <c:v>112.652233317457</c:v>
                </c:pt>
                <c:pt idx="37">
                  <c:v>114.443010542469</c:v>
                </c:pt>
                <c:pt idx="38">
                  <c:v>116.162306004123</c:v>
                </c:pt>
                <c:pt idx="39">
                  <c:v>117.566860372729</c:v>
                </c:pt>
                <c:pt idx="40">
                  <c:v>116.867364378711</c:v>
                </c:pt>
                <c:pt idx="41">
                  <c:v>118.21956818708399</c:v>
                </c:pt>
                <c:pt idx="42">
                  <c:v>117.967283985862</c:v>
                </c:pt>
                <c:pt idx="43">
                  <c:v>120.40468715556</c:v>
                </c:pt>
              </c:numCache>
            </c:numRef>
          </c:val>
          <c:smooth val="0"/>
          <c:extLst>
            <c:ext xmlns:c16="http://schemas.microsoft.com/office/drawing/2014/chart" uri="{C3380CC4-5D6E-409C-BE32-E72D297353CC}">
              <c16:uniqueId val="{00000002-5F59-47EF-B676-8F7A6E794A66}"/>
            </c:ext>
          </c:extLst>
        </c:ser>
        <c:dLbls>
          <c:showLegendKey val="0"/>
          <c:showVal val="0"/>
          <c:showCatName val="0"/>
          <c:showSerName val="0"/>
          <c:showPercent val="0"/>
          <c:showBubbleSize val="0"/>
        </c:dLbls>
        <c:smooth val="0"/>
        <c:axId val="249829632"/>
        <c:axId val="249839616"/>
      </c:lineChart>
      <c:catAx>
        <c:axId val="249829632"/>
        <c:scaling>
          <c:orientation val="minMax"/>
        </c:scaling>
        <c:delete val="0"/>
        <c:axPos val="b"/>
        <c:majorGridlines>
          <c:spPr>
            <a:ln w="3175" cap="flat" cmpd="sng" algn="ctr">
              <a:solidFill>
                <a:schemeClr val="bg1">
                  <a:lumMod val="85000"/>
                </a:schemeClr>
              </a:solidFill>
              <a:prstDash val="solid"/>
              <a:round/>
            </a:ln>
            <a:effectLst/>
          </c:spPr>
        </c:majorGridlines>
        <c:numFmt formatCode="General" sourceLinked="1"/>
        <c:majorTickMark val="in"/>
        <c:minorTickMark val="none"/>
        <c:tickLblPos val="low"/>
        <c:spPr>
          <a:noFill/>
          <a:ln w="6350" cap="flat" cmpd="sng" algn="ctr">
            <a:solidFill>
              <a:schemeClr val="bg1">
                <a:lumMod val="50000"/>
              </a:schemeClr>
            </a:solidFill>
            <a:prstDash val="solid"/>
            <a:round/>
          </a:ln>
          <a:effectLst/>
        </c:spPr>
        <c:txPr>
          <a:bodyPr rot="-54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bg-BG"/>
          </a:p>
        </c:txPr>
        <c:crossAx val="249839616"/>
        <c:crossesAt val="100"/>
        <c:auto val="1"/>
        <c:lblAlgn val="ctr"/>
        <c:lblOffset val="0"/>
        <c:tickMarkSkip val="1"/>
        <c:noMultiLvlLbl val="0"/>
      </c:catAx>
      <c:valAx>
        <c:axId val="249839616"/>
        <c:scaling>
          <c:orientation val="minMax"/>
          <c:min val="80"/>
        </c:scaling>
        <c:delete val="0"/>
        <c:axPos val="l"/>
        <c:majorGridlines>
          <c:spPr>
            <a:ln w="3175" cap="flat" cmpd="sng" algn="ctr">
              <a:solidFill>
                <a:schemeClr val="bg1">
                  <a:lumMod val="85000"/>
                </a:schemeClr>
              </a:solidFill>
              <a:prstDash val="solid"/>
              <a:round/>
            </a:ln>
            <a:effectLst/>
          </c:spPr>
        </c:majorGridlines>
        <c:numFmt formatCode="0" sourceLinked="0"/>
        <c:majorTickMark val="in"/>
        <c:minorTickMark val="none"/>
        <c:tickLblPos val="nextTo"/>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crossAx val="249829632"/>
        <c:crosses val="autoZero"/>
        <c:crossBetween val="between"/>
        <c:majorUnit val="20"/>
      </c:valAx>
      <c:spPr>
        <a:solidFill>
          <a:schemeClr val="bg1"/>
        </a:solidFill>
        <a:ln>
          <a:noFill/>
        </a:ln>
        <a:effectLst/>
      </c:spPr>
    </c:plotArea>
    <c:legend>
      <c:legendPos val="r"/>
      <c:layout>
        <c:manualLayout>
          <c:xMode val="edge"/>
          <c:yMode val="edge"/>
          <c:x val="4.621048884876159E-2"/>
          <c:y val="0.87314341503683013"/>
          <c:w val="0.85716847962913112"/>
          <c:h val="0.12372483807467614"/>
        </c:manualLayout>
      </c:layout>
      <c:overlay val="0"/>
      <c:spPr>
        <a:solidFill>
          <a:schemeClr val="bg1"/>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legend>
    <c:plotVisOnly val="1"/>
    <c:dispBlanksAs val="gap"/>
    <c:showDLblsOverMax val="0"/>
  </c:chart>
  <c:spPr>
    <a:solidFill>
      <a:schemeClr val="bg1"/>
    </a:solidFill>
    <a:ln w="9525" cap="flat" cmpd="sng" algn="ctr">
      <a:noFill/>
      <a:prstDash val="solid"/>
      <a:round/>
    </a:ln>
    <a:effectLst/>
  </c:spPr>
  <c:txPr>
    <a:bodyPr/>
    <a:lstStyle/>
    <a:p>
      <a:pPr>
        <a:defRPr sz="900">
          <a:solidFill>
            <a:sysClr val="windowText" lastClr="000000"/>
          </a:solidFill>
        </a:defRPr>
      </a:pPr>
      <a:endParaRPr lang="bg-BG"/>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6344902887139106E-2"/>
          <c:y val="2.4299576693285641E-2"/>
          <c:w val="0.92850376902887122"/>
          <c:h val="0.72563155584199657"/>
        </c:manualLayout>
      </c:layout>
      <c:barChart>
        <c:barDir val="col"/>
        <c:grouping val="stacked"/>
        <c:varyColors val="0"/>
        <c:ser>
          <c:idx val="0"/>
          <c:order val="0"/>
          <c:tx>
            <c:strRef>
              <c:f>'Текуща сметка и ПЧИ'!$A$4</c:f>
              <c:strCache>
                <c:ptCount val="1"/>
                <c:pt idx="0">
                  <c:v>Търговски баланс</c:v>
                </c:pt>
              </c:strCache>
            </c:strRef>
          </c:tx>
          <c:spPr>
            <a:solidFill>
              <a:srgbClr val="6768AB">
                <a:alpha val="88000"/>
              </a:srgbClr>
            </a:solidFill>
            <a:ln w="3175">
              <a:solidFill>
                <a:srgbClr val="E3DED1"/>
              </a:solidFill>
            </a:ln>
          </c:spPr>
          <c:invertIfNegative val="0"/>
          <c:cat>
            <c:numRef>
              <c:f>'Текуща сметка и ПЧИ'!$E$3:$M$3</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'Текуща сметка и ПЧИ'!$E$4:$M$4</c:f>
              <c:numCache>
                <c:formatCode>0.0</c:formatCode>
                <c:ptCount val="9"/>
                <c:pt idx="0">
                  <c:v>-1.4776652596791022</c:v>
                </c:pt>
                <c:pt idx="1">
                  <c:v>-4.8230990208316964</c:v>
                </c:pt>
                <c:pt idx="2">
                  <c:v>-4.7492013883637574</c:v>
                </c:pt>
                <c:pt idx="3">
                  <c:v>-3.1650207390463363</c:v>
                </c:pt>
                <c:pt idx="4">
                  <c:v>-4.855835604708612</c:v>
                </c:pt>
                <c:pt idx="5">
                  <c:v>-7.4529091457964229</c:v>
                </c:pt>
                <c:pt idx="6">
                  <c:v>-6.8736974633737207</c:v>
                </c:pt>
                <c:pt idx="7">
                  <c:v>-6.3529564441724879</c:v>
                </c:pt>
                <c:pt idx="8">
                  <c:v>-7.626317644453259</c:v>
                </c:pt>
              </c:numCache>
            </c:numRef>
          </c:val>
          <c:extLst>
            <c:ext xmlns:c16="http://schemas.microsoft.com/office/drawing/2014/chart" uri="{C3380CC4-5D6E-409C-BE32-E72D297353CC}">
              <c16:uniqueId val="{00000000-E721-4382-AD68-28DDDDB30CC6}"/>
            </c:ext>
          </c:extLst>
        </c:ser>
        <c:ser>
          <c:idx val="1"/>
          <c:order val="1"/>
          <c:tx>
            <c:strRef>
              <c:f>'Текуща сметка и ПЧИ'!$A$5</c:f>
              <c:strCache>
                <c:ptCount val="1"/>
                <c:pt idx="0">
                  <c:v>Баланс на услугите</c:v>
                </c:pt>
              </c:strCache>
            </c:strRef>
          </c:tx>
          <c:spPr>
            <a:solidFill>
              <a:srgbClr val="A197E4"/>
            </a:solidFill>
            <a:ln w="3175">
              <a:solidFill>
                <a:srgbClr val="E3DED1"/>
              </a:solidFill>
            </a:ln>
          </c:spPr>
          <c:invertIfNegative val="0"/>
          <c:cat>
            <c:numRef>
              <c:f>'Текуща сметка и ПЧИ'!$E$3:$M$3</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'Текуща сметка и ПЧИ'!$E$5:$M$5</c:f>
              <c:numCache>
                <c:formatCode>0.0</c:formatCode>
                <c:ptCount val="9"/>
                <c:pt idx="0">
                  <c:v>5.8301745019380302</c:v>
                </c:pt>
                <c:pt idx="1">
                  <c:v>7.3635669499556942</c:v>
                </c:pt>
                <c:pt idx="2">
                  <c:v>7.9923900725505952</c:v>
                </c:pt>
                <c:pt idx="3">
                  <c:v>5.0368226958091897</c:v>
                </c:pt>
                <c:pt idx="4">
                  <c:v>6.6211882109254381</c:v>
                </c:pt>
                <c:pt idx="5">
                  <c:v>7.1614609875003756</c:v>
                </c:pt>
                <c:pt idx="6">
                  <c:v>7.0856306620782714</c:v>
                </c:pt>
                <c:pt idx="7">
                  <c:v>7.4176310018895606</c:v>
                </c:pt>
                <c:pt idx="8">
                  <c:v>7.8644771516983125</c:v>
                </c:pt>
              </c:numCache>
            </c:numRef>
          </c:val>
          <c:extLst>
            <c:ext xmlns:c16="http://schemas.microsoft.com/office/drawing/2014/chart" uri="{C3380CC4-5D6E-409C-BE32-E72D297353CC}">
              <c16:uniqueId val="{00000001-E721-4382-AD68-28DDDDB30CC6}"/>
            </c:ext>
          </c:extLst>
        </c:ser>
        <c:ser>
          <c:idx val="2"/>
          <c:order val="2"/>
          <c:tx>
            <c:strRef>
              <c:f>'Текуща сметка и ПЧИ'!$A$6</c:f>
              <c:strCache>
                <c:ptCount val="1"/>
                <c:pt idx="0">
                  <c:v>Първичен доход</c:v>
                </c:pt>
              </c:strCache>
            </c:strRef>
          </c:tx>
          <c:spPr>
            <a:solidFill>
              <a:srgbClr val="F2A4A2"/>
            </a:solidFill>
            <a:ln w="3175">
              <a:solidFill>
                <a:srgbClr val="E3DED1"/>
              </a:solidFill>
            </a:ln>
          </c:spPr>
          <c:invertIfNegative val="0"/>
          <c:cat>
            <c:numRef>
              <c:f>'Текуща сметка и ПЧИ'!$E$3:$M$3</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'Текуща сметка и ПЧИ'!$E$6:$M$6</c:f>
              <c:numCache>
                <c:formatCode>0.0</c:formatCode>
                <c:ptCount val="9"/>
                <c:pt idx="0">
                  <c:v>-4.3127336518193591</c:v>
                </c:pt>
                <c:pt idx="1">
                  <c:v>-4.7921868031057056</c:v>
                </c:pt>
                <c:pt idx="2">
                  <c:v>-4.3084420049800514</c:v>
                </c:pt>
                <c:pt idx="3">
                  <c:v>-3.4561599949534698</c:v>
                </c:pt>
                <c:pt idx="4">
                  <c:v>-3.2565100038129269</c:v>
                </c:pt>
                <c:pt idx="5">
                  <c:v>-4.1074650109626489</c:v>
                </c:pt>
                <c:pt idx="6">
                  <c:v>-3.7690073218207645</c:v>
                </c:pt>
                <c:pt idx="7">
                  <c:v>-3.5855931007225652</c:v>
                </c:pt>
                <c:pt idx="8">
                  <c:v>-3.5945952544039561</c:v>
                </c:pt>
              </c:numCache>
            </c:numRef>
          </c:val>
          <c:extLst>
            <c:ext xmlns:c16="http://schemas.microsoft.com/office/drawing/2014/chart" uri="{C3380CC4-5D6E-409C-BE32-E72D297353CC}">
              <c16:uniqueId val="{00000002-E721-4382-AD68-28DDDDB30CC6}"/>
            </c:ext>
          </c:extLst>
        </c:ser>
        <c:ser>
          <c:idx val="3"/>
          <c:order val="3"/>
          <c:tx>
            <c:strRef>
              <c:f>'Текуща сметка и ПЧИ'!$A$7</c:f>
              <c:strCache>
                <c:ptCount val="1"/>
                <c:pt idx="0">
                  <c:v>Вторичен доход</c:v>
                </c:pt>
              </c:strCache>
            </c:strRef>
          </c:tx>
          <c:spPr>
            <a:solidFill>
              <a:srgbClr val="F8BBCD"/>
            </a:solidFill>
            <a:ln w="3175">
              <a:solidFill>
                <a:srgbClr val="E3DED1"/>
              </a:solidFill>
            </a:ln>
          </c:spPr>
          <c:invertIfNegative val="0"/>
          <c:cat>
            <c:numRef>
              <c:f>'Текуща сметка и ПЧИ'!$E$3:$M$3</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'Текуща сметка и ПЧИ'!$E$7:$M$7</c:f>
              <c:numCache>
                <c:formatCode>0.0</c:formatCode>
                <c:ptCount val="9"/>
                <c:pt idx="0">
                  <c:v>3.2777615733255683</c:v>
                </c:pt>
                <c:pt idx="1">
                  <c:v>3.1991257099607173</c:v>
                </c:pt>
                <c:pt idx="2">
                  <c:v>2.8960865065210766</c:v>
                </c:pt>
                <c:pt idx="3">
                  <c:v>1.516777032087961</c:v>
                </c:pt>
                <c:pt idx="4">
                  <c:v>1.0912616985416705</c:v>
                </c:pt>
                <c:pt idx="5">
                  <c:v>1.4912407404160244</c:v>
                </c:pt>
                <c:pt idx="6">
                  <c:v>1.6167123443087812</c:v>
                </c:pt>
                <c:pt idx="7">
                  <c:v>1.0439088310841318</c:v>
                </c:pt>
                <c:pt idx="8">
                  <c:v>1.2284376144969407</c:v>
                </c:pt>
              </c:numCache>
            </c:numRef>
          </c:val>
          <c:extLst>
            <c:ext xmlns:c16="http://schemas.microsoft.com/office/drawing/2014/chart" uri="{C3380CC4-5D6E-409C-BE32-E72D297353CC}">
              <c16:uniqueId val="{00000003-E721-4382-AD68-28DDDDB30CC6}"/>
            </c:ext>
          </c:extLst>
        </c:ser>
        <c:dLbls>
          <c:showLegendKey val="0"/>
          <c:showVal val="0"/>
          <c:showCatName val="0"/>
          <c:showSerName val="0"/>
          <c:showPercent val="0"/>
          <c:showBubbleSize val="0"/>
        </c:dLbls>
        <c:gapWidth val="80"/>
        <c:overlap val="100"/>
        <c:axId val="79368192"/>
        <c:axId val="79369728"/>
      </c:barChart>
      <c:lineChart>
        <c:grouping val="standard"/>
        <c:varyColors val="0"/>
        <c:ser>
          <c:idx val="4"/>
          <c:order val="4"/>
          <c:tx>
            <c:strRef>
              <c:f>'Текуща сметка и ПЧИ'!$A$8</c:f>
              <c:strCache>
                <c:ptCount val="1"/>
                <c:pt idx="0">
                  <c:v>Текуща сметка</c:v>
                </c:pt>
              </c:strCache>
            </c:strRef>
          </c:tx>
          <c:spPr>
            <a:ln w="25400">
              <a:solidFill>
                <a:srgbClr val="096191"/>
              </a:solidFill>
            </a:ln>
          </c:spPr>
          <c:marker>
            <c:symbol val="none"/>
          </c:marker>
          <c:val>
            <c:numRef>
              <c:f>'Текуща сметка и ПЧИ'!$E$8:$M$8</c:f>
              <c:numCache>
                <c:formatCode>0.0</c:formatCode>
                <c:ptCount val="9"/>
                <c:pt idx="0">
                  <c:v>3.3175371637651385</c:v>
                </c:pt>
                <c:pt idx="1">
                  <c:v>0.9474068359790091</c:v>
                </c:pt>
                <c:pt idx="2">
                  <c:v>1.8308331857278628</c:v>
                </c:pt>
                <c:pt idx="3">
                  <c:v>-6.7581006102654606E-2</c:v>
                </c:pt>
                <c:pt idx="4">
                  <c:v>-0.3998956990544314</c:v>
                </c:pt>
                <c:pt idx="5">
                  <c:v>-2.9076724288426723</c:v>
                </c:pt>
                <c:pt idx="6">
                  <c:v>-1.9403617788074339</c:v>
                </c:pt>
                <c:pt idx="7">
                  <c:v>-1.477009711921361</c:v>
                </c:pt>
                <c:pt idx="8">
                  <c:v>-2.1279981326619608</c:v>
                </c:pt>
              </c:numCache>
            </c:numRef>
          </c:val>
          <c:smooth val="1"/>
          <c:extLst>
            <c:ext xmlns:c16="http://schemas.microsoft.com/office/drawing/2014/chart" uri="{C3380CC4-5D6E-409C-BE32-E72D297353CC}">
              <c16:uniqueId val="{00000004-E721-4382-AD68-28DDDDB30CC6}"/>
            </c:ext>
          </c:extLst>
        </c:ser>
        <c:ser>
          <c:idx val="6"/>
          <c:order val="5"/>
          <c:tx>
            <c:strRef>
              <c:f>'Текуща сметка и ПЧИ'!$A$10</c:f>
              <c:strCache>
                <c:ptCount val="1"/>
                <c:pt idx="0">
                  <c:v>ПЧИ, пасиви</c:v>
                </c:pt>
              </c:strCache>
            </c:strRef>
          </c:tx>
          <c:spPr>
            <a:ln w="25400">
              <a:solidFill>
                <a:srgbClr val="096191"/>
              </a:solidFill>
              <a:prstDash val="sysDash"/>
            </a:ln>
          </c:spPr>
          <c:marker>
            <c:symbol val="none"/>
          </c:marker>
          <c:val>
            <c:numRef>
              <c:f>'Текуща сметка и ПЧИ'!$E$10:$M$10</c:f>
              <c:numCache>
                <c:formatCode>0.0</c:formatCode>
                <c:ptCount val="9"/>
                <c:pt idx="0">
                  <c:v>3.3360775197119179</c:v>
                </c:pt>
                <c:pt idx="1">
                  <c:v>2.7478387654306125</c:v>
                </c:pt>
                <c:pt idx="2">
                  <c:v>3.033598921740674</c:v>
                </c:pt>
                <c:pt idx="3">
                  <c:v>5.1881327114200948</c:v>
                </c:pt>
                <c:pt idx="4">
                  <c:v>2.619883011345796</c:v>
                </c:pt>
                <c:pt idx="5">
                  <c:v>2.4301332611934545</c:v>
                </c:pt>
                <c:pt idx="6">
                  <c:v>2.5619841154916143</c:v>
                </c:pt>
                <c:pt idx="7">
                  <c:v>2.6944309771303807</c:v>
                </c:pt>
                <c:pt idx="8">
                  <c:v>2.7905163823338546</c:v>
                </c:pt>
              </c:numCache>
            </c:numRef>
          </c:val>
          <c:smooth val="0"/>
          <c:extLst>
            <c:ext xmlns:c16="http://schemas.microsoft.com/office/drawing/2014/chart" uri="{C3380CC4-5D6E-409C-BE32-E72D297353CC}">
              <c16:uniqueId val="{00000005-E721-4382-AD68-28DDDDB30CC6}"/>
            </c:ext>
          </c:extLst>
        </c:ser>
        <c:dLbls>
          <c:showLegendKey val="0"/>
          <c:showVal val="0"/>
          <c:showCatName val="0"/>
          <c:showSerName val="0"/>
          <c:showPercent val="0"/>
          <c:showBubbleSize val="0"/>
        </c:dLbls>
        <c:marker val="1"/>
        <c:smooth val="0"/>
        <c:axId val="79368192"/>
        <c:axId val="79369728"/>
      </c:lineChart>
      <c:catAx>
        <c:axId val="79368192"/>
        <c:scaling>
          <c:orientation val="minMax"/>
        </c:scaling>
        <c:delete val="0"/>
        <c:axPos val="b"/>
        <c:majorGridlines>
          <c:spPr>
            <a:ln w="3175">
              <a:solidFill>
                <a:sysClr val="window" lastClr="FFFFFF">
                  <a:lumMod val="85000"/>
                </a:sysClr>
              </a:solidFill>
              <a:prstDash val="sysDash"/>
            </a:ln>
          </c:spPr>
        </c:majorGridlines>
        <c:numFmt formatCode="General" sourceLinked="1"/>
        <c:majorTickMark val="in"/>
        <c:minorTickMark val="none"/>
        <c:tickLblPos val="low"/>
        <c:spPr>
          <a:ln>
            <a:solidFill>
              <a:sysClr val="window" lastClr="FFFFFF">
                <a:lumMod val="50000"/>
              </a:sysClr>
            </a:solidFill>
          </a:ln>
        </c:spPr>
        <c:txPr>
          <a:bodyPr rot="0" vert="horz"/>
          <a:lstStyle/>
          <a:p>
            <a:pPr>
              <a:defRPr/>
            </a:pPr>
            <a:endParaRPr lang="bg-BG"/>
          </a:p>
        </c:txPr>
        <c:crossAx val="79369728"/>
        <c:crossesAt val="-15"/>
        <c:auto val="1"/>
        <c:lblAlgn val="ctr"/>
        <c:lblOffset val="0"/>
        <c:tickLblSkip val="1"/>
        <c:tickMarkSkip val="1"/>
        <c:noMultiLvlLbl val="0"/>
      </c:catAx>
      <c:valAx>
        <c:axId val="79369728"/>
        <c:scaling>
          <c:orientation val="minMax"/>
        </c:scaling>
        <c:delete val="0"/>
        <c:axPos val="l"/>
        <c:majorGridlines>
          <c:spPr>
            <a:ln w="3175">
              <a:solidFill>
                <a:sysClr val="window" lastClr="FFFFFF">
                  <a:lumMod val="85000"/>
                </a:sysClr>
              </a:solidFill>
              <a:prstDash val="sysDash"/>
            </a:ln>
          </c:spPr>
        </c:majorGridlines>
        <c:numFmt formatCode="#,##0" sourceLinked="0"/>
        <c:majorTickMark val="in"/>
        <c:minorTickMark val="none"/>
        <c:tickLblPos val="nextTo"/>
        <c:spPr>
          <a:ln>
            <a:solidFill>
              <a:sysClr val="window" lastClr="FFFFFF">
                <a:lumMod val="50000"/>
              </a:sysClr>
            </a:solidFill>
          </a:ln>
        </c:spPr>
        <c:txPr>
          <a:bodyPr rot="0" vert="horz"/>
          <a:lstStyle/>
          <a:p>
            <a:pPr>
              <a:defRPr/>
            </a:pPr>
            <a:endParaRPr lang="bg-BG"/>
          </a:p>
        </c:txPr>
        <c:crossAx val="79368192"/>
        <c:crosses val="autoZero"/>
        <c:crossBetween val="between"/>
      </c:valAx>
      <c:spPr>
        <a:noFill/>
      </c:spPr>
    </c:plotArea>
    <c:legend>
      <c:legendPos val="b"/>
      <c:layout>
        <c:manualLayout>
          <c:xMode val="edge"/>
          <c:yMode val="edge"/>
          <c:x val="3.1284693539306629E-2"/>
          <c:y val="0.87725167028786188"/>
          <c:w val="0.96675057217847771"/>
          <c:h val="0.11820877718443273"/>
        </c:manualLayout>
      </c:layout>
      <c:overlay val="0"/>
    </c:legend>
    <c:plotVisOnly val="1"/>
    <c:dispBlanksAs val="gap"/>
    <c:showDLblsOverMax val="0"/>
  </c:chart>
  <c:spPr>
    <a:noFill/>
    <a:ln>
      <a:noFill/>
    </a:ln>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bg-BG"/>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3049410490355368E-2"/>
          <c:y val="5.6251598056762976E-2"/>
          <c:w val="0.89867898457137307"/>
          <c:h val="0.82511752637926139"/>
        </c:manualLayout>
      </c:layout>
      <c:areaChart>
        <c:grouping val="standard"/>
        <c:varyColors val="0"/>
        <c:ser>
          <c:idx val="1"/>
          <c:order val="0"/>
          <c:spPr>
            <a:solidFill>
              <a:srgbClr val="A197E4"/>
            </a:solidFill>
            <a:ln>
              <a:noFill/>
            </a:ln>
          </c:spPr>
          <c:cat>
            <c:strRef>
              <c:f>Sheet1!$C$4:$L$4</c:f>
              <c:strCache>
                <c:ptCount val="7"/>
                <c:pt idx="0">
                  <c:v>2016</c:v>
                </c:pt>
                <c:pt idx="1">
                  <c:v>2017</c:v>
                </c:pt>
                <c:pt idx="2">
                  <c:v>2018</c:v>
                </c:pt>
                <c:pt idx="3">
                  <c:v>2019</c:v>
                </c:pt>
                <c:pt idx="4">
                  <c:v>2020</c:v>
                </c:pt>
                <c:pt idx="5">
                  <c:v>2021</c:v>
                </c:pt>
                <c:pt idx="6">
                  <c:v>2022*</c:v>
                </c:pt>
              </c:strCache>
              <c:extLst/>
            </c:strRef>
          </c:cat>
          <c:val>
            <c:numRef>
              <c:f>Sheet1!$C$5:$L$5</c:f>
              <c:numCache>
                <c:formatCode>0.0%</c:formatCode>
                <c:ptCount val="7"/>
                <c:pt idx="0">
                  <c:v>3.0000000000000001E-3</c:v>
                </c:pt>
                <c:pt idx="1">
                  <c:v>1.6E-2</c:v>
                </c:pt>
                <c:pt idx="2">
                  <c:v>1.7000000000000001E-2</c:v>
                </c:pt>
                <c:pt idx="3">
                  <c:v>2.1000000000000001E-2</c:v>
                </c:pt>
                <c:pt idx="4">
                  <c:v>-0.04</c:v>
                </c:pt>
                <c:pt idx="5">
                  <c:v>-4.1000000000000002E-2</c:v>
                </c:pt>
                <c:pt idx="6">
                  <c:v>-5.2999999999999999E-2</c:v>
                </c:pt>
              </c:numCache>
              <c:extLst/>
            </c:numRef>
          </c:val>
          <c:extLst>
            <c:ext xmlns:c16="http://schemas.microsoft.com/office/drawing/2014/chart" uri="{C3380CC4-5D6E-409C-BE32-E72D297353CC}">
              <c16:uniqueId val="{00000000-34B1-44CE-A028-E48760D61A41}"/>
            </c:ext>
          </c:extLst>
        </c:ser>
        <c:dLbls>
          <c:showLegendKey val="0"/>
          <c:showVal val="0"/>
          <c:showCatName val="0"/>
          <c:showSerName val="0"/>
          <c:showPercent val="0"/>
          <c:showBubbleSize val="0"/>
        </c:dLbls>
        <c:axId val="338082816"/>
        <c:axId val="309502336"/>
      </c:areaChart>
      <c:lineChart>
        <c:grouping val="standard"/>
        <c:varyColors val="0"/>
        <c:ser>
          <c:idx val="2"/>
          <c:order val="1"/>
          <c:spPr>
            <a:ln>
              <a:solidFill>
                <a:srgbClr val="F8BBCD"/>
              </a:solidFill>
            </a:ln>
          </c:spPr>
          <c:marker>
            <c:symbol val="none"/>
          </c:marker>
          <c:cat>
            <c:strRef>
              <c:f>Sheet1!$C$4:$L$4</c:f>
              <c:strCache>
                <c:ptCount val="7"/>
                <c:pt idx="0">
                  <c:v>2016</c:v>
                </c:pt>
                <c:pt idx="1">
                  <c:v>2017</c:v>
                </c:pt>
                <c:pt idx="2">
                  <c:v>2018</c:v>
                </c:pt>
                <c:pt idx="3">
                  <c:v>2019</c:v>
                </c:pt>
                <c:pt idx="4">
                  <c:v>2020</c:v>
                </c:pt>
                <c:pt idx="5">
                  <c:v>2021</c:v>
                </c:pt>
                <c:pt idx="6">
                  <c:v>2022*</c:v>
                </c:pt>
              </c:strCache>
              <c:extLst/>
            </c:strRef>
          </c:cat>
          <c:val>
            <c:numRef>
              <c:f>Sheet1!$C$6:$L$6</c:f>
              <c:numCache>
                <c:formatCode>0%</c:formatCode>
                <c:ptCount val="7"/>
                <c:pt idx="0">
                  <c:v>-0.03</c:v>
                </c:pt>
                <c:pt idx="1">
                  <c:v>-0.03</c:v>
                </c:pt>
                <c:pt idx="2">
                  <c:v>-0.03</c:v>
                </c:pt>
                <c:pt idx="3">
                  <c:v>-0.03</c:v>
                </c:pt>
                <c:pt idx="4">
                  <c:v>-0.03</c:v>
                </c:pt>
                <c:pt idx="5">
                  <c:v>-0.03</c:v>
                </c:pt>
                <c:pt idx="6">
                  <c:v>-0.03</c:v>
                </c:pt>
              </c:numCache>
              <c:extLst/>
            </c:numRef>
          </c:val>
          <c:smooth val="0"/>
          <c:extLst>
            <c:ext xmlns:c16="http://schemas.microsoft.com/office/drawing/2014/chart" uri="{C3380CC4-5D6E-409C-BE32-E72D297353CC}">
              <c16:uniqueId val="{00000001-34B1-44CE-A028-E48760D61A41}"/>
            </c:ext>
          </c:extLst>
        </c:ser>
        <c:dLbls>
          <c:showLegendKey val="0"/>
          <c:showVal val="0"/>
          <c:showCatName val="0"/>
          <c:showSerName val="0"/>
          <c:showPercent val="0"/>
          <c:showBubbleSize val="0"/>
        </c:dLbls>
        <c:marker val="1"/>
        <c:smooth val="0"/>
        <c:axId val="338082816"/>
        <c:axId val="309502336"/>
      </c:lineChart>
      <c:catAx>
        <c:axId val="338082816"/>
        <c:scaling>
          <c:orientation val="minMax"/>
        </c:scaling>
        <c:delete val="0"/>
        <c:axPos val="b"/>
        <c:majorGridlines>
          <c:spPr>
            <a:ln w="3175">
              <a:solidFill>
                <a:sysClr val="window" lastClr="FFFFFF">
                  <a:lumMod val="85000"/>
                </a:sysClr>
              </a:solidFill>
            </a:ln>
          </c:spPr>
        </c:majorGridlines>
        <c:numFmt formatCode="General" sourceLinked="1"/>
        <c:majorTickMark val="cross"/>
        <c:minorTickMark val="none"/>
        <c:tickLblPos val="low"/>
        <c:spPr>
          <a:ln w="6350">
            <a:solidFill>
              <a:sysClr val="window" lastClr="FFFFFF">
                <a:lumMod val="50000"/>
              </a:sysClr>
            </a:solidFill>
          </a:ln>
        </c:spPr>
        <c:crossAx val="309502336"/>
        <c:crossesAt val="0"/>
        <c:auto val="1"/>
        <c:lblAlgn val="ctr"/>
        <c:lblOffset val="100"/>
        <c:noMultiLvlLbl val="0"/>
      </c:catAx>
      <c:valAx>
        <c:axId val="309502336"/>
        <c:scaling>
          <c:orientation val="minMax"/>
        </c:scaling>
        <c:delete val="0"/>
        <c:axPos val="l"/>
        <c:majorGridlines>
          <c:spPr>
            <a:ln w="3175">
              <a:solidFill>
                <a:sysClr val="window" lastClr="FFFFFF">
                  <a:lumMod val="85000"/>
                </a:sysClr>
              </a:solidFill>
            </a:ln>
          </c:spPr>
        </c:majorGridlines>
        <c:numFmt formatCode="0%" sourceLinked="0"/>
        <c:majorTickMark val="in"/>
        <c:minorTickMark val="none"/>
        <c:tickLblPos val="nextTo"/>
        <c:spPr>
          <a:ln w="6350">
            <a:solidFill>
              <a:sysClr val="window" lastClr="FFFFFF">
                <a:lumMod val="50000"/>
              </a:sysClr>
            </a:solidFill>
          </a:ln>
          <a:effectLst/>
        </c:spPr>
        <c:crossAx val="338082816"/>
        <c:crossesAt val="1"/>
        <c:crossBetween val="midCat"/>
      </c:valAx>
      <c:spPr>
        <a:ln>
          <a:noFill/>
        </a:ln>
      </c:spPr>
    </c:plotArea>
    <c:plotVisOnly val="1"/>
    <c:dispBlanksAs val="gap"/>
    <c:showDLblsOverMax val="0"/>
  </c:chart>
  <c:spPr>
    <a:noFill/>
    <a:ln>
      <a:noFill/>
    </a:ln>
  </c:spPr>
  <c:txPr>
    <a:bodyPr/>
    <a:lstStyle/>
    <a:p>
      <a:pPr>
        <a:defRPr sz="900">
          <a:solidFill>
            <a:sysClr val="windowText" lastClr="000000"/>
          </a:solidFill>
        </a:defRPr>
      </a:pPr>
      <a:endParaRPr lang="bg-BG"/>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'5-4-2021'!$C$3:$H$3</c:f>
              <c:strCache>
                <c:ptCount val="6"/>
                <c:pt idx="0">
                  <c:v>24.7%</c:v>
                </c:pt>
                <c:pt idx="1">
                  <c:v>25.1%</c:v>
                </c:pt>
                <c:pt idx="2">
                  <c:v>25.5%</c:v>
                </c:pt>
                <c:pt idx="3">
                  <c:v>27.7%</c:v>
                </c:pt>
                <c:pt idx="4">
                  <c:v>29.1%</c:v>
                </c:pt>
                <c:pt idx="5">
                  <c:v>30.4%</c:v>
                </c:pt>
              </c:strCache>
            </c:strRef>
          </c:tx>
          <c:spPr>
            <a:ln w="25400" cap="rnd">
              <a:solidFill>
                <a:srgbClr val="6768AB"/>
              </a:solidFill>
              <a:round/>
            </a:ln>
            <a:effectLst/>
          </c:spPr>
          <c:marker>
            <c:symbol val="circle"/>
            <c:size val="7"/>
            <c:spPr>
              <a:solidFill>
                <a:srgbClr val="6768AB"/>
              </a:solidFill>
              <a:ln w="3175">
                <a:solidFill>
                  <a:schemeClr val="bg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bg-BG"/>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'5-4-2021'!$C$2:$H$2</c:f>
              <c:numCache>
                <c:formatCode>General</c:formatCode>
                <c:ptCount val="6"/>
                <c:pt idx="0">
                  <c:v>2020</c:v>
                </c:pt>
                <c:pt idx="1">
                  <c:v>2021</c:v>
                </c:pt>
                <c:pt idx="2">
                  <c:v>2022</c:v>
                </c:pt>
                <c:pt idx="3">
                  <c:v>2023</c:v>
                </c:pt>
                <c:pt idx="4">
                  <c:v>2024</c:v>
                </c:pt>
                <c:pt idx="5">
                  <c:v>2025</c:v>
                </c:pt>
              </c:numCache>
            </c:numRef>
          </c:cat>
          <c:val>
            <c:numRef>
              <c:f>'5-4-2021'!$C$3:$H$3</c:f>
              <c:numCache>
                <c:formatCode>0.0%</c:formatCode>
                <c:ptCount val="6"/>
                <c:pt idx="0">
                  <c:v>0.24678831413482732</c:v>
                </c:pt>
                <c:pt idx="1">
                  <c:v>0.25068123638108014</c:v>
                </c:pt>
                <c:pt idx="2">
                  <c:v>0.25527898363449997</c:v>
                </c:pt>
                <c:pt idx="3">
                  <c:v>0.27731419336377444</c:v>
                </c:pt>
                <c:pt idx="4">
                  <c:v>0.29076123150577876</c:v>
                </c:pt>
                <c:pt idx="5">
                  <c:v>0.3037276007195982</c:v>
                </c:pt>
              </c:numCache>
            </c:numRef>
          </c:val>
          <c:smooth val="0"/>
          <c:extLst>
            <c:ext xmlns:c16="http://schemas.microsoft.com/office/drawing/2014/chart" uri="{C3380CC4-5D6E-409C-BE32-E72D297353CC}">
              <c16:uniqueId val="{00000000-5D33-4862-A2C8-87EEDDBC8F46}"/>
            </c:ext>
          </c:extLst>
        </c:ser>
        <c:dLbls>
          <c:showLegendKey val="0"/>
          <c:showVal val="0"/>
          <c:showCatName val="0"/>
          <c:showSerName val="0"/>
          <c:showPercent val="0"/>
          <c:showBubbleSize val="0"/>
        </c:dLbls>
        <c:marker val="1"/>
        <c:smooth val="0"/>
        <c:axId val="1146428767"/>
        <c:axId val="1146416703"/>
      </c:lineChart>
      <c:catAx>
        <c:axId val="1146428767"/>
        <c:scaling>
          <c:orientation val="minMax"/>
        </c:scaling>
        <c:delete val="0"/>
        <c:axPos val="b"/>
        <c:majorGridlines>
          <c:spPr>
            <a:ln w="3175" cap="flat" cmpd="sng" algn="ctr">
              <a:solidFill>
                <a:schemeClr val="bg1">
                  <a:lumMod val="85000"/>
                </a:schemeClr>
              </a:solidFill>
              <a:round/>
            </a:ln>
            <a:effectLst/>
          </c:spPr>
        </c:majorGridlines>
        <c:numFmt formatCode="General" sourceLinked="1"/>
        <c:majorTickMark val="in"/>
        <c:minorTickMark val="none"/>
        <c:tickLblPos val="nextTo"/>
        <c:spPr>
          <a:noFill/>
          <a:ln w="6350"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crossAx val="1146416703"/>
        <c:crosses val="autoZero"/>
        <c:auto val="1"/>
        <c:lblAlgn val="ctr"/>
        <c:lblOffset val="100"/>
        <c:noMultiLvlLbl val="0"/>
      </c:catAx>
      <c:valAx>
        <c:axId val="1146416703"/>
        <c:scaling>
          <c:orientation val="minMax"/>
          <c:max val="0.60000000000000009"/>
        </c:scaling>
        <c:delete val="0"/>
        <c:axPos val="l"/>
        <c:majorGridlines>
          <c:spPr>
            <a:ln w="3175" cap="flat" cmpd="sng" algn="ctr">
              <a:solidFill>
                <a:schemeClr val="bg1">
                  <a:lumMod val="85000"/>
                </a:schemeClr>
              </a:solidFill>
              <a:round/>
            </a:ln>
            <a:effectLst/>
          </c:spPr>
        </c:majorGridlines>
        <c:numFmt formatCode="0%" sourceLinked="0"/>
        <c:majorTickMark val="in"/>
        <c:minorTickMark val="none"/>
        <c:tickLblPos val="nextTo"/>
        <c:spPr>
          <a:noFill/>
          <a:ln w="3175">
            <a:solidFill>
              <a:sysClr val="window" lastClr="FFFFFF">
                <a:lumMod val="50000"/>
              </a:sys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bg-BG"/>
          </a:p>
        </c:txPr>
        <c:crossAx val="1146428767"/>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defRPr>
      </a:pPr>
      <a:endParaRPr lang="bg-BG"/>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0.81312</cdr:x>
      <cdr:y>0.91773</cdr:y>
    </cdr:from>
    <cdr:to>
      <cdr:x>0.97798</cdr:x>
      <cdr:y>1</cdr:y>
    </cdr:to>
    <cdr:sp macro="" textlink="">
      <cdr:nvSpPr>
        <cdr:cNvPr id="2" name="Text Box 1"/>
        <cdr:cNvSpPr txBox="1"/>
      </cdr:nvSpPr>
      <cdr:spPr>
        <a:xfrm xmlns:a="http://schemas.openxmlformats.org/drawingml/2006/main">
          <a:off x="4817341" y="2147456"/>
          <a:ext cx="976746" cy="192519"/>
        </a:xfrm>
        <a:prstGeom xmlns:a="http://schemas.openxmlformats.org/drawingml/2006/main" prst="rect">
          <a:avLst/>
        </a:prstGeom>
      </cdr:spPr>
      <cdr:txBody>
        <a:bodyPr xmlns:a="http://schemas.openxmlformats.org/drawingml/2006/main" vertOverflow="clip" wrap="square" lIns="36000" tIns="0" rIns="36000" bIns="0" rtlCol="0"/>
        <a:lstStyle xmlns:a="http://schemas.openxmlformats.org/drawingml/2006/main"/>
        <a:p xmlns:a="http://schemas.openxmlformats.org/drawingml/2006/main">
          <a:r>
            <a:rPr lang="en-US" sz="900">
              <a:solidFill>
                <a:sysClr val="windowText" lastClr="000000"/>
              </a:solidFill>
            </a:rPr>
            <a:t>(</a:t>
          </a:r>
          <a:r>
            <a:rPr lang="bg-BG" sz="900">
              <a:solidFill>
                <a:sysClr val="windowText" lastClr="000000"/>
              </a:solidFill>
            </a:rPr>
            <a:t>дясна</a:t>
          </a:r>
          <a:r>
            <a:rPr lang="bg-BG" sz="900" baseline="0">
              <a:solidFill>
                <a:sysClr val="windowText" lastClr="000000"/>
              </a:solidFill>
            </a:rPr>
            <a:t> скала</a:t>
          </a:r>
          <a:r>
            <a:rPr lang="en-US" sz="900">
              <a:solidFill>
                <a:sysClr val="windowText" lastClr="000000"/>
              </a:solidFill>
            </a:rPr>
            <a:t>)</a:t>
          </a:r>
          <a:endParaRPr lang="bg-BG" sz="900">
            <a:solidFill>
              <a:sysClr val="windowText" lastClr="000000"/>
            </a:solidFill>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0.07295</cdr:x>
      <cdr:y>0.74037</cdr:y>
    </cdr:from>
    <cdr:to>
      <cdr:x>0.33408</cdr:x>
      <cdr:y>0.81317</cdr:y>
    </cdr:to>
    <cdr:sp macro="" textlink="">
      <cdr:nvSpPr>
        <cdr:cNvPr id="5" name="TextBox 4">
          <a:extLst xmlns:a="http://schemas.openxmlformats.org/drawingml/2006/main">
            <a:ext uri="{FF2B5EF4-FFF2-40B4-BE49-F238E27FC236}">
              <a16:creationId xmlns:a16="http://schemas.microsoft.com/office/drawing/2014/main" id="{E755F80C-21B4-4E25-AC34-E59810856DD8}"/>
            </a:ext>
          </a:extLst>
        </cdr:cNvPr>
        <cdr:cNvSpPr txBox="1"/>
      </cdr:nvSpPr>
      <cdr:spPr>
        <a:xfrm xmlns:a="http://schemas.openxmlformats.org/drawingml/2006/main">
          <a:off x="207072" y="1904040"/>
          <a:ext cx="741194" cy="187225"/>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r>
            <a:rPr lang="bg-BG" sz="700">
              <a:latin typeface="Times New Roman" panose="02020603050405020304" pitchFamily="18" charset="0"/>
              <a:cs typeface="Times New Roman" panose="02020603050405020304" pitchFamily="18" charset="0"/>
            </a:rPr>
            <a:t>Процентили</a:t>
          </a:r>
          <a:endParaRPr lang="en-US" sz="700" b="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0.14226</cdr:x>
      <cdr:y>0.70847</cdr:y>
    </cdr:from>
    <cdr:to>
      <cdr:x>0.18756</cdr:x>
      <cdr:y>0.70847</cdr:y>
    </cdr:to>
    <cdr:sp macro="" textlink="">
      <cdr:nvSpPr>
        <cdr:cNvPr id="7" name="Straight Connector 6">
          <a:extLst xmlns:a="http://schemas.openxmlformats.org/drawingml/2006/main">
            <a:ext uri="{FF2B5EF4-FFF2-40B4-BE49-F238E27FC236}">
              <a16:creationId xmlns:a16="http://schemas.microsoft.com/office/drawing/2014/main" id="{B37F8858-A815-4E28-9ADC-21E8F124D61E}"/>
            </a:ext>
          </a:extLst>
        </cdr:cNvPr>
        <cdr:cNvSpPr/>
      </cdr:nvSpPr>
      <cdr:spPr>
        <a:xfrm xmlns:a="http://schemas.openxmlformats.org/drawingml/2006/main">
          <a:off x="413481" y="1820841"/>
          <a:ext cx="131664" cy="0"/>
        </a:xfrm>
        <a:prstGeom xmlns:a="http://schemas.openxmlformats.org/drawingml/2006/main" prst="line">
          <a:avLst/>
        </a:prstGeom>
        <a:ln xmlns:a="http://schemas.openxmlformats.org/drawingml/2006/main" w="28575">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0.18722</cdr:x>
      <cdr:y>0.68595</cdr:y>
    </cdr:from>
    <cdr:to>
      <cdr:x>0.54798</cdr:x>
      <cdr:y>0.73711</cdr:y>
    </cdr:to>
    <cdr:sp macro="" textlink="">
      <cdr:nvSpPr>
        <cdr:cNvPr id="8" name="TextBox 1">
          <a:extLst xmlns:a="http://schemas.openxmlformats.org/drawingml/2006/main">
            <a:ext uri="{FF2B5EF4-FFF2-40B4-BE49-F238E27FC236}">
              <a16:creationId xmlns:a16="http://schemas.microsoft.com/office/drawing/2014/main" id="{EFA99FCF-BEA5-419D-8D74-FD65197CB04A}"/>
            </a:ext>
          </a:extLst>
        </cdr:cNvPr>
        <cdr:cNvSpPr txBox="1"/>
      </cdr:nvSpPr>
      <cdr:spPr>
        <a:xfrm xmlns:a="http://schemas.openxmlformats.org/drawingml/2006/main">
          <a:off x="531419" y="1764083"/>
          <a:ext cx="1023999" cy="131571"/>
        </a:xfrm>
        <a:prstGeom xmlns:a="http://schemas.openxmlformats.org/drawingml/2006/main" prst="rect">
          <a:avLst/>
        </a:prstGeom>
      </cdr:spPr>
      <cdr:txBody>
        <a:bodyPr xmlns:a="http://schemas.openxmlformats.org/drawingml/2006/main" wrap="square" rtlCol="0" anchor="ct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bg-BG" sz="800" b="0">
              <a:latin typeface="+mn-lt"/>
              <a:cs typeface="Segoe UI" pitchFamily="34" charset="0"/>
            </a:rPr>
            <a:t> </a:t>
          </a:r>
          <a:r>
            <a:rPr lang="bg-BG" sz="800" b="0">
              <a:latin typeface="Times New Roman" panose="02020603050405020304" pitchFamily="18" charset="0"/>
              <a:cs typeface="Times New Roman" panose="02020603050405020304" pitchFamily="18" charset="0"/>
            </a:rPr>
            <a:t>Базов сценарий</a:t>
          </a:r>
          <a:endParaRPr lang="en-US" sz="800" b="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0.09285</cdr:x>
      <cdr:y>0.00541</cdr:y>
    </cdr:from>
    <cdr:to>
      <cdr:x>0.89738</cdr:x>
      <cdr:y>0.0938</cdr:y>
    </cdr:to>
    <cdr:sp macro="" textlink="">
      <cdr:nvSpPr>
        <cdr:cNvPr id="6" name="TextBox 1">
          <a:extLst xmlns:a="http://schemas.openxmlformats.org/drawingml/2006/main">
            <a:ext uri="{FF2B5EF4-FFF2-40B4-BE49-F238E27FC236}">
              <a16:creationId xmlns:a16="http://schemas.microsoft.com/office/drawing/2014/main" id="{52209C8F-C139-4A94-8D3B-C0C4C0BA522A}"/>
            </a:ext>
          </a:extLst>
        </cdr:cNvPr>
        <cdr:cNvSpPr txBox="1"/>
      </cdr:nvSpPr>
      <cdr:spPr>
        <a:xfrm xmlns:a="http://schemas.openxmlformats.org/drawingml/2006/main">
          <a:off x="269858" y="13896"/>
          <a:ext cx="2338282" cy="2271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bg-BG" sz="800" b="1">
              <a:latin typeface="Times New Roman" panose="02020603050405020304" pitchFamily="18" charset="0"/>
              <a:ea typeface="Segoe UI" pitchFamily="34" charset="0"/>
              <a:cs typeface="Times New Roman" panose="02020603050405020304" pitchFamily="18" charset="0"/>
            </a:rPr>
            <a:t>Симертично</a:t>
          </a:r>
          <a:r>
            <a:rPr lang="bg-BG" sz="800" b="1" baseline="0">
              <a:latin typeface="Times New Roman" panose="02020603050405020304" pitchFamily="18" charset="0"/>
              <a:ea typeface="Segoe UI" pitchFamily="34" charset="0"/>
              <a:cs typeface="Times New Roman" panose="02020603050405020304" pitchFamily="18" charset="0"/>
            </a:rPr>
            <a:t> разпределение</a:t>
          </a:r>
          <a:endParaRPr lang="en-US" sz="800" b="1">
            <a:latin typeface="Times New Roman" panose="02020603050405020304" pitchFamily="18" charset="0"/>
            <a:ea typeface="Segoe UI" pitchFamily="34"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0.08024</cdr:x>
      <cdr:y>0.00322</cdr:y>
    </cdr:from>
    <cdr:to>
      <cdr:x>0.88642</cdr:x>
      <cdr:y>0.09233</cdr:y>
    </cdr:to>
    <cdr:sp macro="" textlink="">
      <cdr:nvSpPr>
        <cdr:cNvPr id="9" name="TextBox 1">
          <a:extLst xmlns:a="http://schemas.openxmlformats.org/drawingml/2006/main">
            <a:ext uri="{FF2B5EF4-FFF2-40B4-BE49-F238E27FC236}">
              <a16:creationId xmlns:a16="http://schemas.microsoft.com/office/drawing/2014/main" id="{F6666BE5-C1EA-4449-9878-EE96562B820B}"/>
            </a:ext>
          </a:extLst>
        </cdr:cNvPr>
        <cdr:cNvSpPr txBox="1"/>
      </cdr:nvSpPr>
      <cdr:spPr>
        <a:xfrm xmlns:a="http://schemas.openxmlformats.org/drawingml/2006/main">
          <a:off x="233274" y="8193"/>
          <a:ext cx="2343590" cy="22679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bg-BG" sz="800" b="1">
              <a:latin typeface="Times New Roman" panose="02020603050405020304" pitchFamily="18" charset="0"/>
              <a:ea typeface="Segoe UI" pitchFamily="34" charset="0"/>
              <a:cs typeface="Times New Roman" panose="02020603050405020304" pitchFamily="18" charset="0"/>
            </a:rPr>
            <a:t>Асиметрично разпределение</a:t>
          </a:r>
          <a:endParaRPr lang="en-US" sz="800" b="1">
            <a:latin typeface="Times New Roman" panose="02020603050405020304" pitchFamily="18" charset="0"/>
            <a:ea typeface="Segoe UI" pitchFamily="34" charset="0"/>
            <a:cs typeface="Times New Roman" panose="02020603050405020304" pitchFamily="18" charset="0"/>
          </a:endParaRPr>
        </a:p>
      </cdr:txBody>
    </cdr:sp>
  </cdr:relSizeAnchor>
  <cdr:relSizeAnchor xmlns:cdr="http://schemas.openxmlformats.org/drawingml/2006/chartDrawing">
    <cdr:from>
      <cdr:x>0.07051</cdr:x>
      <cdr:y>0.65569</cdr:y>
    </cdr:from>
    <cdr:to>
      <cdr:x>0.96513</cdr:x>
      <cdr:y>0.71158</cdr:y>
    </cdr:to>
    <cdr:sp macro="" textlink="">
      <cdr:nvSpPr>
        <cdr:cNvPr id="4" name="TextBox 23">
          <a:extLst xmlns:a="http://schemas.openxmlformats.org/drawingml/2006/main">
            <a:ext uri="{FF2B5EF4-FFF2-40B4-BE49-F238E27FC236}">
              <a16:creationId xmlns:a16="http://schemas.microsoft.com/office/drawing/2014/main" id="{88FBAC35-50F1-4D16-BADA-D48AC3E5394E}"/>
            </a:ext>
          </a:extLst>
        </cdr:cNvPr>
        <cdr:cNvSpPr txBox="1"/>
      </cdr:nvSpPr>
      <cdr:spPr>
        <a:xfrm xmlns:a="http://schemas.openxmlformats.org/drawingml/2006/main">
          <a:off x="204840" y="1652129"/>
          <a:ext cx="2598983" cy="140825"/>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fld id="{21828F7F-A2C7-4051-8055-18567D4B3150}" type="TxLink">
            <a:rPr lang="en-US" sz="800" b="0" i="0" u="none" strike="noStrike">
              <a:solidFill>
                <a:srgbClr val="000000"/>
              </a:solidFill>
              <a:latin typeface="Times New Roman" panose="02020603050405020304" pitchFamily="18" charset="0"/>
              <a:ea typeface="Segoe UI"/>
              <a:cs typeface="Times New Roman" panose="02020603050405020304" pitchFamily="18" charset="0"/>
            </a:rPr>
            <a:pPr/>
            <a:t>4 e максималния позитивен шок върху растежа (%)</a:t>
          </a:fld>
          <a:endParaRPr lang="en-US" sz="800">
            <a:latin typeface="Times New Roman" panose="02020603050405020304" pitchFamily="18" charset="0"/>
            <a:ea typeface="Segoe UI" pitchFamily="34" charset="0"/>
            <a:cs typeface="Times New Roman" panose="02020603050405020304" pitchFamily="18" charset="0"/>
          </a:endParaRPr>
        </a:p>
      </cdr:txBody>
    </cdr:sp>
  </cdr:relSizeAnchor>
  <cdr:relSizeAnchor xmlns:cdr="http://schemas.openxmlformats.org/drawingml/2006/chartDrawing">
    <cdr:from>
      <cdr:x>0.07402</cdr:x>
      <cdr:y>0.69466</cdr:y>
    </cdr:from>
    <cdr:to>
      <cdr:x>0.85613</cdr:x>
      <cdr:y>0.77285</cdr:y>
    </cdr:to>
    <cdr:sp macro="" textlink="">
      <cdr:nvSpPr>
        <cdr:cNvPr id="5" name="TextBox 23">
          <a:extLst xmlns:a="http://schemas.openxmlformats.org/drawingml/2006/main">
            <a:ext uri="{FF2B5EF4-FFF2-40B4-BE49-F238E27FC236}">
              <a16:creationId xmlns:a16="http://schemas.microsoft.com/office/drawing/2014/main" id="{02A1A8B1-D336-44DB-AF9E-955073B259C0}"/>
            </a:ext>
          </a:extLst>
        </cdr:cNvPr>
        <cdr:cNvSpPr txBox="1"/>
      </cdr:nvSpPr>
      <cdr:spPr>
        <a:xfrm xmlns:a="http://schemas.openxmlformats.org/drawingml/2006/main">
          <a:off x="215036" y="1750321"/>
          <a:ext cx="2272131" cy="197014"/>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fld id="{A56E0B44-CF31-4BF0-8B01-4C5013C7F344}" type="TxLink">
            <a:rPr lang="bg-BG" sz="800" b="0" i="0" u="none" strike="noStrike">
              <a:solidFill>
                <a:srgbClr val="000000"/>
              </a:solidFill>
              <a:latin typeface="Times New Roman" panose="02020603050405020304" pitchFamily="18" charset="0"/>
              <a:ea typeface="Segoe UI"/>
              <a:cs typeface="Times New Roman" panose="02020603050405020304" pitchFamily="18" charset="0"/>
            </a:rPr>
            <a:pPr/>
            <a:t>без рестрикции върху лихвения %</a:t>
          </a:fld>
          <a:endParaRPr lang="en-US" sz="800">
            <a:latin typeface="Times New Roman" panose="02020603050405020304" pitchFamily="18" charset="0"/>
            <a:ea typeface="Segoe UI" pitchFamily="34" charset="0"/>
            <a:cs typeface="Times New Roman" panose="02020603050405020304" pitchFamily="18" charset="0"/>
          </a:endParaRPr>
        </a:p>
      </cdr:txBody>
    </cdr:sp>
  </cdr:relSizeAnchor>
  <cdr:relSizeAnchor xmlns:cdr="http://schemas.openxmlformats.org/drawingml/2006/chartDrawing">
    <cdr:from>
      <cdr:x>0.07949</cdr:x>
      <cdr:y>0.77903</cdr:y>
    </cdr:from>
    <cdr:to>
      <cdr:x>0.85284</cdr:x>
      <cdr:y>0.85788</cdr:y>
    </cdr:to>
    <cdr:sp macro="" textlink="">
      <cdr:nvSpPr>
        <cdr:cNvPr id="6" name="TextBox 23">
          <a:extLst xmlns:a="http://schemas.openxmlformats.org/drawingml/2006/main">
            <a:ext uri="{FF2B5EF4-FFF2-40B4-BE49-F238E27FC236}">
              <a16:creationId xmlns:a16="http://schemas.microsoft.com/office/drawing/2014/main" id="{10254086-127F-4173-9563-58F68B84743E}"/>
            </a:ext>
          </a:extLst>
        </cdr:cNvPr>
        <cdr:cNvSpPr txBox="1"/>
      </cdr:nvSpPr>
      <cdr:spPr>
        <a:xfrm xmlns:a="http://schemas.openxmlformats.org/drawingml/2006/main">
          <a:off x="230928" y="1981199"/>
          <a:ext cx="2246679" cy="200539"/>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fld id="{9FB9DBA3-C634-4DF5-9614-DF779D96353F}" type="TxLink">
            <a:rPr lang="en-US" sz="800" b="0" i="0" u="none" strike="noStrike">
              <a:solidFill>
                <a:srgbClr val="000000"/>
              </a:solidFill>
              <a:latin typeface="Times New Roman" panose="02020603050405020304" pitchFamily="18" charset="0"/>
              <a:ea typeface="Segoe UI" pitchFamily="34" charset="0"/>
              <a:cs typeface="Times New Roman" panose="02020603050405020304" pitchFamily="18" charset="0"/>
            </a:rPr>
            <a:pPr/>
            <a:t>0.2 е максималния позитивен шок върху първичния баланс (% от БВП)</a:t>
          </a:fld>
          <a:endParaRPr lang="en-US" sz="800">
            <a:latin typeface="Times New Roman" panose="02020603050405020304" pitchFamily="18" charset="0"/>
            <a:ea typeface="Segoe UI" pitchFamily="34" charset="0"/>
            <a:cs typeface="Times New Roman" panose="02020603050405020304" pitchFamily="18" charset="0"/>
          </a:endParaRPr>
        </a:p>
      </cdr:txBody>
    </cdr:sp>
  </cdr:relSizeAnchor>
  <cdr:relSizeAnchor xmlns:cdr="http://schemas.openxmlformats.org/drawingml/2006/chartDrawing">
    <cdr:from>
      <cdr:x>0.32378</cdr:x>
      <cdr:y>0.5988</cdr:y>
    </cdr:from>
    <cdr:to>
      <cdr:x>1</cdr:x>
      <cdr:y>0.65525</cdr:y>
    </cdr:to>
    <cdr:sp macro="" textlink="">
      <cdr:nvSpPr>
        <cdr:cNvPr id="8" name="TextBox 23">
          <a:extLst xmlns:a="http://schemas.openxmlformats.org/drawingml/2006/main">
            <a:ext uri="{FF2B5EF4-FFF2-40B4-BE49-F238E27FC236}">
              <a16:creationId xmlns:a16="http://schemas.microsoft.com/office/drawing/2014/main" id="{A9F35A33-B56F-4948-85F3-70649A993669}"/>
            </a:ext>
          </a:extLst>
        </cdr:cNvPr>
        <cdr:cNvSpPr txBox="1"/>
      </cdr:nvSpPr>
      <cdr:spPr>
        <a:xfrm xmlns:a="http://schemas.openxmlformats.org/drawingml/2006/main">
          <a:off x="941326" y="1523999"/>
          <a:ext cx="1965977" cy="143670"/>
        </a:xfrm>
        <a:prstGeom xmlns:a="http://schemas.openxmlformats.org/drawingml/2006/main" prst="rect">
          <a:avLst/>
        </a:prstGeom>
        <a:noFill xmlns:a="http://schemas.openxmlformats.org/drawingml/2006/main"/>
        <a:ln xmlns:a="http://schemas.openxmlformats.org/drawingml/2006/main" w="9525" cmpd="sng">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ct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fld id="{F8F71D92-B621-40E8-B69F-563CE3FA591F}" type="TxLink">
            <a:rPr lang="bg-BG" sz="700" b="1" i="0" u="none" strike="noStrike">
              <a:solidFill>
                <a:srgbClr val="000000"/>
              </a:solidFill>
              <a:latin typeface="Times New Roman" panose="02020603050405020304" pitchFamily="18" charset="0"/>
              <a:ea typeface="Segoe UI"/>
              <a:cs typeface="Times New Roman" panose="02020603050405020304" pitchFamily="18" charset="0"/>
            </a:rPr>
            <a:pPr/>
            <a:t>Рестрикции върху позитивните шокове:</a:t>
          </a:fld>
          <a:endParaRPr lang="en-US" sz="700">
            <a:latin typeface="Times New Roman" panose="02020603050405020304" pitchFamily="18" charset="0"/>
            <a:ea typeface="Segoe UI" pitchFamily="34" charset="0"/>
            <a:cs typeface="Times New Roman" panose="02020603050405020304" pitchFamily="18" charset="0"/>
          </a:endParaRPr>
        </a:p>
      </cdr:txBody>
    </cdr:sp>
  </cdr:relSizeAnchor>
</c:userShapes>
</file>

<file path=word/theme/_rels/theme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Waveform">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Custom 6">
      <a:majorFont>
        <a:latin typeface="Times New Roman"/>
        <a:ea typeface=""/>
        <a:cs typeface=""/>
      </a:majorFont>
      <a:minorFont>
        <a:latin typeface="Times New Roman"/>
        <a:ea typeface=""/>
        <a:cs typeface=""/>
      </a:minorFont>
    </a:fontScheme>
    <a:fmtScheme name="Waveform">
      <a:fillStyleLst>
        <a:solidFill>
          <a:schemeClr val="phClr"/>
        </a:solidFill>
        <a:gradFill rotWithShape="1">
          <a:gsLst>
            <a:gs pos="0">
              <a:schemeClr val="phClr">
                <a:tint val="0"/>
              </a:schemeClr>
            </a:gs>
            <a:gs pos="44000">
              <a:schemeClr val="phClr">
                <a:tint val="60000"/>
                <a:satMod val="120000"/>
              </a:schemeClr>
            </a:gs>
            <a:gs pos="100000">
              <a:schemeClr val="phClr">
                <a:tint val="90000"/>
                <a:alpha val="100000"/>
                <a:lumMod val="90000"/>
              </a:schemeClr>
            </a:gs>
          </a:gsLst>
          <a:lin ang="5400000" scaled="0"/>
        </a:gradFill>
        <a:gradFill rotWithShape="1">
          <a:gsLst>
            <a:gs pos="0">
              <a:schemeClr val="phClr">
                <a:tint val="96000"/>
                <a:satMod val="120000"/>
                <a:lumMod val="120000"/>
              </a:schemeClr>
            </a:gs>
            <a:gs pos="100000">
              <a:schemeClr val="phClr">
                <a:shade val="89000"/>
                <a:lumMod val="90000"/>
              </a:schemeClr>
            </a:gs>
          </a:gsLst>
          <a:lin ang="5400000" scaled="0"/>
        </a:gradFill>
      </a:fillStyleLst>
      <a:lnStyleLst>
        <a:ln w="9525" cap="flat" cmpd="sng" algn="ctr">
          <a:solidFill>
            <a:schemeClr val="phClr"/>
          </a:solidFill>
          <a:prstDash val="solid"/>
        </a:ln>
        <a:ln w="15875" cap="flat" cmpd="sng" algn="ctr">
          <a:solidFill>
            <a:schemeClr val="phClr">
              <a:shade val="75000"/>
              <a:lumMod val="80000"/>
            </a:schemeClr>
          </a:solidFill>
          <a:prstDash val="solid"/>
        </a:ln>
        <a:ln w="25400" cap="flat" cmpd="sng" algn="ctr">
          <a:solidFill>
            <a:schemeClr val="phClr"/>
          </a:solidFill>
          <a:prstDash val="solid"/>
        </a:ln>
      </a:lnStyleLst>
      <a:effectStyleLst>
        <a:effectStyle>
          <a:effectLst/>
        </a:effectStyle>
        <a:effectStyle>
          <a:effectLst>
            <a:outerShdw blurRad="50800" dist="25400" dir="5400000" rotWithShape="0">
              <a:srgbClr val="000000">
                <a:alpha val="38000"/>
              </a:srgbClr>
            </a:outerShdw>
          </a:effectLst>
          <a:scene3d>
            <a:camera prst="orthographicFront">
              <a:rot lat="0" lon="0" rev="0"/>
            </a:camera>
            <a:lightRig rig="flat" dir="tl">
              <a:rot lat="0" lon="0" rev="6360000"/>
            </a:lightRig>
          </a:scene3d>
          <a:sp3d prstMaterial="flat">
            <a:bevelT w="12700" h="12700"/>
          </a:sp3d>
        </a:effectStyle>
        <a:effectStyle>
          <a:effectLst>
            <a:outerShdw blurRad="50800" dist="25400" dir="5400000" rotWithShape="0">
              <a:srgbClr val="000000">
                <a:alpha val="38000"/>
              </a:srgbClr>
            </a:outerShdw>
          </a:effectLst>
          <a:scene3d>
            <a:camera prst="orthographicFront">
              <a:rot lat="0" lon="0" rev="0"/>
            </a:camera>
            <a:lightRig rig="flat" dir="tl">
              <a:rot lat="0" lon="0" rev="6360000"/>
            </a:lightRig>
          </a:scene3d>
          <a:sp3d contourW="19050" prstMaterial="flat">
            <a:bevelT w="63500" h="63500"/>
            <a:contourClr>
              <a:schemeClr val="phClr">
                <a:shade val="25000"/>
                <a:satMod val="180000"/>
              </a:schemeClr>
            </a:contourClr>
          </a:sp3d>
        </a:effectStyle>
      </a:effectStyleLst>
      <a:bgFillStyleLst>
        <a:solidFill>
          <a:schemeClr val="phClr"/>
        </a:solidFill>
        <a:gradFill rotWithShape="1">
          <a:gsLst>
            <a:gs pos="40000">
              <a:schemeClr val="phClr">
                <a:tint val="94000"/>
                <a:shade val="94000"/>
                <a:alpha val="100000"/>
                <a:satMod val="114000"/>
                <a:lumMod val="114000"/>
              </a:schemeClr>
            </a:gs>
            <a:gs pos="74000">
              <a:schemeClr val="phClr">
                <a:tint val="94000"/>
                <a:shade val="94000"/>
                <a:satMod val="128000"/>
                <a:lumMod val="100000"/>
              </a:schemeClr>
            </a:gs>
            <a:gs pos="100000">
              <a:schemeClr val="phClr">
                <a:tint val="98000"/>
                <a:shade val="100000"/>
                <a:hueMod val="98000"/>
                <a:satMod val="100000"/>
                <a:lumMod val="74000"/>
              </a:schemeClr>
            </a:gs>
          </a:gsLst>
          <a:path path="circle">
            <a:fillToRect l="20000" t="-40000" r="20000" b="140000"/>
          </a:path>
        </a:gradFill>
        <a:blipFill rotWithShape="1">
          <a:blip xmlns:r="http://schemas.openxmlformats.org/officeDocument/2006/relationships" r:embed="rId1">
            <a:duotone>
              <a:schemeClr val="phClr">
                <a:tint val="96000"/>
                <a:satMod val="130000"/>
                <a:lumMod val="50000"/>
              </a:schemeClr>
              <a:schemeClr val="phClr">
                <a:tint val="96000"/>
                <a:satMod val="114000"/>
                <a:lumMod val="114000"/>
              </a:schemeClr>
            </a:duotone>
          </a:blip>
          <a:stretch/>
        </a:blipFill>
      </a:bgFillStyleLst>
    </a:fmtScheme>
  </a:themeElements>
  <a:objectDefaults/>
  <a:extraClrSchemeLst/>
</a:theme>
</file>

<file path=word/theme/themeOverride1.xml><?xml version="1.0" encoding="utf-8"?>
<a:themeOverride xmlns:a="http://schemas.openxmlformats.org/drawingml/2006/main">
  <a:clrScheme name="Custom 6">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212745"/>
    </a:hlink>
    <a:folHlink>
      <a:srgbClr val="212745"/>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aveform">
    <a:fillStyleLst>
      <a:solidFill>
        <a:schemeClr val="phClr"/>
      </a:solidFill>
      <a:gradFill rotWithShape="1">
        <a:gsLst>
          <a:gs pos="0">
            <a:schemeClr val="phClr">
              <a:tint val="0"/>
            </a:schemeClr>
          </a:gs>
          <a:gs pos="44000">
            <a:schemeClr val="phClr">
              <a:tint val="60000"/>
              <a:satMod val="120000"/>
            </a:schemeClr>
          </a:gs>
          <a:gs pos="100000">
            <a:schemeClr val="phClr">
              <a:tint val="90000"/>
              <a:alpha val="100000"/>
              <a:lumMod val="90000"/>
            </a:schemeClr>
          </a:gs>
        </a:gsLst>
        <a:lin ang="5400000" scaled="0"/>
      </a:gradFill>
      <a:gradFill rotWithShape="1">
        <a:gsLst>
          <a:gs pos="0">
            <a:schemeClr val="phClr">
              <a:tint val="96000"/>
              <a:satMod val="120000"/>
              <a:lumMod val="120000"/>
            </a:schemeClr>
          </a:gs>
          <a:gs pos="100000">
            <a:schemeClr val="phClr">
              <a:shade val="89000"/>
              <a:lumMod val="90000"/>
            </a:schemeClr>
          </a:gs>
        </a:gsLst>
        <a:lin ang="5400000" scaled="0"/>
      </a:gradFill>
    </a:fillStyleLst>
    <a:lnStyleLst>
      <a:ln w="9525" cap="flat" cmpd="sng" algn="ctr">
        <a:solidFill>
          <a:schemeClr val="phClr"/>
        </a:solidFill>
        <a:prstDash val="solid"/>
      </a:ln>
      <a:ln w="15875" cap="flat" cmpd="sng" algn="ctr">
        <a:solidFill>
          <a:schemeClr val="phClr">
            <a:shade val="75000"/>
            <a:lumMod val="80000"/>
          </a:schemeClr>
        </a:solidFill>
        <a:prstDash val="solid"/>
      </a:ln>
      <a:ln w="25400" cap="flat" cmpd="sng" algn="ctr">
        <a:solidFill>
          <a:schemeClr val="phClr"/>
        </a:solidFill>
        <a:prstDash val="solid"/>
      </a:ln>
    </a:lnStyleLst>
    <a:effectStyleLst>
      <a:effectStyle>
        <a:effectLst/>
      </a:effectStyle>
      <a:effectStyle>
        <a:effectLst>
          <a:outerShdw blurRad="50800" dist="25400" dir="5400000" rotWithShape="0">
            <a:srgbClr val="000000">
              <a:alpha val="38000"/>
            </a:srgbClr>
          </a:outerShdw>
        </a:effectLst>
        <a:scene3d>
          <a:camera prst="orthographicFront">
            <a:rot lat="0" lon="0" rev="0"/>
          </a:camera>
          <a:lightRig rig="flat" dir="tl">
            <a:rot lat="0" lon="0" rev="6360000"/>
          </a:lightRig>
        </a:scene3d>
        <a:sp3d prstMaterial="flat">
          <a:bevelT w="12700" h="12700"/>
        </a:sp3d>
      </a:effectStyle>
      <a:effectStyle>
        <a:effectLst>
          <a:outerShdw blurRad="50800" dist="25400" dir="5400000" rotWithShape="0">
            <a:srgbClr val="000000">
              <a:alpha val="38000"/>
            </a:srgbClr>
          </a:outerShdw>
        </a:effectLst>
        <a:scene3d>
          <a:camera prst="orthographicFront">
            <a:rot lat="0" lon="0" rev="0"/>
          </a:camera>
          <a:lightRig rig="flat" dir="tl">
            <a:rot lat="0" lon="0" rev="6360000"/>
          </a:lightRig>
        </a:scene3d>
        <a:sp3d contourW="19050" prstMaterial="flat">
          <a:bevelT w="63500" h="63500"/>
          <a:contourClr>
            <a:schemeClr val="phClr">
              <a:shade val="25000"/>
              <a:satMod val="180000"/>
            </a:schemeClr>
          </a:contourClr>
        </a:sp3d>
      </a:effectStyle>
    </a:effectStyleLst>
    <a:bgFillStyleLst>
      <a:solidFill>
        <a:schemeClr val="phClr"/>
      </a:solidFill>
      <a:gradFill rotWithShape="1">
        <a:gsLst>
          <a:gs pos="40000">
            <a:schemeClr val="phClr">
              <a:tint val="94000"/>
              <a:shade val="94000"/>
              <a:alpha val="100000"/>
              <a:satMod val="114000"/>
              <a:lumMod val="114000"/>
            </a:schemeClr>
          </a:gs>
          <a:gs pos="74000">
            <a:schemeClr val="phClr">
              <a:tint val="94000"/>
              <a:shade val="94000"/>
              <a:satMod val="128000"/>
              <a:lumMod val="100000"/>
            </a:schemeClr>
          </a:gs>
          <a:gs pos="100000">
            <a:schemeClr val="phClr">
              <a:tint val="98000"/>
              <a:shade val="100000"/>
              <a:hueMod val="98000"/>
              <a:satMod val="100000"/>
              <a:lumMod val="74000"/>
            </a:schemeClr>
          </a:gs>
        </a:gsLst>
        <a:path path="circle">
          <a:fillToRect l="20000" t="-40000" r="20000" b="140000"/>
        </a:path>
      </a:gradFill>
      <a:blipFill rotWithShape="1">
        <a:blip xmlns:r="http://schemas.openxmlformats.org/officeDocument/2006/relationships" r:embed="rId1">
          <a:duotone>
            <a:schemeClr val="phClr">
              <a:tint val="96000"/>
              <a:satMod val="130000"/>
              <a:lumMod val="50000"/>
            </a:schemeClr>
            <a:schemeClr val="phClr">
              <a:tint val="96000"/>
              <a:satMod val="114000"/>
              <a:lumMod val="114000"/>
            </a:schemeClr>
          </a:duotone>
        </a:blip>
        <a:stretch/>
      </a:blip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10.xml><?xml version="1.0" encoding="utf-8"?>
<b:Sources xmlns:b="http://schemas.openxmlformats.org/officeDocument/2006/bibliography" xmlns="http://schemas.openxmlformats.org/officeDocument/2006/bibliography" SelectedStyle="\HarvardAnglia2008OfficeOnline.xsl" StyleName="Harvard – Anglia 2008"/>
</file>

<file path=customXml/item11.xml><?xml version="1.0" encoding="utf-8"?>
<b:Sources xmlns:b="http://schemas.openxmlformats.org/officeDocument/2006/bibliography" xmlns="http://schemas.openxmlformats.org/officeDocument/2006/bibliography" SelectedStyle="\HarvardAnglia2008OfficeOnline.xsl" StyleName="Harvard – Anglia 2008"/>
</file>

<file path=customXml/item12.xml><?xml version="1.0" encoding="utf-8"?>
<b:Sources xmlns:b="http://schemas.openxmlformats.org/officeDocument/2006/bibliography" xmlns="http://schemas.openxmlformats.org/officeDocument/2006/bibliography" SelectedStyle="\HarvardAnglia2008OfficeOnline.xsl" StyleName="Harvard – Anglia 2008"/>
</file>

<file path=customXml/item13.xml><?xml version="1.0" encoding="utf-8"?>
<b:Sources xmlns:b="http://schemas.openxmlformats.org/officeDocument/2006/bibliography" xmlns="http://schemas.openxmlformats.org/officeDocument/2006/bibliography" SelectedStyle="\HarvardAnglia2008OfficeOnline.xsl" StyleName="Harvard – Anglia 2008"/>
</file>

<file path=customXml/item14.xml><?xml version="1.0" encoding="utf-8"?>
<b:Sources xmlns:b="http://schemas.openxmlformats.org/officeDocument/2006/bibliography" xmlns="http://schemas.openxmlformats.org/officeDocument/2006/bibliography" SelectedStyle="\HarvardAnglia2008OfficeOnline.xsl" StyleName="Harvard – Anglia 2008"/>
</file>

<file path=customXml/item15.xml><?xml version="1.0" encoding="utf-8"?>
<b:Sources xmlns:b="http://schemas.openxmlformats.org/officeDocument/2006/bibliography" xmlns="http://schemas.openxmlformats.org/officeDocument/2006/bibliography" SelectedStyle="\HarvardAnglia2008OfficeOnline.xsl" StyleName="Harvard – Anglia 2008"/>
</file>

<file path=customXml/item16.xml><?xml version="1.0" encoding="utf-8"?>
<b:Sources xmlns:b="http://schemas.openxmlformats.org/officeDocument/2006/bibliography" xmlns="http://schemas.openxmlformats.org/officeDocument/2006/bibliography" SelectedStyle="\HarvardAnglia2008OfficeOnline.xsl" StyleName="Harvard – Anglia 2008"/>
</file>

<file path=customXml/item17.xml><?xml version="1.0" encoding="utf-8"?>
<b:Sources xmlns:b="http://schemas.openxmlformats.org/officeDocument/2006/bibliography" xmlns="http://schemas.openxmlformats.org/officeDocument/2006/bibliography" SelectedStyle="\HarvardAnglia2008OfficeOnline.xsl" StyleName="Harvard – Anglia 2008"/>
</file>

<file path=customXml/item18.xml><?xml version="1.0" encoding="utf-8"?>
<b:Sources xmlns:b="http://schemas.openxmlformats.org/officeDocument/2006/bibliography" xmlns="http://schemas.openxmlformats.org/officeDocument/2006/bibliography" SelectedStyle="\HarvardAnglia2008OfficeOnline.xsl" StyleName="Harvard – Anglia 2008"/>
</file>

<file path=customXml/item19.xml><?xml version="1.0" encoding="utf-8"?>
<b:Sources xmlns:b="http://schemas.openxmlformats.org/officeDocument/2006/bibliography" xmlns="http://schemas.openxmlformats.org/officeDocument/2006/bibliography" SelectedStyle="\HarvardAnglia2008OfficeOnline.xsl" StyleName="Harvard – Anglia 2008"/>
</file>

<file path=customXml/item2.xml><?xml version="1.0" encoding="utf-8"?>
<b:Sources xmlns:b="http://schemas.openxmlformats.org/officeDocument/2006/bibliography" xmlns="http://schemas.openxmlformats.org/officeDocument/2006/bibliography" SelectedStyle="\HarvardAnglia2008OfficeOnline.xsl" StyleName="Harvard – Anglia 2008"/>
</file>

<file path=customXml/item20.xml><?xml version="1.0" encoding="utf-8"?>
<b:Sources xmlns:b="http://schemas.openxmlformats.org/officeDocument/2006/bibliography" xmlns="http://schemas.openxmlformats.org/officeDocument/2006/bibliography" SelectedStyle="\HarvardAnglia2008OfficeOnline.xsl" StyleName="Harvard – Anglia 2008"/>
</file>

<file path=customXml/item21.xml><?xml version="1.0" encoding="utf-8"?>
<b:Sources xmlns:b="http://schemas.openxmlformats.org/officeDocument/2006/bibliography" xmlns="http://schemas.openxmlformats.org/officeDocument/2006/bibliography" SelectedStyle="\HarvardAnglia2008OfficeOnline.xsl" StyleName="Harvard – Anglia 2008"/>
</file>

<file path=customXml/item22.xml><?xml version="1.0" encoding="utf-8"?>
<b:Sources xmlns:b="http://schemas.openxmlformats.org/officeDocument/2006/bibliography" xmlns="http://schemas.openxmlformats.org/officeDocument/2006/bibliography" SelectedStyle="\HarvardAnglia2008OfficeOnline.xsl" StyleName="Harvard – Anglia 2008"/>
</file>

<file path=customXml/item23.xml><?xml version="1.0" encoding="utf-8"?>
<b:Sources xmlns:b="http://schemas.openxmlformats.org/officeDocument/2006/bibliography" xmlns="http://schemas.openxmlformats.org/officeDocument/2006/bibliography" SelectedStyle="\HarvardAnglia2008OfficeOnline.xsl" StyleName="Harvard – Anglia 2008"/>
</file>

<file path=customXml/item24.xml><?xml version="1.0" encoding="utf-8"?>
<b:Sources xmlns:b="http://schemas.openxmlformats.org/officeDocument/2006/bibliography" xmlns="http://schemas.openxmlformats.org/officeDocument/2006/bibliography" SelectedStyle="\HarvardAnglia2008OfficeOnline.xsl" StyleName="Harvard – Anglia 2008"/>
</file>

<file path=customXml/item25.xml><?xml version="1.0" encoding="utf-8"?>
<b:Sources xmlns:b="http://schemas.openxmlformats.org/officeDocument/2006/bibliography" xmlns="http://schemas.openxmlformats.org/officeDocument/2006/bibliography" SelectedStyle="\HarvardAnglia2008OfficeOnline.xsl" StyleName="Harvard – Anglia 2008"/>
</file>

<file path=customXml/item26.xml><?xml version="1.0" encoding="utf-8"?>
<b:Sources xmlns:b="http://schemas.openxmlformats.org/officeDocument/2006/bibliography" xmlns="http://schemas.openxmlformats.org/officeDocument/2006/bibliography" SelectedStyle="\HarvardAnglia2008OfficeOnline.xsl" StyleName="Harvard – Anglia 2008"/>
</file>

<file path=customXml/item27.xml><?xml version="1.0" encoding="utf-8"?>
<b:Sources xmlns:b="http://schemas.openxmlformats.org/officeDocument/2006/bibliography" xmlns="http://schemas.openxmlformats.org/officeDocument/2006/bibliography" SelectedStyle="\HarvardAnglia2008OfficeOnline.xsl" StyleName="Harvard – Anglia 2008"/>
</file>

<file path=customXml/item3.xml><?xml version="1.0" encoding="utf-8"?>
<b:Sources xmlns:b="http://schemas.openxmlformats.org/officeDocument/2006/bibliography" xmlns="http://schemas.openxmlformats.org/officeDocument/2006/bibliography" SelectedStyle="\HarvardAnglia2008OfficeOnline.xsl" StyleName="Harvard – Anglia 2008"/>
</file>

<file path=customXml/item4.xml><?xml version="1.0" encoding="utf-8"?>
<b:Sources xmlns:b="http://schemas.openxmlformats.org/officeDocument/2006/bibliography" xmlns="http://schemas.openxmlformats.org/officeDocument/2006/bibliography" SelectedStyle="\HarvardAnglia2008OfficeOnline.xsl" StyleName="Harvard – Anglia 2008"/>
</file>

<file path=customXml/item5.xml><?xml version="1.0" encoding="utf-8"?>
<b:Sources xmlns:b="http://schemas.openxmlformats.org/officeDocument/2006/bibliography" xmlns="http://schemas.openxmlformats.org/officeDocument/2006/bibliography" SelectedStyle="\HarvardAnglia2008OfficeOnline.xsl" StyleName="Harvard – Anglia 2008"/>
</file>

<file path=customXml/item6.xml><?xml version="1.0" encoding="utf-8"?>
<b:Sources xmlns:b="http://schemas.openxmlformats.org/officeDocument/2006/bibliography" xmlns="http://schemas.openxmlformats.org/officeDocument/2006/bibliography" SelectedStyle="\HarvardAnglia2008OfficeOnline.xsl" StyleName="Harvard – Anglia 2008"/>
</file>

<file path=customXml/item7.xml><?xml version="1.0" encoding="utf-8"?>
<b:Sources xmlns:b="http://schemas.openxmlformats.org/officeDocument/2006/bibliography" xmlns="http://schemas.openxmlformats.org/officeDocument/2006/bibliography" SelectedStyle="\HarvardAnglia2008OfficeOnline.xsl" StyleName="Harvard – Anglia 2008"/>
</file>

<file path=customXml/item8.xml><?xml version="1.0" encoding="utf-8"?>
<b:Sources xmlns:b="http://schemas.openxmlformats.org/officeDocument/2006/bibliography" xmlns="http://schemas.openxmlformats.org/officeDocument/2006/bibliography" SelectedStyle="\HarvardAnglia2008OfficeOnline.xsl" StyleName="Harvard – Anglia 2008"/>
</file>

<file path=customXml/item9.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7FDEC550-814F-4B65-BB30-C8CB94124FAC}">
  <ds:schemaRefs>
    <ds:schemaRef ds:uri="http://schemas.openxmlformats.org/officeDocument/2006/bibliography"/>
  </ds:schemaRefs>
</ds:datastoreItem>
</file>

<file path=customXml/itemProps10.xml><?xml version="1.0" encoding="utf-8"?>
<ds:datastoreItem xmlns:ds="http://schemas.openxmlformats.org/officeDocument/2006/customXml" ds:itemID="{EC80AFEA-EC72-45A2-9466-B72BF6A2396D}">
  <ds:schemaRefs>
    <ds:schemaRef ds:uri="http://schemas.openxmlformats.org/officeDocument/2006/bibliography"/>
  </ds:schemaRefs>
</ds:datastoreItem>
</file>

<file path=customXml/itemProps11.xml><?xml version="1.0" encoding="utf-8"?>
<ds:datastoreItem xmlns:ds="http://schemas.openxmlformats.org/officeDocument/2006/customXml" ds:itemID="{AAEDADEC-5F21-4932-8453-049AC35F3941}">
  <ds:schemaRefs>
    <ds:schemaRef ds:uri="http://schemas.openxmlformats.org/officeDocument/2006/bibliography"/>
  </ds:schemaRefs>
</ds:datastoreItem>
</file>

<file path=customXml/itemProps12.xml><?xml version="1.0" encoding="utf-8"?>
<ds:datastoreItem xmlns:ds="http://schemas.openxmlformats.org/officeDocument/2006/customXml" ds:itemID="{B4C3329F-F877-4D9F-AA7D-12E369576FB0}">
  <ds:schemaRefs>
    <ds:schemaRef ds:uri="http://schemas.openxmlformats.org/officeDocument/2006/bibliography"/>
  </ds:schemaRefs>
</ds:datastoreItem>
</file>

<file path=customXml/itemProps13.xml><?xml version="1.0" encoding="utf-8"?>
<ds:datastoreItem xmlns:ds="http://schemas.openxmlformats.org/officeDocument/2006/customXml" ds:itemID="{E04F7E29-D85E-45AA-B200-6D8B122708C3}">
  <ds:schemaRefs>
    <ds:schemaRef ds:uri="http://schemas.openxmlformats.org/officeDocument/2006/bibliography"/>
  </ds:schemaRefs>
</ds:datastoreItem>
</file>

<file path=customXml/itemProps14.xml><?xml version="1.0" encoding="utf-8"?>
<ds:datastoreItem xmlns:ds="http://schemas.openxmlformats.org/officeDocument/2006/customXml" ds:itemID="{DE16FF92-C6CF-42FF-BCCB-31DC6EE85891}">
  <ds:schemaRefs>
    <ds:schemaRef ds:uri="http://schemas.openxmlformats.org/officeDocument/2006/bibliography"/>
  </ds:schemaRefs>
</ds:datastoreItem>
</file>

<file path=customXml/itemProps15.xml><?xml version="1.0" encoding="utf-8"?>
<ds:datastoreItem xmlns:ds="http://schemas.openxmlformats.org/officeDocument/2006/customXml" ds:itemID="{D59DAFB7-A12F-4C29-8BB7-E80E56C024B1}">
  <ds:schemaRefs>
    <ds:schemaRef ds:uri="http://schemas.openxmlformats.org/officeDocument/2006/bibliography"/>
  </ds:schemaRefs>
</ds:datastoreItem>
</file>

<file path=customXml/itemProps16.xml><?xml version="1.0" encoding="utf-8"?>
<ds:datastoreItem xmlns:ds="http://schemas.openxmlformats.org/officeDocument/2006/customXml" ds:itemID="{554451E2-AF59-42D6-B76D-2B47DA94778D}">
  <ds:schemaRefs>
    <ds:schemaRef ds:uri="http://schemas.openxmlformats.org/officeDocument/2006/bibliography"/>
  </ds:schemaRefs>
</ds:datastoreItem>
</file>

<file path=customXml/itemProps17.xml><?xml version="1.0" encoding="utf-8"?>
<ds:datastoreItem xmlns:ds="http://schemas.openxmlformats.org/officeDocument/2006/customXml" ds:itemID="{54B37120-D7FC-47EC-903F-99B4D2D19645}">
  <ds:schemaRefs>
    <ds:schemaRef ds:uri="http://schemas.openxmlformats.org/officeDocument/2006/bibliography"/>
  </ds:schemaRefs>
</ds:datastoreItem>
</file>

<file path=customXml/itemProps18.xml><?xml version="1.0" encoding="utf-8"?>
<ds:datastoreItem xmlns:ds="http://schemas.openxmlformats.org/officeDocument/2006/customXml" ds:itemID="{1B9DE80A-0F65-4D88-8028-8323296827CE}">
  <ds:schemaRefs>
    <ds:schemaRef ds:uri="http://schemas.openxmlformats.org/officeDocument/2006/bibliography"/>
  </ds:schemaRefs>
</ds:datastoreItem>
</file>

<file path=customXml/itemProps19.xml><?xml version="1.0" encoding="utf-8"?>
<ds:datastoreItem xmlns:ds="http://schemas.openxmlformats.org/officeDocument/2006/customXml" ds:itemID="{6C1C9354-A95F-4BC4-9EF7-DD66931AFEE7}">
  <ds:schemaRefs>
    <ds:schemaRef ds:uri="http://schemas.openxmlformats.org/officeDocument/2006/bibliography"/>
  </ds:schemaRefs>
</ds:datastoreItem>
</file>

<file path=customXml/itemProps2.xml><?xml version="1.0" encoding="utf-8"?>
<ds:datastoreItem xmlns:ds="http://schemas.openxmlformats.org/officeDocument/2006/customXml" ds:itemID="{78C55CE3-9FF2-45D2-AAE1-D0A2A6BFB02C}">
  <ds:schemaRefs>
    <ds:schemaRef ds:uri="http://schemas.openxmlformats.org/officeDocument/2006/bibliography"/>
  </ds:schemaRefs>
</ds:datastoreItem>
</file>

<file path=customXml/itemProps20.xml><?xml version="1.0" encoding="utf-8"?>
<ds:datastoreItem xmlns:ds="http://schemas.openxmlformats.org/officeDocument/2006/customXml" ds:itemID="{61743466-BF53-42ED-9EEE-068A4CAFA5AA}">
  <ds:schemaRefs>
    <ds:schemaRef ds:uri="http://schemas.openxmlformats.org/officeDocument/2006/bibliography"/>
  </ds:schemaRefs>
</ds:datastoreItem>
</file>

<file path=customXml/itemProps21.xml><?xml version="1.0" encoding="utf-8"?>
<ds:datastoreItem xmlns:ds="http://schemas.openxmlformats.org/officeDocument/2006/customXml" ds:itemID="{AE053EF7-F50C-4DCF-8AC0-8B879DC1F48A}">
  <ds:schemaRefs>
    <ds:schemaRef ds:uri="http://schemas.openxmlformats.org/officeDocument/2006/bibliography"/>
  </ds:schemaRefs>
</ds:datastoreItem>
</file>

<file path=customXml/itemProps22.xml><?xml version="1.0" encoding="utf-8"?>
<ds:datastoreItem xmlns:ds="http://schemas.openxmlformats.org/officeDocument/2006/customXml" ds:itemID="{7D065633-93CD-43C9-A053-BCCD7ADCE46F}">
  <ds:schemaRefs>
    <ds:schemaRef ds:uri="http://schemas.openxmlformats.org/officeDocument/2006/bibliography"/>
  </ds:schemaRefs>
</ds:datastoreItem>
</file>

<file path=customXml/itemProps23.xml><?xml version="1.0" encoding="utf-8"?>
<ds:datastoreItem xmlns:ds="http://schemas.openxmlformats.org/officeDocument/2006/customXml" ds:itemID="{31EB65AC-B13F-4A1C-9761-2E1F5D4BE5F2}">
  <ds:schemaRefs>
    <ds:schemaRef ds:uri="http://schemas.openxmlformats.org/officeDocument/2006/bibliography"/>
  </ds:schemaRefs>
</ds:datastoreItem>
</file>

<file path=customXml/itemProps24.xml><?xml version="1.0" encoding="utf-8"?>
<ds:datastoreItem xmlns:ds="http://schemas.openxmlformats.org/officeDocument/2006/customXml" ds:itemID="{D3E8071B-0A6C-4384-9329-6B90B96B3C61}">
  <ds:schemaRefs>
    <ds:schemaRef ds:uri="http://schemas.openxmlformats.org/officeDocument/2006/bibliography"/>
  </ds:schemaRefs>
</ds:datastoreItem>
</file>

<file path=customXml/itemProps25.xml><?xml version="1.0" encoding="utf-8"?>
<ds:datastoreItem xmlns:ds="http://schemas.openxmlformats.org/officeDocument/2006/customXml" ds:itemID="{2BA86A56-EB7C-46A5-910B-01C1650D2087}">
  <ds:schemaRefs>
    <ds:schemaRef ds:uri="http://schemas.openxmlformats.org/officeDocument/2006/bibliography"/>
  </ds:schemaRefs>
</ds:datastoreItem>
</file>

<file path=customXml/itemProps26.xml><?xml version="1.0" encoding="utf-8"?>
<ds:datastoreItem xmlns:ds="http://schemas.openxmlformats.org/officeDocument/2006/customXml" ds:itemID="{D3B42F51-1AE2-4223-A226-838199D59C1D}">
  <ds:schemaRefs>
    <ds:schemaRef ds:uri="http://schemas.openxmlformats.org/officeDocument/2006/bibliography"/>
  </ds:schemaRefs>
</ds:datastoreItem>
</file>

<file path=customXml/itemProps27.xml><?xml version="1.0" encoding="utf-8"?>
<ds:datastoreItem xmlns:ds="http://schemas.openxmlformats.org/officeDocument/2006/customXml" ds:itemID="{CDE4C799-B8EE-4081-8745-67678E30EAB1}">
  <ds:schemaRefs>
    <ds:schemaRef ds:uri="http://schemas.openxmlformats.org/officeDocument/2006/bibliography"/>
  </ds:schemaRefs>
</ds:datastoreItem>
</file>

<file path=customXml/itemProps3.xml><?xml version="1.0" encoding="utf-8"?>
<ds:datastoreItem xmlns:ds="http://schemas.openxmlformats.org/officeDocument/2006/customXml" ds:itemID="{D83A4494-23D9-463A-A6F1-9F3DE3D168DC}">
  <ds:schemaRefs>
    <ds:schemaRef ds:uri="http://schemas.openxmlformats.org/officeDocument/2006/bibliography"/>
  </ds:schemaRefs>
</ds:datastoreItem>
</file>

<file path=customXml/itemProps4.xml><?xml version="1.0" encoding="utf-8"?>
<ds:datastoreItem xmlns:ds="http://schemas.openxmlformats.org/officeDocument/2006/customXml" ds:itemID="{33823E11-4733-4A53-B5FF-25D38A481BBA}">
  <ds:schemaRefs>
    <ds:schemaRef ds:uri="http://schemas.openxmlformats.org/officeDocument/2006/bibliography"/>
  </ds:schemaRefs>
</ds:datastoreItem>
</file>

<file path=customXml/itemProps5.xml><?xml version="1.0" encoding="utf-8"?>
<ds:datastoreItem xmlns:ds="http://schemas.openxmlformats.org/officeDocument/2006/customXml" ds:itemID="{FFD51E1F-27F0-42FA-AA99-2834EDAAADEE}">
  <ds:schemaRefs>
    <ds:schemaRef ds:uri="http://schemas.openxmlformats.org/officeDocument/2006/bibliography"/>
  </ds:schemaRefs>
</ds:datastoreItem>
</file>

<file path=customXml/itemProps6.xml><?xml version="1.0" encoding="utf-8"?>
<ds:datastoreItem xmlns:ds="http://schemas.openxmlformats.org/officeDocument/2006/customXml" ds:itemID="{5BC831E4-C223-43C8-A5AD-06839EC67830}">
  <ds:schemaRefs>
    <ds:schemaRef ds:uri="http://schemas.openxmlformats.org/officeDocument/2006/bibliography"/>
  </ds:schemaRefs>
</ds:datastoreItem>
</file>

<file path=customXml/itemProps7.xml><?xml version="1.0" encoding="utf-8"?>
<ds:datastoreItem xmlns:ds="http://schemas.openxmlformats.org/officeDocument/2006/customXml" ds:itemID="{A51601CE-E667-4EBC-8CA3-699C5EA75147}">
  <ds:schemaRefs>
    <ds:schemaRef ds:uri="http://schemas.openxmlformats.org/officeDocument/2006/bibliography"/>
  </ds:schemaRefs>
</ds:datastoreItem>
</file>

<file path=customXml/itemProps8.xml><?xml version="1.0" encoding="utf-8"?>
<ds:datastoreItem xmlns:ds="http://schemas.openxmlformats.org/officeDocument/2006/customXml" ds:itemID="{EE51DAD5-27D2-40E8-9767-533A02A48E43}">
  <ds:schemaRefs>
    <ds:schemaRef ds:uri="http://schemas.openxmlformats.org/officeDocument/2006/bibliography"/>
  </ds:schemaRefs>
</ds:datastoreItem>
</file>

<file path=customXml/itemProps9.xml><?xml version="1.0" encoding="utf-8"?>
<ds:datastoreItem xmlns:ds="http://schemas.openxmlformats.org/officeDocument/2006/customXml" ds:itemID="{8DA1160D-2C3B-4EE5-BE0B-B897C1323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101</Pages>
  <Words>42245</Words>
  <Characters>240802</Characters>
  <Application>Microsoft Office Word</Application>
  <DocSecurity>0</DocSecurity>
  <Lines>2006</Lines>
  <Paragraphs>564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КОНВЕРГЕНТНА ПРОГРАМА, 2014-2017</vt:lpstr>
      <vt:lpstr>КОНВЕРГЕНТНА ПРОГРАМА, 2013-2016</vt:lpstr>
    </vt:vector>
  </TitlesOfParts>
  <Company/>
  <LinksUpToDate>false</LinksUpToDate>
  <CharactersWithSpaces>282483</CharactersWithSpaces>
  <SharedDoc>false</SharedDoc>
  <HLinks>
    <vt:vector size="210" baseType="variant">
      <vt:variant>
        <vt:i4>7733328</vt:i4>
      </vt:variant>
      <vt:variant>
        <vt:i4>213</vt:i4>
      </vt:variant>
      <vt:variant>
        <vt:i4>0</vt:i4>
      </vt:variant>
      <vt:variant>
        <vt:i4>5</vt:i4>
      </vt:variant>
      <vt:variant>
        <vt:lpwstr>\\Kaloyan\Shared\convergence_2007\code of conduct tables-post EFC_labour.xls</vt:lpwstr>
      </vt:variant>
      <vt:variant>
        <vt:lpwstr>RANGE!_ftn5#RANGE!_ftn5</vt:lpwstr>
      </vt:variant>
      <vt:variant>
        <vt:i4>1114173</vt:i4>
      </vt:variant>
      <vt:variant>
        <vt:i4>200</vt:i4>
      </vt:variant>
      <vt:variant>
        <vt:i4>0</vt:i4>
      </vt:variant>
      <vt:variant>
        <vt:i4>5</vt:i4>
      </vt:variant>
      <vt:variant>
        <vt:lpwstr/>
      </vt:variant>
      <vt:variant>
        <vt:lpwstr>_Toc382388458</vt:lpwstr>
      </vt:variant>
      <vt:variant>
        <vt:i4>1114173</vt:i4>
      </vt:variant>
      <vt:variant>
        <vt:i4>194</vt:i4>
      </vt:variant>
      <vt:variant>
        <vt:i4>0</vt:i4>
      </vt:variant>
      <vt:variant>
        <vt:i4>5</vt:i4>
      </vt:variant>
      <vt:variant>
        <vt:lpwstr/>
      </vt:variant>
      <vt:variant>
        <vt:lpwstr>_Toc382388457</vt:lpwstr>
      </vt:variant>
      <vt:variant>
        <vt:i4>1114173</vt:i4>
      </vt:variant>
      <vt:variant>
        <vt:i4>188</vt:i4>
      </vt:variant>
      <vt:variant>
        <vt:i4>0</vt:i4>
      </vt:variant>
      <vt:variant>
        <vt:i4>5</vt:i4>
      </vt:variant>
      <vt:variant>
        <vt:lpwstr/>
      </vt:variant>
      <vt:variant>
        <vt:lpwstr>_Toc382388456</vt:lpwstr>
      </vt:variant>
      <vt:variant>
        <vt:i4>1114173</vt:i4>
      </vt:variant>
      <vt:variant>
        <vt:i4>182</vt:i4>
      </vt:variant>
      <vt:variant>
        <vt:i4>0</vt:i4>
      </vt:variant>
      <vt:variant>
        <vt:i4>5</vt:i4>
      </vt:variant>
      <vt:variant>
        <vt:lpwstr/>
      </vt:variant>
      <vt:variant>
        <vt:lpwstr>_Toc382388455</vt:lpwstr>
      </vt:variant>
      <vt:variant>
        <vt:i4>1114173</vt:i4>
      </vt:variant>
      <vt:variant>
        <vt:i4>176</vt:i4>
      </vt:variant>
      <vt:variant>
        <vt:i4>0</vt:i4>
      </vt:variant>
      <vt:variant>
        <vt:i4>5</vt:i4>
      </vt:variant>
      <vt:variant>
        <vt:lpwstr/>
      </vt:variant>
      <vt:variant>
        <vt:lpwstr>_Toc382388454</vt:lpwstr>
      </vt:variant>
      <vt:variant>
        <vt:i4>1114173</vt:i4>
      </vt:variant>
      <vt:variant>
        <vt:i4>170</vt:i4>
      </vt:variant>
      <vt:variant>
        <vt:i4>0</vt:i4>
      </vt:variant>
      <vt:variant>
        <vt:i4>5</vt:i4>
      </vt:variant>
      <vt:variant>
        <vt:lpwstr/>
      </vt:variant>
      <vt:variant>
        <vt:lpwstr>_Toc382388453</vt:lpwstr>
      </vt:variant>
      <vt:variant>
        <vt:i4>1114173</vt:i4>
      </vt:variant>
      <vt:variant>
        <vt:i4>164</vt:i4>
      </vt:variant>
      <vt:variant>
        <vt:i4>0</vt:i4>
      </vt:variant>
      <vt:variant>
        <vt:i4>5</vt:i4>
      </vt:variant>
      <vt:variant>
        <vt:lpwstr/>
      </vt:variant>
      <vt:variant>
        <vt:lpwstr>_Toc382388452</vt:lpwstr>
      </vt:variant>
      <vt:variant>
        <vt:i4>1114173</vt:i4>
      </vt:variant>
      <vt:variant>
        <vt:i4>158</vt:i4>
      </vt:variant>
      <vt:variant>
        <vt:i4>0</vt:i4>
      </vt:variant>
      <vt:variant>
        <vt:i4>5</vt:i4>
      </vt:variant>
      <vt:variant>
        <vt:lpwstr/>
      </vt:variant>
      <vt:variant>
        <vt:lpwstr>_Toc382388451</vt:lpwstr>
      </vt:variant>
      <vt:variant>
        <vt:i4>1114173</vt:i4>
      </vt:variant>
      <vt:variant>
        <vt:i4>152</vt:i4>
      </vt:variant>
      <vt:variant>
        <vt:i4>0</vt:i4>
      </vt:variant>
      <vt:variant>
        <vt:i4>5</vt:i4>
      </vt:variant>
      <vt:variant>
        <vt:lpwstr/>
      </vt:variant>
      <vt:variant>
        <vt:lpwstr>_Toc382388450</vt:lpwstr>
      </vt:variant>
      <vt:variant>
        <vt:i4>1048637</vt:i4>
      </vt:variant>
      <vt:variant>
        <vt:i4>146</vt:i4>
      </vt:variant>
      <vt:variant>
        <vt:i4>0</vt:i4>
      </vt:variant>
      <vt:variant>
        <vt:i4>5</vt:i4>
      </vt:variant>
      <vt:variant>
        <vt:lpwstr/>
      </vt:variant>
      <vt:variant>
        <vt:lpwstr>_Toc382388449</vt:lpwstr>
      </vt:variant>
      <vt:variant>
        <vt:i4>1048637</vt:i4>
      </vt:variant>
      <vt:variant>
        <vt:i4>140</vt:i4>
      </vt:variant>
      <vt:variant>
        <vt:i4>0</vt:i4>
      </vt:variant>
      <vt:variant>
        <vt:i4>5</vt:i4>
      </vt:variant>
      <vt:variant>
        <vt:lpwstr/>
      </vt:variant>
      <vt:variant>
        <vt:lpwstr>_Toc382388448</vt:lpwstr>
      </vt:variant>
      <vt:variant>
        <vt:i4>1048637</vt:i4>
      </vt:variant>
      <vt:variant>
        <vt:i4>134</vt:i4>
      </vt:variant>
      <vt:variant>
        <vt:i4>0</vt:i4>
      </vt:variant>
      <vt:variant>
        <vt:i4>5</vt:i4>
      </vt:variant>
      <vt:variant>
        <vt:lpwstr/>
      </vt:variant>
      <vt:variant>
        <vt:lpwstr>_Toc382388447</vt:lpwstr>
      </vt:variant>
      <vt:variant>
        <vt:i4>1048637</vt:i4>
      </vt:variant>
      <vt:variant>
        <vt:i4>128</vt:i4>
      </vt:variant>
      <vt:variant>
        <vt:i4>0</vt:i4>
      </vt:variant>
      <vt:variant>
        <vt:i4>5</vt:i4>
      </vt:variant>
      <vt:variant>
        <vt:lpwstr/>
      </vt:variant>
      <vt:variant>
        <vt:lpwstr>_Toc382388446</vt:lpwstr>
      </vt:variant>
      <vt:variant>
        <vt:i4>1048637</vt:i4>
      </vt:variant>
      <vt:variant>
        <vt:i4>122</vt:i4>
      </vt:variant>
      <vt:variant>
        <vt:i4>0</vt:i4>
      </vt:variant>
      <vt:variant>
        <vt:i4>5</vt:i4>
      </vt:variant>
      <vt:variant>
        <vt:lpwstr/>
      </vt:variant>
      <vt:variant>
        <vt:lpwstr>_Toc382388445</vt:lpwstr>
      </vt:variant>
      <vt:variant>
        <vt:i4>1048637</vt:i4>
      </vt:variant>
      <vt:variant>
        <vt:i4>116</vt:i4>
      </vt:variant>
      <vt:variant>
        <vt:i4>0</vt:i4>
      </vt:variant>
      <vt:variant>
        <vt:i4>5</vt:i4>
      </vt:variant>
      <vt:variant>
        <vt:lpwstr/>
      </vt:variant>
      <vt:variant>
        <vt:lpwstr>_Toc382388444</vt:lpwstr>
      </vt:variant>
      <vt:variant>
        <vt:i4>1048637</vt:i4>
      </vt:variant>
      <vt:variant>
        <vt:i4>110</vt:i4>
      </vt:variant>
      <vt:variant>
        <vt:i4>0</vt:i4>
      </vt:variant>
      <vt:variant>
        <vt:i4>5</vt:i4>
      </vt:variant>
      <vt:variant>
        <vt:lpwstr/>
      </vt:variant>
      <vt:variant>
        <vt:lpwstr>_Toc382388443</vt:lpwstr>
      </vt:variant>
      <vt:variant>
        <vt:i4>1048637</vt:i4>
      </vt:variant>
      <vt:variant>
        <vt:i4>104</vt:i4>
      </vt:variant>
      <vt:variant>
        <vt:i4>0</vt:i4>
      </vt:variant>
      <vt:variant>
        <vt:i4>5</vt:i4>
      </vt:variant>
      <vt:variant>
        <vt:lpwstr/>
      </vt:variant>
      <vt:variant>
        <vt:lpwstr>_Toc382388442</vt:lpwstr>
      </vt:variant>
      <vt:variant>
        <vt:i4>1048637</vt:i4>
      </vt:variant>
      <vt:variant>
        <vt:i4>98</vt:i4>
      </vt:variant>
      <vt:variant>
        <vt:i4>0</vt:i4>
      </vt:variant>
      <vt:variant>
        <vt:i4>5</vt:i4>
      </vt:variant>
      <vt:variant>
        <vt:lpwstr/>
      </vt:variant>
      <vt:variant>
        <vt:lpwstr>_Toc382388441</vt:lpwstr>
      </vt:variant>
      <vt:variant>
        <vt:i4>1048637</vt:i4>
      </vt:variant>
      <vt:variant>
        <vt:i4>92</vt:i4>
      </vt:variant>
      <vt:variant>
        <vt:i4>0</vt:i4>
      </vt:variant>
      <vt:variant>
        <vt:i4>5</vt:i4>
      </vt:variant>
      <vt:variant>
        <vt:lpwstr/>
      </vt:variant>
      <vt:variant>
        <vt:lpwstr>_Toc382388440</vt:lpwstr>
      </vt:variant>
      <vt:variant>
        <vt:i4>1507389</vt:i4>
      </vt:variant>
      <vt:variant>
        <vt:i4>86</vt:i4>
      </vt:variant>
      <vt:variant>
        <vt:i4>0</vt:i4>
      </vt:variant>
      <vt:variant>
        <vt:i4>5</vt:i4>
      </vt:variant>
      <vt:variant>
        <vt:lpwstr/>
      </vt:variant>
      <vt:variant>
        <vt:lpwstr>_Toc382388439</vt:lpwstr>
      </vt:variant>
      <vt:variant>
        <vt:i4>1507389</vt:i4>
      </vt:variant>
      <vt:variant>
        <vt:i4>80</vt:i4>
      </vt:variant>
      <vt:variant>
        <vt:i4>0</vt:i4>
      </vt:variant>
      <vt:variant>
        <vt:i4>5</vt:i4>
      </vt:variant>
      <vt:variant>
        <vt:lpwstr/>
      </vt:variant>
      <vt:variant>
        <vt:lpwstr>_Toc382388438</vt:lpwstr>
      </vt:variant>
      <vt:variant>
        <vt:i4>1507389</vt:i4>
      </vt:variant>
      <vt:variant>
        <vt:i4>74</vt:i4>
      </vt:variant>
      <vt:variant>
        <vt:i4>0</vt:i4>
      </vt:variant>
      <vt:variant>
        <vt:i4>5</vt:i4>
      </vt:variant>
      <vt:variant>
        <vt:lpwstr/>
      </vt:variant>
      <vt:variant>
        <vt:lpwstr>_Toc382388437</vt:lpwstr>
      </vt:variant>
      <vt:variant>
        <vt:i4>1507389</vt:i4>
      </vt:variant>
      <vt:variant>
        <vt:i4>68</vt:i4>
      </vt:variant>
      <vt:variant>
        <vt:i4>0</vt:i4>
      </vt:variant>
      <vt:variant>
        <vt:i4>5</vt:i4>
      </vt:variant>
      <vt:variant>
        <vt:lpwstr/>
      </vt:variant>
      <vt:variant>
        <vt:lpwstr>_Toc382388436</vt:lpwstr>
      </vt:variant>
      <vt:variant>
        <vt:i4>1507389</vt:i4>
      </vt:variant>
      <vt:variant>
        <vt:i4>62</vt:i4>
      </vt:variant>
      <vt:variant>
        <vt:i4>0</vt:i4>
      </vt:variant>
      <vt:variant>
        <vt:i4>5</vt:i4>
      </vt:variant>
      <vt:variant>
        <vt:lpwstr/>
      </vt:variant>
      <vt:variant>
        <vt:lpwstr>_Toc382388435</vt:lpwstr>
      </vt:variant>
      <vt:variant>
        <vt:i4>1507389</vt:i4>
      </vt:variant>
      <vt:variant>
        <vt:i4>56</vt:i4>
      </vt:variant>
      <vt:variant>
        <vt:i4>0</vt:i4>
      </vt:variant>
      <vt:variant>
        <vt:i4>5</vt:i4>
      </vt:variant>
      <vt:variant>
        <vt:lpwstr/>
      </vt:variant>
      <vt:variant>
        <vt:lpwstr>_Toc382388434</vt:lpwstr>
      </vt:variant>
      <vt:variant>
        <vt:i4>1507389</vt:i4>
      </vt:variant>
      <vt:variant>
        <vt:i4>50</vt:i4>
      </vt:variant>
      <vt:variant>
        <vt:i4>0</vt:i4>
      </vt:variant>
      <vt:variant>
        <vt:i4>5</vt:i4>
      </vt:variant>
      <vt:variant>
        <vt:lpwstr/>
      </vt:variant>
      <vt:variant>
        <vt:lpwstr>_Toc382388433</vt:lpwstr>
      </vt:variant>
      <vt:variant>
        <vt:i4>1507389</vt:i4>
      </vt:variant>
      <vt:variant>
        <vt:i4>44</vt:i4>
      </vt:variant>
      <vt:variant>
        <vt:i4>0</vt:i4>
      </vt:variant>
      <vt:variant>
        <vt:i4>5</vt:i4>
      </vt:variant>
      <vt:variant>
        <vt:lpwstr/>
      </vt:variant>
      <vt:variant>
        <vt:lpwstr>_Toc382388432</vt:lpwstr>
      </vt:variant>
      <vt:variant>
        <vt:i4>1507389</vt:i4>
      </vt:variant>
      <vt:variant>
        <vt:i4>38</vt:i4>
      </vt:variant>
      <vt:variant>
        <vt:i4>0</vt:i4>
      </vt:variant>
      <vt:variant>
        <vt:i4>5</vt:i4>
      </vt:variant>
      <vt:variant>
        <vt:lpwstr/>
      </vt:variant>
      <vt:variant>
        <vt:lpwstr>_Toc382388431</vt:lpwstr>
      </vt:variant>
      <vt:variant>
        <vt:i4>1507389</vt:i4>
      </vt:variant>
      <vt:variant>
        <vt:i4>32</vt:i4>
      </vt:variant>
      <vt:variant>
        <vt:i4>0</vt:i4>
      </vt:variant>
      <vt:variant>
        <vt:i4>5</vt:i4>
      </vt:variant>
      <vt:variant>
        <vt:lpwstr/>
      </vt:variant>
      <vt:variant>
        <vt:lpwstr>_Toc382388430</vt:lpwstr>
      </vt:variant>
      <vt:variant>
        <vt:i4>1441853</vt:i4>
      </vt:variant>
      <vt:variant>
        <vt:i4>26</vt:i4>
      </vt:variant>
      <vt:variant>
        <vt:i4>0</vt:i4>
      </vt:variant>
      <vt:variant>
        <vt:i4>5</vt:i4>
      </vt:variant>
      <vt:variant>
        <vt:lpwstr/>
      </vt:variant>
      <vt:variant>
        <vt:lpwstr>_Toc382388429</vt:lpwstr>
      </vt:variant>
      <vt:variant>
        <vt:i4>1441853</vt:i4>
      </vt:variant>
      <vt:variant>
        <vt:i4>20</vt:i4>
      </vt:variant>
      <vt:variant>
        <vt:i4>0</vt:i4>
      </vt:variant>
      <vt:variant>
        <vt:i4>5</vt:i4>
      </vt:variant>
      <vt:variant>
        <vt:lpwstr/>
      </vt:variant>
      <vt:variant>
        <vt:lpwstr>_Toc382388428</vt:lpwstr>
      </vt:variant>
      <vt:variant>
        <vt:i4>1441853</vt:i4>
      </vt:variant>
      <vt:variant>
        <vt:i4>14</vt:i4>
      </vt:variant>
      <vt:variant>
        <vt:i4>0</vt:i4>
      </vt:variant>
      <vt:variant>
        <vt:i4>5</vt:i4>
      </vt:variant>
      <vt:variant>
        <vt:lpwstr/>
      </vt:variant>
      <vt:variant>
        <vt:lpwstr>_Toc382388427</vt:lpwstr>
      </vt:variant>
      <vt:variant>
        <vt:i4>1441853</vt:i4>
      </vt:variant>
      <vt:variant>
        <vt:i4>8</vt:i4>
      </vt:variant>
      <vt:variant>
        <vt:i4>0</vt:i4>
      </vt:variant>
      <vt:variant>
        <vt:i4>5</vt:i4>
      </vt:variant>
      <vt:variant>
        <vt:lpwstr/>
      </vt:variant>
      <vt:variant>
        <vt:lpwstr>_Toc382388426</vt:lpwstr>
      </vt:variant>
      <vt:variant>
        <vt:i4>1441853</vt:i4>
      </vt:variant>
      <vt:variant>
        <vt:i4>2</vt:i4>
      </vt:variant>
      <vt:variant>
        <vt:i4>0</vt:i4>
      </vt:variant>
      <vt:variant>
        <vt:i4>5</vt:i4>
      </vt:variant>
      <vt:variant>
        <vt:lpwstr/>
      </vt:variant>
      <vt:variant>
        <vt:lpwstr>_Toc382388425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КОНВЕРГЕНТНА ПРОГРАМА, 2014-2017</dc:title>
  <dc:creator>МФ</dc:creator>
  <cp:lastModifiedBy>Мария Нинчева</cp:lastModifiedBy>
  <cp:revision>2</cp:revision>
  <cp:lastPrinted>2022-04-15T06:16:00Z</cp:lastPrinted>
  <dcterms:created xsi:type="dcterms:W3CDTF">2022-04-27T06:23:00Z</dcterms:created>
  <dcterms:modified xsi:type="dcterms:W3CDTF">2022-04-27T06:23:00Z</dcterms:modified>
</cp:coreProperties>
</file>